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41523" w14:textId="77777777" w:rsidR="00B3609D" w:rsidRDefault="00B3609D" w:rsidP="00582B5E">
      <w:pPr>
        <w:pStyle w:val="Title"/>
        <w:rPr>
          <w:rFonts w:ascii="Segoe UI" w:hAnsi="Segoe UI" w:cs="Segoe UI"/>
          <w:b/>
          <w:sz w:val="36"/>
        </w:rPr>
      </w:pPr>
      <w:bookmarkStart w:id="0" w:name="_GoBack"/>
      <w:bookmarkEnd w:id="0"/>
    </w:p>
    <w:p w14:paraId="2F2BBEBA" w14:textId="77777777" w:rsidR="00B3609D" w:rsidRDefault="00B3609D" w:rsidP="00582B5E">
      <w:pPr>
        <w:pStyle w:val="Title"/>
        <w:rPr>
          <w:rFonts w:ascii="Segoe UI" w:hAnsi="Segoe UI" w:cs="Segoe UI"/>
          <w:b/>
          <w:sz w:val="36"/>
        </w:rPr>
      </w:pPr>
    </w:p>
    <w:p w14:paraId="3C40A556" w14:textId="77777777" w:rsidR="00B3609D" w:rsidRDefault="00B3609D" w:rsidP="00582B5E">
      <w:pPr>
        <w:pStyle w:val="Title"/>
        <w:rPr>
          <w:rFonts w:ascii="Segoe UI" w:hAnsi="Segoe UI" w:cs="Segoe UI"/>
          <w:b/>
          <w:sz w:val="36"/>
        </w:rPr>
      </w:pPr>
    </w:p>
    <w:p w14:paraId="17139DD3" w14:textId="77777777" w:rsidR="00B3609D" w:rsidRDefault="00B3609D" w:rsidP="00582B5E">
      <w:pPr>
        <w:pStyle w:val="Title"/>
        <w:rPr>
          <w:rFonts w:ascii="Segoe UI" w:hAnsi="Segoe UI" w:cs="Segoe UI"/>
          <w:b/>
          <w:sz w:val="36"/>
        </w:rPr>
      </w:pPr>
    </w:p>
    <w:p w14:paraId="669A695D" w14:textId="77777777" w:rsidR="00B3609D" w:rsidRDefault="00B3609D" w:rsidP="00582B5E">
      <w:pPr>
        <w:pStyle w:val="Title"/>
        <w:rPr>
          <w:rFonts w:ascii="Segoe UI" w:hAnsi="Segoe UI" w:cs="Segoe UI"/>
          <w:b/>
          <w:sz w:val="36"/>
        </w:rPr>
      </w:pPr>
    </w:p>
    <w:p w14:paraId="4CC8FA16" w14:textId="77777777" w:rsidR="00B3609D" w:rsidRDefault="00B3609D" w:rsidP="00582B5E">
      <w:pPr>
        <w:pStyle w:val="Title"/>
        <w:rPr>
          <w:rFonts w:ascii="Segoe UI" w:hAnsi="Segoe UI" w:cs="Segoe UI"/>
          <w:b/>
          <w:sz w:val="36"/>
        </w:rPr>
      </w:pPr>
    </w:p>
    <w:p w14:paraId="552F0E02" w14:textId="77777777" w:rsidR="00B3609D" w:rsidRDefault="00B3609D" w:rsidP="00582B5E">
      <w:pPr>
        <w:pStyle w:val="Title"/>
        <w:rPr>
          <w:rFonts w:ascii="Segoe UI" w:hAnsi="Segoe UI" w:cs="Segoe UI"/>
          <w:b/>
          <w:sz w:val="36"/>
        </w:rPr>
      </w:pPr>
    </w:p>
    <w:p w14:paraId="093951C6" w14:textId="77777777" w:rsidR="00B3609D" w:rsidRDefault="00B3609D" w:rsidP="00582B5E">
      <w:pPr>
        <w:pStyle w:val="Title"/>
        <w:rPr>
          <w:rFonts w:ascii="Segoe UI" w:hAnsi="Segoe UI" w:cs="Segoe UI"/>
          <w:b/>
          <w:sz w:val="36"/>
        </w:rPr>
      </w:pPr>
    </w:p>
    <w:p w14:paraId="7702D3BF" w14:textId="77777777" w:rsidR="00B3609D" w:rsidRDefault="00B3609D" w:rsidP="00582B5E">
      <w:pPr>
        <w:pStyle w:val="Title"/>
        <w:rPr>
          <w:rFonts w:ascii="Segoe UI" w:hAnsi="Segoe UI" w:cs="Segoe UI"/>
          <w:b/>
          <w:sz w:val="36"/>
        </w:rPr>
      </w:pPr>
    </w:p>
    <w:p w14:paraId="428236C8" w14:textId="77777777" w:rsidR="00B3609D" w:rsidRDefault="00B3609D" w:rsidP="00582B5E">
      <w:pPr>
        <w:pStyle w:val="Title"/>
        <w:rPr>
          <w:rFonts w:ascii="Segoe UI" w:hAnsi="Segoe UI" w:cs="Segoe UI"/>
          <w:b/>
          <w:sz w:val="36"/>
        </w:rPr>
      </w:pPr>
    </w:p>
    <w:p w14:paraId="187C5BD1" w14:textId="77777777" w:rsidR="00B3609D" w:rsidRDefault="00B3609D" w:rsidP="00582B5E">
      <w:pPr>
        <w:pStyle w:val="Title"/>
        <w:rPr>
          <w:rFonts w:ascii="Segoe UI" w:hAnsi="Segoe UI" w:cs="Segoe UI"/>
          <w:b/>
          <w:sz w:val="36"/>
        </w:rPr>
      </w:pPr>
    </w:p>
    <w:p w14:paraId="7E74A7FC" w14:textId="77777777" w:rsidR="00246114" w:rsidRDefault="00246114" w:rsidP="00582B5E">
      <w:pPr>
        <w:pStyle w:val="Title"/>
        <w:rPr>
          <w:rFonts w:ascii="Segoe UI" w:hAnsi="Segoe UI" w:cs="Segoe UI"/>
          <w:b/>
          <w:sz w:val="52"/>
        </w:rPr>
      </w:pPr>
      <w:r>
        <w:rPr>
          <w:rFonts w:ascii="Segoe UI" w:hAnsi="Segoe UI" w:cs="Segoe UI"/>
          <w:b/>
          <w:sz w:val="52"/>
        </w:rPr>
        <w:t xml:space="preserve">Document to inform discussions to develop a </w:t>
      </w:r>
      <w:r w:rsidR="005A2E5D" w:rsidRPr="00686461">
        <w:rPr>
          <w:rFonts w:ascii="Segoe UI" w:hAnsi="Segoe UI" w:cs="Segoe UI"/>
          <w:b/>
          <w:sz w:val="52"/>
        </w:rPr>
        <w:t>M</w:t>
      </w:r>
      <w:r w:rsidR="00187336" w:rsidRPr="00686461">
        <w:rPr>
          <w:rFonts w:ascii="Segoe UI" w:hAnsi="Segoe UI" w:cs="Segoe UI"/>
          <w:b/>
          <w:sz w:val="52"/>
        </w:rPr>
        <w:t>āori Health Action Plan</w:t>
      </w:r>
      <w:r w:rsidR="005A2E5D" w:rsidRPr="00686461">
        <w:rPr>
          <w:rFonts w:ascii="Segoe UI" w:hAnsi="Segoe UI" w:cs="Segoe UI"/>
          <w:b/>
          <w:sz w:val="52"/>
        </w:rPr>
        <w:t xml:space="preserve"> </w:t>
      </w:r>
      <w:r>
        <w:rPr>
          <w:rFonts w:ascii="Segoe UI" w:hAnsi="Segoe UI" w:cs="Segoe UI"/>
          <w:b/>
          <w:sz w:val="52"/>
        </w:rPr>
        <w:t xml:space="preserve">to implement </w:t>
      </w:r>
      <w:r w:rsidRPr="00686461">
        <w:rPr>
          <w:rFonts w:ascii="Segoe UI" w:hAnsi="Segoe UI" w:cs="Segoe UI"/>
          <w:b/>
          <w:sz w:val="52"/>
        </w:rPr>
        <w:t>He Korowai Oranga</w:t>
      </w:r>
    </w:p>
    <w:p w14:paraId="75DB2D80" w14:textId="5C5D6934" w:rsidR="00B3609D" w:rsidRPr="00686461" w:rsidRDefault="005A2E5D" w:rsidP="00582B5E">
      <w:pPr>
        <w:pStyle w:val="Title"/>
        <w:rPr>
          <w:rFonts w:ascii="Segoe UI" w:hAnsi="Segoe UI" w:cs="Segoe UI"/>
          <w:b/>
          <w:sz w:val="52"/>
        </w:rPr>
      </w:pPr>
      <w:r w:rsidRPr="00686461">
        <w:rPr>
          <w:rFonts w:ascii="Segoe UI" w:hAnsi="Segoe UI" w:cs="Segoe UI"/>
          <w:b/>
          <w:sz w:val="52"/>
        </w:rPr>
        <w:t>2020 - 2025</w:t>
      </w:r>
    </w:p>
    <w:p w14:paraId="56DC8596" w14:textId="77777777" w:rsidR="00246114" w:rsidRDefault="00246114" w:rsidP="00582B5E">
      <w:pPr>
        <w:pStyle w:val="Title"/>
        <w:rPr>
          <w:rFonts w:ascii="Segoe UI" w:hAnsi="Segoe UI" w:cs="Segoe UI"/>
          <w:b/>
          <w:sz w:val="44"/>
        </w:rPr>
      </w:pPr>
    </w:p>
    <w:p w14:paraId="70F90858" w14:textId="77777777" w:rsidR="00246114" w:rsidRDefault="00246114" w:rsidP="00582B5E">
      <w:pPr>
        <w:pStyle w:val="Title"/>
        <w:rPr>
          <w:rFonts w:ascii="Segoe UI" w:hAnsi="Segoe UI" w:cs="Segoe UI"/>
          <w:b/>
          <w:sz w:val="44"/>
        </w:rPr>
      </w:pPr>
    </w:p>
    <w:p w14:paraId="5915908C" w14:textId="77777777" w:rsidR="00246114" w:rsidRDefault="00246114" w:rsidP="00582B5E">
      <w:pPr>
        <w:pStyle w:val="Title"/>
        <w:rPr>
          <w:rFonts w:ascii="Segoe UI" w:hAnsi="Segoe UI" w:cs="Segoe UI"/>
          <w:b/>
          <w:sz w:val="44"/>
        </w:rPr>
      </w:pPr>
    </w:p>
    <w:p w14:paraId="497B14F3" w14:textId="77777777" w:rsidR="00246114" w:rsidRDefault="00246114" w:rsidP="00582B5E">
      <w:pPr>
        <w:pStyle w:val="Title"/>
        <w:rPr>
          <w:rFonts w:ascii="Segoe UI" w:hAnsi="Segoe UI" w:cs="Segoe UI"/>
          <w:b/>
          <w:sz w:val="44"/>
        </w:rPr>
      </w:pPr>
    </w:p>
    <w:p w14:paraId="46BAE0FA" w14:textId="77777777" w:rsidR="00246114" w:rsidRDefault="00246114" w:rsidP="00582B5E">
      <w:pPr>
        <w:pStyle w:val="Title"/>
        <w:rPr>
          <w:rFonts w:ascii="Segoe UI" w:hAnsi="Segoe UI" w:cs="Segoe UI"/>
          <w:b/>
          <w:sz w:val="44"/>
        </w:rPr>
      </w:pPr>
    </w:p>
    <w:p w14:paraId="143BF702" w14:textId="77777777" w:rsidR="00246114" w:rsidRDefault="00246114" w:rsidP="00582B5E">
      <w:pPr>
        <w:pStyle w:val="Title"/>
        <w:rPr>
          <w:rFonts w:ascii="Segoe UI" w:hAnsi="Segoe UI" w:cs="Segoe UI"/>
          <w:b/>
          <w:sz w:val="44"/>
        </w:rPr>
      </w:pPr>
    </w:p>
    <w:p w14:paraId="51B003DC" w14:textId="77777777" w:rsidR="00246114" w:rsidRDefault="00246114" w:rsidP="00582B5E">
      <w:pPr>
        <w:pStyle w:val="Title"/>
        <w:rPr>
          <w:rFonts w:ascii="Segoe UI" w:hAnsi="Segoe UI" w:cs="Segoe UI"/>
          <w:b/>
          <w:sz w:val="44"/>
        </w:rPr>
      </w:pPr>
    </w:p>
    <w:p w14:paraId="0B505670" w14:textId="77777777" w:rsidR="00246114" w:rsidRDefault="00246114" w:rsidP="006442C7">
      <w:pPr>
        <w:pStyle w:val="Title"/>
        <w:rPr>
          <w:rFonts w:ascii="Segoe UI" w:hAnsi="Segoe UI" w:cs="Segoe UI"/>
          <w:b/>
          <w:sz w:val="44"/>
        </w:rPr>
      </w:pPr>
    </w:p>
    <w:p w14:paraId="2F4CFFBE" w14:textId="77777777" w:rsidR="00246114" w:rsidRDefault="00246114" w:rsidP="006442C7">
      <w:pPr>
        <w:pStyle w:val="Title"/>
        <w:rPr>
          <w:rFonts w:ascii="Segoe UI" w:hAnsi="Segoe UI" w:cs="Segoe UI"/>
          <w:b/>
          <w:sz w:val="44"/>
        </w:rPr>
      </w:pPr>
    </w:p>
    <w:p w14:paraId="26E52E32" w14:textId="2410B06D" w:rsidR="00B3609D" w:rsidRPr="006442C7" w:rsidRDefault="00582B5E" w:rsidP="00246114">
      <w:pPr>
        <w:pStyle w:val="Title"/>
        <w:jc w:val="right"/>
        <w:rPr>
          <w:rFonts w:ascii="Segoe UI" w:hAnsi="Segoe UI" w:cs="Segoe UI"/>
          <w:b/>
          <w:sz w:val="36"/>
        </w:rPr>
      </w:pPr>
      <w:r w:rsidRPr="00686461">
        <w:rPr>
          <w:rFonts w:ascii="Segoe UI" w:hAnsi="Segoe UI" w:cs="Segoe UI"/>
          <w:b/>
          <w:sz w:val="44"/>
        </w:rPr>
        <w:t>Discussion document</w:t>
      </w:r>
    </w:p>
    <w:p w14:paraId="4129ED7C" w14:textId="06821597" w:rsidR="002F22F4" w:rsidRPr="00686461" w:rsidRDefault="00B96885" w:rsidP="00DF4441">
      <w:pPr>
        <w:pStyle w:val="Heading1"/>
        <w:pageBreakBefore/>
        <w:spacing w:after="0"/>
        <w:rPr>
          <w:rFonts w:cs="Segoe UI"/>
          <w:b/>
        </w:rPr>
      </w:pPr>
      <w:bookmarkStart w:id="1" w:name="_Toc17195704"/>
      <w:r w:rsidRPr="00686461">
        <w:rPr>
          <w:rFonts w:cs="Segoe UI"/>
          <w:b/>
        </w:rPr>
        <w:lastRenderedPageBreak/>
        <w:t>Foreword</w:t>
      </w:r>
      <w:bookmarkEnd w:id="1"/>
    </w:p>
    <w:p w14:paraId="2DE946F0" w14:textId="77777777" w:rsidR="00264EA1" w:rsidRPr="006C08D4" w:rsidRDefault="00264EA1" w:rsidP="00264EA1">
      <w:pPr>
        <w:spacing w:after="0"/>
        <w:jc w:val="center"/>
        <w:rPr>
          <w:b/>
          <w:i/>
        </w:rPr>
      </w:pPr>
      <w:r w:rsidRPr="006C08D4">
        <w:rPr>
          <w:b/>
          <w:i/>
        </w:rPr>
        <w:t xml:space="preserve">E </w:t>
      </w:r>
      <w:proofErr w:type="spellStart"/>
      <w:r w:rsidRPr="006C08D4">
        <w:rPr>
          <w:b/>
          <w:i/>
        </w:rPr>
        <w:t>tipu</w:t>
      </w:r>
      <w:proofErr w:type="spellEnd"/>
      <w:r w:rsidRPr="006C08D4">
        <w:rPr>
          <w:b/>
          <w:i/>
        </w:rPr>
        <w:t xml:space="preserve"> e rea</w:t>
      </w:r>
    </w:p>
    <w:p w14:paraId="69532B65" w14:textId="77777777" w:rsidR="00264EA1" w:rsidRPr="006C08D4" w:rsidRDefault="00264EA1" w:rsidP="00264EA1">
      <w:pPr>
        <w:spacing w:after="0"/>
        <w:jc w:val="center"/>
        <w:rPr>
          <w:b/>
          <w:i/>
        </w:rPr>
      </w:pPr>
      <w:r w:rsidRPr="006C08D4">
        <w:rPr>
          <w:b/>
          <w:i/>
        </w:rPr>
        <w:t xml:space="preserve">Ka </w:t>
      </w:r>
      <w:proofErr w:type="spellStart"/>
      <w:r w:rsidRPr="006C08D4">
        <w:rPr>
          <w:b/>
          <w:i/>
        </w:rPr>
        <w:t>tipu</w:t>
      </w:r>
      <w:proofErr w:type="spellEnd"/>
      <w:r w:rsidRPr="006C08D4">
        <w:rPr>
          <w:b/>
          <w:i/>
        </w:rPr>
        <w:t xml:space="preserve"> </w:t>
      </w:r>
      <w:proofErr w:type="spellStart"/>
      <w:r w:rsidRPr="006C08D4">
        <w:rPr>
          <w:b/>
          <w:i/>
        </w:rPr>
        <w:t>koe</w:t>
      </w:r>
      <w:proofErr w:type="spellEnd"/>
      <w:r w:rsidRPr="006C08D4">
        <w:rPr>
          <w:b/>
          <w:i/>
        </w:rPr>
        <w:t xml:space="preserve"> </w:t>
      </w:r>
      <w:proofErr w:type="spellStart"/>
      <w:r w:rsidRPr="006C08D4">
        <w:rPr>
          <w:b/>
          <w:i/>
        </w:rPr>
        <w:t>hei</w:t>
      </w:r>
      <w:proofErr w:type="spellEnd"/>
      <w:r w:rsidRPr="006C08D4">
        <w:rPr>
          <w:b/>
          <w:i/>
        </w:rPr>
        <w:t xml:space="preserve"> </w:t>
      </w:r>
      <w:proofErr w:type="spellStart"/>
      <w:r w:rsidRPr="006C08D4">
        <w:rPr>
          <w:b/>
          <w:i/>
        </w:rPr>
        <w:t>tangata</w:t>
      </w:r>
      <w:proofErr w:type="spellEnd"/>
    </w:p>
    <w:p w14:paraId="36B4A319" w14:textId="77777777" w:rsidR="00264EA1" w:rsidRPr="006C08D4" w:rsidRDefault="00264EA1" w:rsidP="00264EA1">
      <w:pPr>
        <w:spacing w:after="0"/>
        <w:jc w:val="center"/>
        <w:rPr>
          <w:b/>
          <w:i/>
        </w:rPr>
      </w:pPr>
      <w:r w:rsidRPr="006C08D4">
        <w:rPr>
          <w:b/>
          <w:i/>
        </w:rPr>
        <w:t xml:space="preserve">Ka </w:t>
      </w:r>
      <w:proofErr w:type="spellStart"/>
      <w:r w:rsidRPr="006C08D4">
        <w:rPr>
          <w:b/>
          <w:i/>
        </w:rPr>
        <w:t>ruru</w:t>
      </w:r>
      <w:proofErr w:type="spellEnd"/>
      <w:r w:rsidRPr="006C08D4">
        <w:rPr>
          <w:b/>
          <w:i/>
        </w:rPr>
        <w:t xml:space="preserve"> e </w:t>
      </w:r>
      <w:proofErr w:type="spellStart"/>
      <w:r w:rsidRPr="006C08D4">
        <w:rPr>
          <w:b/>
          <w:i/>
        </w:rPr>
        <w:t>koe</w:t>
      </w:r>
      <w:proofErr w:type="spellEnd"/>
      <w:r w:rsidRPr="006C08D4">
        <w:rPr>
          <w:b/>
          <w:i/>
        </w:rPr>
        <w:t xml:space="preserve"> </w:t>
      </w:r>
      <w:proofErr w:type="spellStart"/>
      <w:r w:rsidRPr="006C08D4">
        <w:rPr>
          <w:b/>
          <w:i/>
        </w:rPr>
        <w:t>ki</w:t>
      </w:r>
      <w:proofErr w:type="spellEnd"/>
      <w:r w:rsidRPr="006C08D4">
        <w:rPr>
          <w:b/>
          <w:i/>
        </w:rPr>
        <w:t xml:space="preserve"> te </w:t>
      </w:r>
      <w:proofErr w:type="spellStart"/>
      <w:r w:rsidRPr="006C08D4">
        <w:rPr>
          <w:b/>
          <w:i/>
        </w:rPr>
        <w:t>tuāuri</w:t>
      </w:r>
      <w:proofErr w:type="spellEnd"/>
    </w:p>
    <w:p w14:paraId="4AE1D504" w14:textId="77777777" w:rsidR="00264EA1" w:rsidRPr="006C08D4" w:rsidRDefault="00264EA1" w:rsidP="00264EA1">
      <w:pPr>
        <w:spacing w:after="0"/>
        <w:jc w:val="center"/>
        <w:rPr>
          <w:b/>
          <w:i/>
        </w:rPr>
      </w:pPr>
      <w:proofErr w:type="spellStart"/>
      <w:r w:rsidRPr="006C08D4">
        <w:rPr>
          <w:b/>
          <w:i/>
        </w:rPr>
        <w:t>Hei</w:t>
      </w:r>
      <w:proofErr w:type="spellEnd"/>
      <w:r w:rsidRPr="006C08D4">
        <w:rPr>
          <w:b/>
          <w:i/>
        </w:rPr>
        <w:t xml:space="preserve"> </w:t>
      </w:r>
      <w:proofErr w:type="spellStart"/>
      <w:r w:rsidRPr="006C08D4">
        <w:rPr>
          <w:b/>
          <w:i/>
        </w:rPr>
        <w:t>amonga</w:t>
      </w:r>
      <w:proofErr w:type="spellEnd"/>
      <w:r w:rsidRPr="006C08D4">
        <w:rPr>
          <w:b/>
          <w:i/>
        </w:rPr>
        <w:t xml:space="preserve"> </w:t>
      </w:r>
      <w:proofErr w:type="spellStart"/>
      <w:r w:rsidRPr="006C08D4">
        <w:rPr>
          <w:b/>
          <w:i/>
        </w:rPr>
        <w:t>mōhou</w:t>
      </w:r>
      <w:proofErr w:type="spellEnd"/>
      <w:r w:rsidRPr="006C08D4">
        <w:rPr>
          <w:b/>
          <w:i/>
        </w:rPr>
        <w:t xml:space="preserve"> </w:t>
      </w:r>
      <w:proofErr w:type="spellStart"/>
      <w:r w:rsidRPr="006C08D4">
        <w:rPr>
          <w:b/>
          <w:i/>
        </w:rPr>
        <w:t>ki</w:t>
      </w:r>
      <w:proofErr w:type="spellEnd"/>
      <w:r w:rsidRPr="006C08D4">
        <w:rPr>
          <w:b/>
          <w:i/>
        </w:rPr>
        <w:t xml:space="preserve"> te </w:t>
      </w:r>
      <w:proofErr w:type="spellStart"/>
      <w:r>
        <w:rPr>
          <w:b/>
          <w:i/>
        </w:rPr>
        <w:t>pū</w:t>
      </w:r>
      <w:r w:rsidRPr="006C08D4">
        <w:rPr>
          <w:b/>
          <w:i/>
        </w:rPr>
        <w:t>take</w:t>
      </w:r>
      <w:proofErr w:type="spellEnd"/>
      <w:r w:rsidRPr="006C08D4">
        <w:rPr>
          <w:b/>
          <w:i/>
        </w:rPr>
        <w:t xml:space="preserve"> o </w:t>
      </w:r>
      <w:proofErr w:type="spellStart"/>
      <w:r w:rsidRPr="006C08D4">
        <w:rPr>
          <w:b/>
          <w:i/>
        </w:rPr>
        <w:t>ngā</w:t>
      </w:r>
      <w:proofErr w:type="spellEnd"/>
      <w:r w:rsidRPr="006C08D4">
        <w:rPr>
          <w:b/>
          <w:i/>
        </w:rPr>
        <w:t xml:space="preserve"> k</w:t>
      </w:r>
      <w:r>
        <w:rPr>
          <w:b/>
          <w:i/>
        </w:rPr>
        <w:t>ō</w:t>
      </w:r>
      <w:r w:rsidRPr="006C08D4">
        <w:rPr>
          <w:b/>
          <w:i/>
        </w:rPr>
        <w:t>rero e!</w:t>
      </w:r>
    </w:p>
    <w:p w14:paraId="54B5D99C" w14:textId="77777777" w:rsidR="00264EA1" w:rsidRPr="00DF4441" w:rsidRDefault="00264EA1" w:rsidP="00264EA1">
      <w:pPr>
        <w:spacing w:after="0"/>
        <w:rPr>
          <w:sz w:val="20"/>
        </w:rPr>
      </w:pPr>
    </w:p>
    <w:p w14:paraId="5F6A29BC" w14:textId="77777777" w:rsidR="00264EA1" w:rsidRPr="00FB6D47" w:rsidRDefault="00264EA1" w:rsidP="00264EA1">
      <w:pPr>
        <w:spacing w:after="0"/>
        <w:jc w:val="right"/>
        <w:rPr>
          <w:i/>
        </w:rPr>
      </w:pPr>
      <w:r w:rsidRPr="00FB6D47">
        <w:rPr>
          <w:i/>
        </w:rPr>
        <w:t xml:space="preserve">Te </w:t>
      </w:r>
      <w:proofErr w:type="spellStart"/>
      <w:r w:rsidRPr="00FB6D47">
        <w:rPr>
          <w:i/>
        </w:rPr>
        <w:t>Wī</w:t>
      </w:r>
      <w:proofErr w:type="spellEnd"/>
      <w:r w:rsidRPr="00FB6D47">
        <w:rPr>
          <w:i/>
        </w:rPr>
        <w:t xml:space="preserve"> o Te </w:t>
      </w:r>
      <w:proofErr w:type="spellStart"/>
      <w:r w:rsidRPr="00FB6D47">
        <w:rPr>
          <w:i/>
        </w:rPr>
        <w:t>Rangi</w:t>
      </w:r>
      <w:proofErr w:type="spellEnd"/>
      <w:r w:rsidRPr="00FB6D47">
        <w:rPr>
          <w:i/>
        </w:rPr>
        <w:t>, Ngai Tamatea</w:t>
      </w:r>
    </w:p>
    <w:p w14:paraId="06CFF900" w14:textId="77777777" w:rsidR="00264EA1" w:rsidRPr="00DF4441" w:rsidRDefault="00264EA1" w:rsidP="00264EA1">
      <w:pPr>
        <w:spacing w:after="0"/>
        <w:rPr>
          <w:sz w:val="20"/>
        </w:rPr>
      </w:pPr>
    </w:p>
    <w:p w14:paraId="73903775" w14:textId="77777777" w:rsidR="00264EA1" w:rsidRDefault="00264EA1" w:rsidP="00264EA1">
      <w:pPr>
        <w:spacing w:after="0"/>
      </w:pPr>
      <w:r>
        <w:t xml:space="preserve">E </w:t>
      </w:r>
      <w:proofErr w:type="spellStart"/>
      <w:r>
        <w:t>ngā</w:t>
      </w:r>
      <w:proofErr w:type="spellEnd"/>
      <w:r>
        <w:t xml:space="preserve"> </w:t>
      </w:r>
      <w:proofErr w:type="spellStart"/>
      <w:r>
        <w:t>tōtara</w:t>
      </w:r>
      <w:proofErr w:type="spellEnd"/>
      <w:r>
        <w:t xml:space="preserve"> </w:t>
      </w:r>
      <w:proofErr w:type="spellStart"/>
      <w:r>
        <w:t>haemata</w:t>
      </w:r>
      <w:proofErr w:type="spellEnd"/>
      <w:r>
        <w:t xml:space="preserve"> o te </w:t>
      </w:r>
      <w:proofErr w:type="spellStart"/>
      <w:r>
        <w:t>wao</w:t>
      </w:r>
      <w:proofErr w:type="spellEnd"/>
      <w:r>
        <w:t xml:space="preserve"> </w:t>
      </w:r>
      <w:proofErr w:type="spellStart"/>
      <w:r>
        <w:t>nui</w:t>
      </w:r>
      <w:proofErr w:type="spellEnd"/>
      <w:r>
        <w:t xml:space="preserve"> a </w:t>
      </w:r>
      <w:proofErr w:type="spellStart"/>
      <w:r>
        <w:t>Tāne</w:t>
      </w:r>
      <w:proofErr w:type="spellEnd"/>
      <w:r>
        <w:t xml:space="preserve">, e </w:t>
      </w:r>
      <w:proofErr w:type="spellStart"/>
      <w:r>
        <w:t>ngā</w:t>
      </w:r>
      <w:proofErr w:type="spellEnd"/>
      <w:r>
        <w:t xml:space="preserve"> </w:t>
      </w:r>
      <w:proofErr w:type="spellStart"/>
      <w:r>
        <w:t>manu</w:t>
      </w:r>
      <w:proofErr w:type="spellEnd"/>
      <w:r>
        <w:t xml:space="preserve"> </w:t>
      </w:r>
      <w:proofErr w:type="spellStart"/>
      <w:r>
        <w:t>tīoriori</w:t>
      </w:r>
      <w:proofErr w:type="spellEnd"/>
      <w:r>
        <w:t xml:space="preserve">, </w:t>
      </w:r>
      <w:proofErr w:type="spellStart"/>
      <w:r>
        <w:t>pari</w:t>
      </w:r>
      <w:proofErr w:type="spellEnd"/>
      <w:r>
        <w:t xml:space="preserve"> </w:t>
      </w:r>
      <w:proofErr w:type="spellStart"/>
      <w:r>
        <w:t>kārangaranga</w:t>
      </w:r>
      <w:proofErr w:type="spellEnd"/>
      <w:r>
        <w:t xml:space="preserve"> o </w:t>
      </w:r>
      <w:proofErr w:type="spellStart"/>
      <w:r>
        <w:t>Rongomaraeroa</w:t>
      </w:r>
      <w:proofErr w:type="spellEnd"/>
      <w:r>
        <w:t xml:space="preserve">, e </w:t>
      </w:r>
      <w:proofErr w:type="spellStart"/>
      <w:r>
        <w:t>ngā</w:t>
      </w:r>
      <w:proofErr w:type="spellEnd"/>
      <w:r>
        <w:t xml:space="preserve"> mana, e </w:t>
      </w:r>
      <w:proofErr w:type="spellStart"/>
      <w:r>
        <w:t>ngā</w:t>
      </w:r>
      <w:proofErr w:type="spellEnd"/>
      <w:r>
        <w:t xml:space="preserve"> </w:t>
      </w:r>
      <w:proofErr w:type="spellStart"/>
      <w:r>
        <w:t>reo</w:t>
      </w:r>
      <w:proofErr w:type="spellEnd"/>
      <w:r>
        <w:t xml:space="preserve">, </w:t>
      </w:r>
      <w:proofErr w:type="spellStart"/>
      <w:r>
        <w:t>tēnā</w:t>
      </w:r>
      <w:proofErr w:type="spellEnd"/>
      <w:r>
        <w:t xml:space="preserve"> </w:t>
      </w:r>
      <w:proofErr w:type="spellStart"/>
      <w:r>
        <w:t>koutou</w:t>
      </w:r>
      <w:proofErr w:type="spellEnd"/>
      <w:r>
        <w:t xml:space="preserve">, </w:t>
      </w:r>
      <w:proofErr w:type="spellStart"/>
      <w:r>
        <w:t>tēnā</w:t>
      </w:r>
      <w:proofErr w:type="spellEnd"/>
      <w:r>
        <w:t xml:space="preserve"> </w:t>
      </w:r>
      <w:proofErr w:type="spellStart"/>
      <w:r>
        <w:t>koutou</w:t>
      </w:r>
      <w:proofErr w:type="spellEnd"/>
      <w:r>
        <w:t xml:space="preserve">, </w:t>
      </w:r>
      <w:proofErr w:type="spellStart"/>
      <w:r>
        <w:t>tēnā</w:t>
      </w:r>
      <w:proofErr w:type="spellEnd"/>
      <w:r>
        <w:t xml:space="preserve"> tatou </w:t>
      </w:r>
      <w:proofErr w:type="spellStart"/>
      <w:r>
        <w:t>katoa</w:t>
      </w:r>
      <w:proofErr w:type="spellEnd"/>
      <w:r>
        <w:t>!</w:t>
      </w:r>
    </w:p>
    <w:p w14:paraId="7EAC8820" w14:textId="77777777" w:rsidR="00264EA1" w:rsidRPr="00DF4441" w:rsidRDefault="00264EA1" w:rsidP="00264EA1">
      <w:pPr>
        <w:spacing w:after="0"/>
        <w:rPr>
          <w:sz w:val="20"/>
        </w:rPr>
      </w:pPr>
    </w:p>
    <w:p w14:paraId="3BEF20F2" w14:textId="3D4976A7" w:rsidR="00264EA1" w:rsidRDefault="00264EA1" w:rsidP="00264EA1">
      <w:pPr>
        <w:spacing w:after="0"/>
      </w:pPr>
      <w:proofErr w:type="spellStart"/>
      <w:r>
        <w:t>Tēnā</w:t>
      </w:r>
      <w:proofErr w:type="spellEnd"/>
      <w:r>
        <w:t xml:space="preserve"> </w:t>
      </w:r>
      <w:proofErr w:type="spellStart"/>
      <w:r>
        <w:t>tātau</w:t>
      </w:r>
      <w:proofErr w:type="spellEnd"/>
      <w:r>
        <w:t xml:space="preserve"> </w:t>
      </w:r>
      <w:proofErr w:type="spellStart"/>
      <w:r>
        <w:t>katoa</w:t>
      </w:r>
      <w:proofErr w:type="spellEnd"/>
      <w:r>
        <w:t xml:space="preserve"> </w:t>
      </w:r>
      <w:proofErr w:type="spellStart"/>
      <w:r>
        <w:t>i</w:t>
      </w:r>
      <w:proofErr w:type="spellEnd"/>
      <w:r>
        <w:t xml:space="preserve"> </w:t>
      </w:r>
      <w:proofErr w:type="spellStart"/>
      <w:r>
        <w:t>runga</w:t>
      </w:r>
      <w:proofErr w:type="spellEnd"/>
      <w:r>
        <w:t xml:space="preserve"> </w:t>
      </w:r>
      <w:proofErr w:type="spellStart"/>
      <w:r>
        <w:t>i</w:t>
      </w:r>
      <w:proofErr w:type="spellEnd"/>
      <w:r>
        <w:t xml:space="preserve"> </w:t>
      </w:r>
      <w:proofErr w:type="spellStart"/>
      <w:r>
        <w:t>ngā</w:t>
      </w:r>
      <w:proofErr w:type="spellEnd"/>
      <w:r>
        <w:t xml:space="preserve"> </w:t>
      </w:r>
      <w:proofErr w:type="spellStart"/>
      <w:r>
        <w:t>tini</w:t>
      </w:r>
      <w:proofErr w:type="spellEnd"/>
      <w:r>
        <w:t xml:space="preserve"> </w:t>
      </w:r>
      <w:proofErr w:type="spellStart"/>
      <w:r>
        <w:t>aitua</w:t>
      </w:r>
      <w:proofErr w:type="spellEnd"/>
      <w:r>
        <w:t xml:space="preserve"> o te </w:t>
      </w:r>
      <w:proofErr w:type="spellStart"/>
      <w:r>
        <w:t>wā</w:t>
      </w:r>
      <w:proofErr w:type="spellEnd"/>
      <w:r>
        <w:t xml:space="preserve"> – te </w:t>
      </w:r>
      <w:proofErr w:type="spellStart"/>
      <w:r>
        <w:t>maha</w:t>
      </w:r>
      <w:proofErr w:type="spellEnd"/>
      <w:r>
        <w:t xml:space="preserve"> o </w:t>
      </w:r>
      <w:proofErr w:type="spellStart"/>
      <w:r>
        <w:t>naianei</w:t>
      </w:r>
      <w:proofErr w:type="spellEnd"/>
      <w:r>
        <w:t xml:space="preserve">, te </w:t>
      </w:r>
      <w:proofErr w:type="spellStart"/>
      <w:r>
        <w:t>tini</w:t>
      </w:r>
      <w:proofErr w:type="spellEnd"/>
      <w:r>
        <w:t xml:space="preserve"> o </w:t>
      </w:r>
      <w:proofErr w:type="spellStart"/>
      <w:r>
        <w:t>nānahi</w:t>
      </w:r>
      <w:proofErr w:type="spellEnd"/>
      <w:r>
        <w:t xml:space="preserve">, te mano o </w:t>
      </w:r>
      <w:proofErr w:type="spellStart"/>
      <w:r>
        <w:t>neherā</w:t>
      </w:r>
      <w:proofErr w:type="spellEnd"/>
      <w:r>
        <w:t>.</w:t>
      </w:r>
      <w:r w:rsidR="006442C7">
        <w:t xml:space="preserve"> </w:t>
      </w:r>
      <w:proofErr w:type="spellStart"/>
      <w:r>
        <w:t>Hāere</w:t>
      </w:r>
      <w:proofErr w:type="spellEnd"/>
      <w:r>
        <w:t xml:space="preserve"> </w:t>
      </w:r>
      <w:proofErr w:type="spellStart"/>
      <w:r>
        <w:t>koutou</w:t>
      </w:r>
      <w:proofErr w:type="spellEnd"/>
      <w:r>
        <w:t xml:space="preserve"> e </w:t>
      </w:r>
      <w:proofErr w:type="spellStart"/>
      <w:r>
        <w:t>ngā</w:t>
      </w:r>
      <w:proofErr w:type="spellEnd"/>
      <w:r>
        <w:t xml:space="preserve"> mate </w:t>
      </w:r>
      <w:proofErr w:type="spellStart"/>
      <w:r>
        <w:t>i</w:t>
      </w:r>
      <w:proofErr w:type="spellEnd"/>
      <w:r>
        <w:t xml:space="preserve"> </w:t>
      </w:r>
      <w:proofErr w:type="spellStart"/>
      <w:r>
        <w:t>runga</w:t>
      </w:r>
      <w:proofErr w:type="spellEnd"/>
      <w:r>
        <w:t xml:space="preserve"> </w:t>
      </w:r>
      <w:proofErr w:type="spellStart"/>
      <w:r>
        <w:t>i</w:t>
      </w:r>
      <w:proofErr w:type="spellEnd"/>
      <w:r>
        <w:t xml:space="preserve"> te tai </w:t>
      </w:r>
      <w:proofErr w:type="spellStart"/>
      <w:r>
        <w:t>awatea</w:t>
      </w:r>
      <w:proofErr w:type="spellEnd"/>
      <w:r>
        <w:t xml:space="preserve">; </w:t>
      </w:r>
      <w:proofErr w:type="spellStart"/>
      <w:r>
        <w:t>t</w:t>
      </w:r>
      <w:r w:rsidR="00B90588">
        <w:t>ā</w:t>
      </w:r>
      <w:r>
        <w:t>tou</w:t>
      </w:r>
      <w:proofErr w:type="spellEnd"/>
      <w:r>
        <w:t xml:space="preserve"> ka </w:t>
      </w:r>
      <w:proofErr w:type="spellStart"/>
      <w:r>
        <w:t>whaimuri</w:t>
      </w:r>
      <w:proofErr w:type="spellEnd"/>
      <w:r>
        <w:t xml:space="preserve"> </w:t>
      </w:r>
      <w:proofErr w:type="spellStart"/>
      <w:r>
        <w:t>i</w:t>
      </w:r>
      <w:proofErr w:type="spellEnd"/>
      <w:r>
        <w:t xml:space="preserve"> te tai </w:t>
      </w:r>
      <w:proofErr w:type="spellStart"/>
      <w:r>
        <w:t>ahiahi</w:t>
      </w:r>
      <w:proofErr w:type="spellEnd"/>
      <w:r>
        <w:t>.</w:t>
      </w:r>
      <w:r w:rsidR="006442C7">
        <w:t xml:space="preserve"> </w:t>
      </w:r>
      <w:proofErr w:type="spellStart"/>
      <w:r>
        <w:t>Hāere</w:t>
      </w:r>
      <w:proofErr w:type="spellEnd"/>
      <w:r>
        <w:t xml:space="preserve"> </w:t>
      </w:r>
      <w:proofErr w:type="spellStart"/>
      <w:r>
        <w:t>whaka</w:t>
      </w:r>
      <w:proofErr w:type="spellEnd"/>
      <w:r>
        <w:t>-te-</w:t>
      </w:r>
      <w:proofErr w:type="spellStart"/>
      <w:r>
        <w:t>tokerau</w:t>
      </w:r>
      <w:proofErr w:type="spellEnd"/>
      <w:r>
        <w:t xml:space="preserve"> </w:t>
      </w:r>
      <w:proofErr w:type="spellStart"/>
      <w:r>
        <w:t>ki</w:t>
      </w:r>
      <w:proofErr w:type="spellEnd"/>
      <w:r>
        <w:t xml:space="preserve"> </w:t>
      </w:r>
      <w:proofErr w:type="spellStart"/>
      <w:r>
        <w:t>runga</w:t>
      </w:r>
      <w:proofErr w:type="spellEnd"/>
      <w:r>
        <w:t xml:space="preserve"> </w:t>
      </w:r>
      <w:proofErr w:type="spellStart"/>
      <w:r>
        <w:t>i</w:t>
      </w:r>
      <w:proofErr w:type="spellEnd"/>
      <w:r>
        <w:t xml:space="preserve"> te Ara Wairua, </w:t>
      </w:r>
      <w:proofErr w:type="spellStart"/>
      <w:r>
        <w:t>ki</w:t>
      </w:r>
      <w:proofErr w:type="spellEnd"/>
      <w:r>
        <w:t xml:space="preserve"> Te </w:t>
      </w:r>
      <w:proofErr w:type="spellStart"/>
      <w:r>
        <w:t>Rerenga</w:t>
      </w:r>
      <w:proofErr w:type="spellEnd"/>
      <w:r>
        <w:t xml:space="preserve"> Wairua, </w:t>
      </w:r>
      <w:proofErr w:type="spellStart"/>
      <w:r>
        <w:t>ki</w:t>
      </w:r>
      <w:proofErr w:type="spellEnd"/>
      <w:r>
        <w:t xml:space="preserve"> Te Reinga.</w:t>
      </w:r>
      <w:r w:rsidR="006442C7">
        <w:t xml:space="preserve"> </w:t>
      </w:r>
      <w:r>
        <w:t xml:space="preserve">E ai </w:t>
      </w:r>
      <w:proofErr w:type="spellStart"/>
      <w:r>
        <w:t>ki</w:t>
      </w:r>
      <w:proofErr w:type="spellEnd"/>
      <w:r>
        <w:t xml:space="preserve"> te kōrero o </w:t>
      </w:r>
      <w:proofErr w:type="spellStart"/>
      <w:r>
        <w:t>Toiroa</w:t>
      </w:r>
      <w:proofErr w:type="spellEnd"/>
      <w:r>
        <w:t xml:space="preserve"> Te </w:t>
      </w:r>
      <w:proofErr w:type="spellStart"/>
      <w:r>
        <w:t>Ikariki</w:t>
      </w:r>
      <w:proofErr w:type="spellEnd"/>
      <w:r>
        <w:t>, “</w:t>
      </w:r>
      <w:proofErr w:type="spellStart"/>
      <w:r>
        <w:t>Hāere</w:t>
      </w:r>
      <w:proofErr w:type="spellEnd"/>
      <w:r>
        <w:t xml:space="preserve"> </w:t>
      </w:r>
      <w:proofErr w:type="spellStart"/>
      <w:r>
        <w:t>ki</w:t>
      </w:r>
      <w:proofErr w:type="spellEnd"/>
      <w:r>
        <w:t xml:space="preserve"> </w:t>
      </w:r>
      <w:proofErr w:type="spellStart"/>
      <w:r>
        <w:t>Matahourua</w:t>
      </w:r>
      <w:proofErr w:type="spellEnd"/>
      <w:r>
        <w:t xml:space="preserve">, </w:t>
      </w:r>
      <w:proofErr w:type="spellStart"/>
      <w:r>
        <w:t>hāere</w:t>
      </w:r>
      <w:proofErr w:type="spellEnd"/>
      <w:r>
        <w:t xml:space="preserve"> </w:t>
      </w:r>
      <w:proofErr w:type="spellStart"/>
      <w:r>
        <w:t>ki</w:t>
      </w:r>
      <w:proofErr w:type="spellEnd"/>
      <w:r>
        <w:t xml:space="preserve"> </w:t>
      </w:r>
      <w:proofErr w:type="spellStart"/>
      <w:r>
        <w:t>Waingaromia</w:t>
      </w:r>
      <w:proofErr w:type="spellEnd"/>
      <w:r>
        <w:t xml:space="preserve">, </w:t>
      </w:r>
      <w:proofErr w:type="spellStart"/>
      <w:r>
        <w:t>hāere</w:t>
      </w:r>
      <w:proofErr w:type="spellEnd"/>
      <w:r>
        <w:t xml:space="preserve"> </w:t>
      </w:r>
      <w:proofErr w:type="spellStart"/>
      <w:r>
        <w:t>ki</w:t>
      </w:r>
      <w:proofErr w:type="spellEnd"/>
      <w:r>
        <w:t xml:space="preserve"> </w:t>
      </w:r>
      <w:proofErr w:type="spellStart"/>
      <w:r>
        <w:t>oti</w:t>
      </w:r>
      <w:proofErr w:type="spellEnd"/>
      <w:r>
        <w:t xml:space="preserve"> </w:t>
      </w:r>
      <w:proofErr w:type="spellStart"/>
      <w:r>
        <w:t>atu</w:t>
      </w:r>
      <w:proofErr w:type="spellEnd"/>
      <w:r>
        <w:t xml:space="preserve"> </w:t>
      </w:r>
      <w:proofErr w:type="spellStart"/>
      <w:r>
        <w:t>rā</w:t>
      </w:r>
      <w:proofErr w:type="spellEnd"/>
      <w:r>
        <w:t xml:space="preserve"> e!”</w:t>
      </w:r>
      <w:r w:rsidR="006442C7">
        <w:t xml:space="preserve"> </w:t>
      </w:r>
      <w:r>
        <w:t xml:space="preserve">Ko </w:t>
      </w:r>
      <w:proofErr w:type="spellStart"/>
      <w:r>
        <w:t>koutou</w:t>
      </w:r>
      <w:proofErr w:type="spellEnd"/>
      <w:r>
        <w:t xml:space="preserve"> </w:t>
      </w:r>
      <w:proofErr w:type="spellStart"/>
      <w:r>
        <w:t>ki</w:t>
      </w:r>
      <w:proofErr w:type="spellEnd"/>
      <w:r>
        <w:t xml:space="preserve"> a </w:t>
      </w:r>
      <w:proofErr w:type="spellStart"/>
      <w:r>
        <w:t>koutou</w:t>
      </w:r>
      <w:proofErr w:type="spellEnd"/>
      <w:r>
        <w:t xml:space="preserve">; ko </w:t>
      </w:r>
      <w:proofErr w:type="spellStart"/>
      <w:r>
        <w:t>t</w:t>
      </w:r>
      <w:r w:rsidR="00B90588">
        <w:t>ā</w:t>
      </w:r>
      <w:r>
        <w:t>tou</w:t>
      </w:r>
      <w:proofErr w:type="spellEnd"/>
      <w:r>
        <w:t xml:space="preserve"> </w:t>
      </w:r>
      <w:proofErr w:type="spellStart"/>
      <w:r>
        <w:t>i</w:t>
      </w:r>
      <w:proofErr w:type="spellEnd"/>
      <w:r>
        <w:t xml:space="preserve"> </w:t>
      </w:r>
      <w:proofErr w:type="spellStart"/>
      <w:r>
        <w:t>mahue</w:t>
      </w:r>
      <w:proofErr w:type="spellEnd"/>
      <w:r>
        <w:t xml:space="preserve"> </w:t>
      </w:r>
      <w:proofErr w:type="spellStart"/>
      <w:r>
        <w:t>mai</w:t>
      </w:r>
      <w:proofErr w:type="spellEnd"/>
      <w:r>
        <w:t xml:space="preserve"> </w:t>
      </w:r>
      <w:proofErr w:type="spellStart"/>
      <w:r>
        <w:t>nei</w:t>
      </w:r>
      <w:proofErr w:type="spellEnd"/>
      <w:r>
        <w:t xml:space="preserve"> </w:t>
      </w:r>
      <w:proofErr w:type="spellStart"/>
      <w:r>
        <w:t>ki</w:t>
      </w:r>
      <w:proofErr w:type="spellEnd"/>
      <w:r>
        <w:t xml:space="preserve"> a tatou.</w:t>
      </w:r>
      <w:r w:rsidR="006442C7">
        <w:t xml:space="preserve"> </w:t>
      </w:r>
      <w:proofErr w:type="spellStart"/>
      <w:r>
        <w:t>Tēnā</w:t>
      </w:r>
      <w:proofErr w:type="spellEnd"/>
      <w:r>
        <w:t xml:space="preserve"> </w:t>
      </w:r>
      <w:proofErr w:type="spellStart"/>
      <w:r>
        <w:t>anō</w:t>
      </w:r>
      <w:proofErr w:type="spellEnd"/>
      <w:r>
        <w:t xml:space="preserve"> tatou </w:t>
      </w:r>
      <w:proofErr w:type="spellStart"/>
      <w:r>
        <w:t>katoa</w:t>
      </w:r>
      <w:proofErr w:type="spellEnd"/>
      <w:r>
        <w:t>!</w:t>
      </w:r>
    </w:p>
    <w:p w14:paraId="5FCFBE5A" w14:textId="77777777" w:rsidR="00264EA1" w:rsidRPr="00DF4441" w:rsidRDefault="00264EA1" w:rsidP="00264EA1">
      <w:pPr>
        <w:spacing w:after="0"/>
        <w:rPr>
          <w:sz w:val="20"/>
        </w:rPr>
      </w:pPr>
    </w:p>
    <w:p w14:paraId="3FC665C0" w14:textId="13D2ED40" w:rsidR="00264EA1" w:rsidRDefault="00264EA1" w:rsidP="00264EA1">
      <w:pPr>
        <w:spacing w:after="0"/>
      </w:pPr>
      <w:r>
        <w:t xml:space="preserve">He Korowai Oranga, the Māori Health Strategy was originally launched in 2002, </w:t>
      </w:r>
      <w:r w:rsidR="00DF4441">
        <w:t xml:space="preserve">and </w:t>
      </w:r>
      <w:r>
        <w:t>provid</w:t>
      </w:r>
      <w:r w:rsidR="00DF4441">
        <w:t>ed</w:t>
      </w:r>
      <w:r>
        <w:t xml:space="preserve"> a ten-year outlook with an overall aim of whānau ora.</w:t>
      </w:r>
      <w:r w:rsidR="006442C7">
        <w:t xml:space="preserve"> </w:t>
      </w:r>
      <w:r>
        <w:t xml:space="preserve">The Strategy was then refreshed in 2014, with an expanded aim of </w:t>
      </w:r>
      <w:proofErr w:type="spellStart"/>
      <w:r>
        <w:t>pae</w:t>
      </w:r>
      <w:proofErr w:type="spellEnd"/>
      <w:r>
        <w:t xml:space="preserve"> </w:t>
      </w:r>
      <w:proofErr w:type="spellStart"/>
      <w:r>
        <w:t>ora</w:t>
      </w:r>
      <w:proofErr w:type="spellEnd"/>
      <w:r>
        <w:t xml:space="preserve"> – healthy futures – comprising three key elements: mauri ora – healthy individuals; whānau ora – healthy families; and </w:t>
      </w:r>
      <w:proofErr w:type="spellStart"/>
      <w:r>
        <w:t>wai</w:t>
      </w:r>
      <w:proofErr w:type="spellEnd"/>
      <w:r>
        <w:t xml:space="preserve"> </w:t>
      </w:r>
      <w:proofErr w:type="spellStart"/>
      <w:r>
        <w:t>ora</w:t>
      </w:r>
      <w:proofErr w:type="spellEnd"/>
      <w:r>
        <w:t xml:space="preserve"> – healthy environments.</w:t>
      </w:r>
      <w:r w:rsidR="006442C7">
        <w:t xml:space="preserve"> </w:t>
      </w:r>
      <w:r>
        <w:t xml:space="preserve">The implementation of the original Strategy was guided by two Māori </w:t>
      </w:r>
      <w:r w:rsidR="00B90588">
        <w:t>H</w:t>
      </w:r>
      <w:r>
        <w:t xml:space="preserve">ealth </w:t>
      </w:r>
      <w:r w:rsidR="00B90588">
        <w:t>A</w:t>
      </w:r>
      <w:r>
        <w:t xml:space="preserve">ction </w:t>
      </w:r>
      <w:r w:rsidR="00B90588">
        <w:t>P</w:t>
      </w:r>
      <w:r>
        <w:t>lans, which concluded prior to the refresh of the Strategy in 2014.</w:t>
      </w:r>
      <w:r w:rsidR="006442C7">
        <w:t xml:space="preserve"> </w:t>
      </w:r>
      <w:r>
        <w:t xml:space="preserve">Now that the Strategy has been refreshed, it is timely to develop the next national Māori </w:t>
      </w:r>
      <w:r w:rsidR="00B90588">
        <w:t>H</w:t>
      </w:r>
      <w:r>
        <w:t xml:space="preserve">ealth </w:t>
      </w:r>
      <w:r w:rsidR="00B90588">
        <w:t>A</w:t>
      </w:r>
      <w:r>
        <w:t xml:space="preserve">ction </w:t>
      </w:r>
      <w:r w:rsidR="00B90588">
        <w:t>P</w:t>
      </w:r>
      <w:r>
        <w:t>lan.</w:t>
      </w:r>
    </w:p>
    <w:p w14:paraId="393A5589" w14:textId="77777777" w:rsidR="00264EA1" w:rsidRPr="00DF4441" w:rsidRDefault="00264EA1" w:rsidP="00264EA1">
      <w:pPr>
        <w:spacing w:after="0"/>
        <w:rPr>
          <w:sz w:val="20"/>
        </w:rPr>
      </w:pPr>
    </w:p>
    <w:p w14:paraId="0DF039FF" w14:textId="125629EF" w:rsidR="00264EA1" w:rsidRDefault="00264EA1" w:rsidP="00264EA1">
      <w:pPr>
        <w:spacing w:after="0"/>
      </w:pPr>
      <w:r>
        <w:t>He Korowai Oranga continues to set a strong direction for Māori health.</w:t>
      </w:r>
      <w:r w:rsidR="006442C7">
        <w:t xml:space="preserve"> </w:t>
      </w:r>
      <w:r>
        <w:t>Importantly, we are being challenged to do better and to go further.</w:t>
      </w:r>
      <w:r w:rsidR="006442C7">
        <w:t xml:space="preserve"> </w:t>
      </w:r>
      <w:r>
        <w:t xml:space="preserve">That includes continuing to meet our responsibilities under Te Tiriti o Waitangi, to address and improve substantial health inequities, and to ensure all services </w:t>
      </w:r>
      <w:r w:rsidR="00DF4441">
        <w:t>for</w:t>
      </w:r>
      <w:r>
        <w:t xml:space="preserve"> Māori are appropriate and safe.</w:t>
      </w:r>
      <w:r w:rsidR="006442C7">
        <w:t xml:space="preserve"> </w:t>
      </w:r>
      <w:r>
        <w:t xml:space="preserve">These challenges are substantial and require a strong plan to implement actions and meet </w:t>
      </w:r>
      <w:r w:rsidR="0023599F">
        <w:t>expectations</w:t>
      </w:r>
      <w:r>
        <w:t>.</w:t>
      </w:r>
      <w:r w:rsidR="006442C7">
        <w:t xml:space="preserve"> </w:t>
      </w:r>
      <w:r>
        <w:t xml:space="preserve">As such, the </w:t>
      </w:r>
      <w:r w:rsidRPr="00F9088A">
        <w:t xml:space="preserve">development of this </w:t>
      </w:r>
      <w:r w:rsidR="00214252" w:rsidRPr="00F9088A">
        <w:t xml:space="preserve">next </w:t>
      </w:r>
      <w:r w:rsidRPr="00F9088A">
        <w:t>Māori</w:t>
      </w:r>
      <w:r>
        <w:t xml:space="preserve"> </w:t>
      </w:r>
      <w:r w:rsidR="00582EB5">
        <w:t>H</w:t>
      </w:r>
      <w:r>
        <w:t xml:space="preserve">ealth </w:t>
      </w:r>
      <w:r w:rsidR="00582EB5">
        <w:t>A</w:t>
      </w:r>
      <w:r>
        <w:t xml:space="preserve">ction </w:t>
      </w:r>
      <w:r w:rsidR="00582EB5">
        <w:t>P</w:t>
      </w:r>
      <w:r>
        <w:t>lan is both critical and necessary.</w:t>
      </w:r>
      <w:r w:rsidR="006442C7">
        <w:t xml:space="preserve"> </w:t>
      </w:r>
      <w:proofErr w:type="gramStart"/>
      <w:r>
        <w:t>Needless to say, ensuring</w:t>
      </w:r>
      <w:proofErr w:type="gramEnd"/>
      <w:r>
        <w:t xml:space="preserve"> that the plan is focused on the right things is an important backdrop to the development of this discussion document and the consequential engagement with our Māori health partners, stakeholders and communities.</w:t>
      </w:r>
    </w:p>
    <w:p w14:paraId="53ED9B37" w14:textId="77777777" w:rsidR="00264EA1" w:rsidRDefault="00264EA1" w:rsidP="00264EA1">
      <w:pPr>
        <w:spacing w:after="0"/>
      </w:pPr>
    </w:p>
    <w:p w14:paraId="5D6873EE" w14:textId="7AA98182" w:rsidR="00264EA1" w:rsidRDefault="00264EA1" w:rsidP="00264EA1">
      <w:pPr>
        <w:spacing w:after="0"/>
      </w:pPr>
      <w:proofErr w:type="spellStart"/>
      <w:r>
        <w:t>Nā</w:t>
      </w:r>
      <w:proofErr w:type="spellEnd"/>
      <w:r>
        <w:t xml:space="preserve"> </w:t>
      </w:r>
      <w:proofErr w:type="spellStart"/>
      <w:r>
        <w:t>reira</w:t>
      </w:r>
      <w:proofErr w:type="spellEnd"/>
      <w:r>
        <w:t xml:space="preserve">, </w:t>
      </w:r>
      <w:proofErr w:type="spellStart"/>
      <w:r>
        <w:t>ki</w:t>
      </w:r>
      <w:proofErr w:type="spellEnd"/>
      <w:r>
        <w:t xml:space="preserve"> </w:t>
      </w:r>
      <w:proofErr w:type="spellStart"/>
      <w:r>
        <w:t>tā</w:t>
      </w:r>
      <w:proofErr w:type="spellEnd"/>
      <w:r>
        <w:t xml:space="preserve"> te kōrero o </w:t>
      </w:r>
      <w:proofErr w:type="spellStart"/>
      <w:r>
        <w:t>Hikairo</w:t>
      </w:r>
      <w:proofErr w:type="spellEnd"/>
      <w:r>
        <w:t xml:space="preserve"> o Te </w:t>
      </w:r>
      <w:proofErr w:type="spellStart"/>
      <w:r>
        <w:t>Māhia</w:t>
      </w:r>
      <w:proofErr w:type="spellEnd"/>
      <w:r>
        <w:t xml:space="preserve">, “He </w:t>
      </w:r>
      <w:proofErr w:type="spellStart"/>
      <w:r>
        <w:t>manako</w:t>
      </w:r>
      <w:proofErr w:type="spellEnd"/>
      <w:r>
        <w:t xml:space="preserve"> e koura, e kore ai!”</w:t>
      </w:r>
      <w:r w:rsidR="006442C7">
        <w:t xml:space="preserve"> </w:t>
      </w:r>
      <w:r>
        <w:t xml:space="preserve">Ko te tikanga o </w:t>
      </w:r>
      <w:proofErr w:type="spellStart"/>
      <w:r>
        <w:t>tērā</w:t>
      </w:r>
      <w:proofErr w:type="spellEnd"/>
      <w:r>
        <w:t xml:space="preserve"> korero, </w:t>
      </w:r>
      <w:proofErr w:type="spellStart"/>
      <w:r>
        <w:t>ahakoa</w:t>
      </w:r>
      <w:proofErr w:type="spellEnd"/>
      <w:r>
        <w:t xml:space="preserve"> e </w:t>
      </w:r>
      <w:proofErr w:type="spellStart"/>
      <w:r>
        <w:t>pai</w:t>
      </w:r>
      <w:proofErr w:type="spellEnd"/>
      <w:r>
        <w:t xml:space="preserve"> </w:t>
      </w:r>
      <w:proofErr w:type="spellStart"/>
      <w:r>
        <w:t>ana</w:t>
      </w:r>
      <w:proofErr w:type="spellEnd"/>
      <w:r>
        <w:t xml:space="preserve"> te </w:t>
      </w:r>
      <w:proofErr w:type="spellStart"/>
      <w:r>
        <w:t>moemoeā</w:t>
      </w:r>
      <w:proofErr w:type="spellEnd"/>
      <w:r>
        <w:t xml:space="preserve"> </w:t>
      </w:r>
      <w:proofErr w:type="spellStart"/>
      <w:r>
        <w:t>hei</w:t>
      </w:r>
      <w:proofErr w:type="spellEnd"/>
      <w:r>
        <w:t xml:space="preserve"> </w:t>
      </w:r>
      <w:proofErr w:type="spellStart"/>
      <w:r>
        <w:t>whainga</w:t>
      </w:r>
      <w:proofErr w:type="spellEnd"/>
      <w:r>
        <w:t xml:space="preserve"> </w:t>
      </w:r>
      <w:proofErr w:type="spellStart"/>
      <w:r>
        <w:t>atu</w:t>
      </w:r>
      <w:proofErr w:type="spellEnd"/>
      <w:r>
        <w:t xml:space="preserve">, </w:t>
      </w:r>
      <w:proofErr w:type="spellStart"/>
      <w:r>
        <w:t>mehemea</w:t>
      </w:r>
      <w:proofErr w:type="spellEnd"/>
      <w:r>
        <w:t xml:space="preserve"> </w:t>
      </w:r>
      <w:proofErr w:type="spellStart"/>
      <w:r>
        <w:t>kāre</w:t>
      </w:r>
      <w:proofErr w:type="spellEnd"/>
      <w:r>
        <w:t xml:space="preserve"> e </w:t>
      </w:r>
      <w:proofErr w:type="spellStart"/>
      <w:r>
        <w:t>whakapau</w:t>
      </w:r>
      <w:proofErr w:type="spellEnd"/>
      <w:r>
        <w:t xml:space="preserve"> </w:t>
      </w:r>
      <w:proofErr w:type="spellStart"/>
      <w:r>
        <w:t>werawera</w:t>
      </w:r>
      <w:proofErr w:type="spellEnd"/>
      <w:r>
        <w:t xml:space="preserve"> </w:t>
      </w:r>
      <w:proofErr w:type="spellStart"/>
      <w:r>
        <w:t>ki</w:t>
      </w:r>
      <w:proofErr w:type="spellEnd"/>
      <w:r>
        <w:t xml:space="preserve"> te </w:t>
      </w:r>
      <w:proofErr w:type="spellStart"/>
      <w:r>
        <w:t>tutuki</w:t>
      </w:r>
      <w:proofErr w:type="spellEnd"/>
      <w:r>
        <w:t xml:space="preserve"> e kore e </w:t>
      </w:r>
      <w:proofErr w:type="spellStart"/>
      <w:r>
        <w:t>tāea</w:t>
      </w:r>
      <w:proofErr w:type="spellEnd"/>
      <w:r>
        <w:t>.</w:t>
      </w:r>
      <w:r w:rsidR="006442C7">
        <w:t xml:space="preserve"> </w:t>
      </w:r>
      <w:proofErr w:type="spellStart"/>
      <w:r>
        <w:t>Heoi</w:t>
      </w:r>
      <w:proofErr w:type="spellEnd"/>
      <w:r>
        <w:t xml:space="preserve"> </w:t>
      </w:r>
      <w:proofErr w:type="spellStart"/>
      <w:r>
        <w:t>anō</w:t>
      </w:r>
      <w:proofErr w:type="spellEnd"/>
      <w:r>
        <w:t xml:space="preserve">, </w:t>
      </w:r>
      <w:proofErr w:type="spellStart"/>
      <w:r>
        <w:t>mā</w:t>
      </w:r>
      <w:proofErr w:type="spellEnd"/>
      <w:r>
        <w:t xml:space="preserve"> </w:t>
      </w:r>
      <w:proofErr w:type="spellStart"/>
      <w:r>
        <w:t>t</w:t>
      </w:r>
      <w:r w:rsidR="00B90588">
        <w:t>ā</w:t>
      </w:r>
      <w:r>
        <w:t>tou</w:t>
      </w:r>
      <w:proofErr w:type="spellEnd"/>
      <w:r>
        <w:t xml:space="preserve"> </w:t>
      </w:r>
      <w:proofErr w:type="spellStart"/>
      <w:r>
        <w:t>katoa</w:t>
      </w:r>
      <w:proofErr w:type="spellEnd"/>
      <w:r>
        <w:t xml:space="preserve"> te </w:t>
      </w:r>
      <w:proofErr w:type="spellStart"/>
      <w:r>
        <w:t>whakatutukitanga</w:t>
      </w:r>
      <w:proofErr w:type="spellEnd"/>
      <w:r>
        <w:t xml:space="preserve"> o </w:t>
      </w:r>
      <w:proofErr w:type="spellStart"/>
      <w:r>
        <w:t>tēnei</w:t>
      </w:r>
      <w:proofErr w:type="spellEnd"/>
      <w:r>
        <w:t xml:space="preserve"> </w:t>
      </w:r>
      <w:proofErr w:type="spellStart"/>
      <w:r>
        <w:t>māhere</w:t>
      </w:r>
      <w:proofErr w:type="spellEnd"/>
      <w:r>
        <w:t xml:space="preserve"> </w:t>
      </w:r>
      <w:proofErr w:type="spellStart"/>
      <w:r>
        <w:t>hauora</w:t>
      </w:r>
      <w:proofErr w:type="spellEnd"/>
      <w:r>
        <w:t xml:space="preserve"> Māori, </w:t>
      </w:r>
      <w:proofErr w:type="spellStart"/>
      <w:r>
        <w:t>otirā</w:t>
      </w:r>
      <w:proofErr w:type="spellEnd"/>
      <w:r>
        <w:t xml:space="preserve"> me </w:t>
      </w:r>
      <w:proofErr w:type="spellStart"/>
      <w:r>
        <w:t>tōna</w:t>
      </w:r>
      <w:proofErr w:type="spellEnd"/>
      <w:r>
        <w:t xml:space="preserve"> </w:t>
      </w:r>
      <w:proofErr w:type="spellStart"/>
      <w:r>
        <w:t>whainga</w:t>
      </w:r>
      <w:proofErr w:type="spellEnd"/>
      <w:r>
        <w:t xml:space="preserve"> </w:t>
      </w:r>
      <w:proofErr w:type="spellStart"/>
      <w:r>
        <w:t>matua</w:t>
      </w:r>
      <w:proofErr w:type="spellEnd"/>
      <w:r>
        <w:t xml:space="preserve"> </w:t>
      </w:r>
      <w:proofErr w:type="spellStart"/>
      <w:r>
        <w:t>arā</w:t>
      </w:r>
      <w:proofErr w:type="spellEnd"/>
      <w:r>
        <w:t xml:space="preserve"> te </w:t>
      </w:r>
      <w:proofErr w:type="spellStart"/>
      <w:r>
        <w:t>oranga</w:t>
      </w:r>
      <w:proofErr w:type="spellEnd"/>
      <w:r>
        <w:t xml:space="preserve"> </w:t>
      </w:r>
      <w:proofErr w:type="spellStart"/>
      <w:r>
        <w:t>tonutanga</w:t>
      </w:r>
      <w:proofErr w:type="spellEnd"/>
      <w:r>
        <w:t xml:space="preserve"> o te iwi </w:t>
      </w:r>
      <w:proofErr w:type="spellStart"/>
      <w:r>
        <w:t>whānui</w:t>
      </w:r>
      <w:proofErr w:type="spellEnd"/>
      <w:r>
        <w:t xml:space="preserve"> o Aotearoa </w:t>
      </w:r>
      <w:proofErr w:type="spellStart"/>
      <w:r>
        <w:t>nei</w:t>
      </w:r>
      <w:proofErr w:type="spellEnd"/>
      <w:r>
        <w:t>.</w:t>
      </w:r>
    </w:p>
    <w:p w14:paraId="0B346155" w14:textId="77777777" w:rsidR="00264EA1" w:rsidRPr="00DF4441" w:rsidRDefault="00264EA1" w:rsidP="00264EA1">
      <w:pPr>
        <w:spacing w:after="0"/>
        <w:rPr>
          <w:sz w:val="20"/>
        </w:rPr>
      </w:pPr>
    </w:p>
    <w:p w14:paraId="7386B49F" w14:textId="03611DFF" w:rsidR="00264EA1" w:rsidRDefault="00264EA1" w:rsidP="00264EA1">
      <w:pPr>
        <w:spacing w:after="0"/>
      </w:pPr>
      <w:r>
        <w:t xml:space="preserve">Mauri </w:t>
      </w:r>
      <w:proofErr w:type="spellStart"/>
      <w:r>
        <w:t>tū</w:t>
      </w:r>
      <w:proofErr w:type="spellEnd"/>
      <w:r>
        <w:t xml:space="preserve">, mauri </w:t>
      </w:r>
      <w:proofErr w:type="spellStart"/>
      <w:r>
        <w:t>ohooho</w:t>
      </w:r>
      <w:proofErr w:type="spellEnd"/>
      <w:r>
        <w:t>, mauri ora!</w:t>
      </w:r>
    </w:p>
    <w:p w14:paraId="1E988C7C" w14:textId="7B122D4F" w:rsidR="00264EA1" w:rsidRDefault="00264EA1" w:rsidP="00DF4441">
      <w:pPr>
        <w:spacing w:after="0"/>
      </w:pPr>
      <w:r>
        <w:t>John Whaanga</w:t>
      </w:r>
      <w:r w:rsidR="006442C7">
        <w:t xml:space="preserve">, </w:t>
      </w:r>
      <w:r>
        <w:t>Deputy Director-General, Māori Health</w:t>
      </w:r>
    </w:p>
    <w:p w14:paraId="185B8401" w14:textId="77777777" w:rsidR="00047831" w:rsidRPr="00686461" w:rsidRDefault="00047831" w:rsidP="006442C7">
      <w:pPr>
        <w:pStyle w:val="Heading1"/>
        <w:pageBreakBefore/>
        <w:rPr>
          <w:rFonts w:cs="Segoe UI"/>
          <w:b/>
        </w:rPr>
      </w:pPr>
      <w:bookmarkStart w:id="2" w:name="_Toc17195705"/>
      <w:r w:rsidRPr="00686461">
        <w:rPr>
          <w:rFonts w:cs="Segoe UI"/>
          <w:b/>
        </w:rPr>
        <w:lastRenderedPageBreak/>
        <w:t>Acknowledgements</w:t>
      </w:r>
      <w:bookmarkEnd w:id="2"/>
      <w:r w:rsidRPr="00686461">
        <w:rPr>
          <w:rFonts w:cs="Segoe UI"/>
          <w:b/>
        </w:rPr>
        <w:t xml:space="preserve"> </w:t>
      </w:r>
    </w:p>
    <w:p w14:paraId="09E3E84B" w14:textId="146809F7" w:rsidR="00047831" w:rsidRDefault="00047831" w:rsidP="00E94778">
      <w:pPr>
        <w:spacing w:after="0"/>
      </w:pPr>
      <w:r w:rsidRPr="00E94778">
        <w:t xml:space="preserve">The Ministry of Health wishes to acknowledge the contributions of all those who have contributed to developing the </w:t>
      </w:r>
      <w:r w:rsidR="00246114">
        <w:t>discussion document to inform a</w:t>
      </w:r>
      <w:r w:rsidRPr="00E94778">
        <w:t xml:space="preserve"> </w:t>
      </w:r>
      <w:r w:rsidR="00B90588">
        <w:t>Māori Health A</w:t>
      </w:r>
      <w:r w:rsidRPr="00E94778">
        <w:t xml:space="preserve">ction </w:t>
      </w:r>
      <w:r w:rsidR="00B90588">
        <w:t>P</w:t>
      </w:r>
      <w:r w:rsidRPr="00E94778">
        <w:t xml:space="preserve">lan. </w:t>
      </w:r>
      <w:proofErr w:type="gramStart"/>
      <w:r w:rsidRPr="00E94778">
        <w:t>In particular, we</w:t>
      </w:r>
      <w:proofErr w:type="gramEnd"/>
      <w:r w:rsidRPr="00E94778">
        <w:t xml:space="preserve"> would like to acknowledge </w:t>
      </w:r>
      <w:proofErr w:type="spellStart"/>
      <w:r w:rsidRPr="00E94778">
        <w:t>T</w:t>
      </w:r>
      <w:r w:rsidR="00B90588">
        <w:t>ā</w:t>
      </w:r>
      <w:proofErr w:type="spellEnd"/>
      <w:r w:rsidRPr="00E94778">
        <w:t xml:space="preserve"> Mason Durie for his generosity of time and wisdom as we seek his insights, and the expertise and insights provided by </w:t>
      </w:r>
      <w:r w:rsidR="00DF4441">
        <w:t>t</w:t>
      </w:r>
      <w:r w:rsidRPr="00E94778">
        <w:t>he Māori Health Action Plan Expert Advisory Group:</w:t>
      </w:r>
    </w:p>
    <w:p w14:paraId="4A8C1822" w14:textId="77777777" w:rsidR="00E94778" w:rsidRPr="00E94778" w:rsidRDefault="00E94778" w:rsidP="00E94778">
      <w:pPr>
        <w:spacing w:after="0"/>
      </w:pPr>
    </w:p>
    <w:p w14:paraId="07533521" w14:textId="77777777" w:rsidR="00047831" w:rsidRPr="005C2031" w:rsidRDefault="00047831" w:rsidP="005E61C4">
      <w:pPr>
        <w:pStyle w:val="ListParagraph"/>
        <w:numPr>
          <w:ilvl w:val="0"/>
          <w:numId w:val="4"/>
        </w:numPr>
        <w:spacing w:after="0"/>
        <w:rPr>
          <w:sz w:val="22"/>
        </w:rPr>
      </w:pPr>
      <w:r w:rsidRPr="005C2031">
        <w:rPr>
          <w:sz w:val="22"/>
        </w:rPr>
        <w:t>Hingatu Thompson (Chair)</w:t>
      </w:r>
    </w:p>
    <w:p w14:paraId="1E29E917" w14:textId="77777777" w:rsidR="00047831" w:rsidRPr="005C2031" w:rsidRDefault="00047831" w:rsidP="005E61C4">
      <w:pPr>
        <w:pStyle w:val="ListParagraph"/>
        <w:numPr>
          <w:ilvl w:val="0"/>
          <w:numId w:val="4"/>
        </w:numPr>
        <w:spacing w:after="0"/>
        <w:rPr>
          <w:sz w:val="22"/>
        </w:rPr>
      </w:pPr>
      <w:proofErr w:type="spellStart"/>
      <w:r w:rsidRPr="005C2031">
        <w:rPr>
          <w:sz w:val="22"/>
        </w:rPr>
        <w:t>Matire</w:t>
      </w:r>
      <w:proofErr w:type="spellEnd"/>
      <w:r w:rsidRPr="005C2031">
        <w:rPr>
          <w:sz w:val="22"/>
        </w:rPr>
        <w:t xml:space="preserve"> Hardwood</w:t>
      </w:r>
    </w:p>
    <w:p w14:paraId="48DFD060" w14:textId="77777777" w:rsidR="00047831" w:rsidRPr="005C2031" w:rsidRDefault="00047831" w:rsidP="005E61C4">
      <w:pPr>
        <w:pStyle w:val="ListParagraph"/>
        <w:numPr>
          <w:ilvl w:val="0"/>
          <w:numId w:val="4"/>
        </w:numPr>
        <w:spacing w:after="0"/>
        <w:rPr>
          <w:sz w:val="22"/>
        </w:rPr>
      </w:pPr>
      <w:r w:rsidRPr="005C2031">
        <w:rPr>
          <w:sz w:val="22"/>
        </w:rPr>
        <w:t>Lance Norman</w:t>
      </w:r>
    </w:p>
    <w:p w14:paraId="4D49D57B" w14:textId="66985251" w:rsidR="00047831" w:rsidRPr="005C2031" w:rsidRDefault="00047831" w:rsidP="005E61C4">
      <w:pPr>
        <w:pStyle w:val="ListParagraph"/>
        <w:numPr>
          <w:ilvl w:val="0"/>
          <w:numId w:val="4"/>
        </w:numPr>
        <w:spacing w:after="0"/>
        <w:rPr>
          <w:sz w:val="22"/>
        </w:rPr>
      </w:pPr>
      <w:r w:rsidRPr="005C2031">
        <w:rPr>
          <w:sz w:val="22"/>
        </w:rPr>
        <w:t>Trist</w:t>
      </w:r>
      <w:r w:rsidR="00DF4441">
        <w:rPr>
          <w:sz w:val="22"/>
        </w:rPr>
        <w:t>r</w:t>
      </w:r>
      <w:r w:rsidRPr="005C2031">
        <w:rPr>
          <w:sz w:val="22"/>
        </w:rPr>
        <w:t xml:space="preserve">am </w:t>
      </w:r>
      <w:proofErr w:type="spellStart"/>
      <w:r w:rsidRPr="005C2031">
        <w:rPr>
          <w:sz w:val="22"/>
        </w:rPr>
        <w:t>Ingham</w:t>
      </w:r>
      <w:proofErr w:type="spellEnd"/>
    </w:p>
    <w:p w14:paraId="248FAB06" w14:textId="3BFD9672" w:rsidR="00047831" w:rsidRPr="005C2031" w:rsidRDefault="00047831" w:rsidP="005E61C4">
      <w:pPr>
        <w:pStyle w:val="ListParagraph"/>
        <w:numPr>
          <w:ilvl w:val="0"/>
          <w:numId w:val="4"/>
        </w:numPr>
        <w:spacing w:after="0"/>
        <w:rPr>
          <w:sz w:val="22"/>
        </w:rPr>
      </w:pPr>
      <w:r w:rsidRPr="005C2031">
        <w:rPr>
          <w:sz w:val="22"/>
        </w:rPr>
        <w:t xml:space="preserve">Te </w:t>
      </w:r>
      <w:proofErr w:type="spellStart"/>
      <w:r w:rsidRPr="005C2031">
        <w:rPr>
          <w:sz w:val="22"/>
        </w:rPr>
        <w:t>Pora</w:t>
      </w:r>
      <w:proofErr w:type="spellEnd"/>
      <w:r w:rsidRPr="005C2031">
        <w:rPr>
          <w:sz w:val="22"/>
        </w:rPr>
        <w:t xml:space="preserve"> Thompson</w:t>
      </w:r>
      <w:r w:rsidR="00637057">
        <w:rPr>
          <w:sz w:val="22"/>
        </w:rPr>
        <w:t>-</w:t>
      </w:r>
      <w:r w:rsidRPr="005C2031">
        <w:rPr>
          <w:sz w:val="22"/>
        </w:rPr>
        <w:t>Evans</w:t>
      </w:r>
    </w:p>
    <w:p w14:paraId="36A0C8C4" w14:textId="77777777" w:rsidR="00047831" w:rsidRPr="005C2031" w:rsidRDefault="00047831" w:rsidP="005E61C4">
      <w:pPr>
        <w:pStyle w:val="ListParagraph"/>
        <w:numPr>
          <w:ilvl w:val="0"/>
          <w:numId w:val="4"/>
        </w:numPr>
        <w:spacing w:after="0"/>
        <w:rPr>
          <w:sz w:val="22"/>
        </w:rPr>
      </w:pPr>
      <w:r w:rsidRPr="005C2031">
        <w:rPr>
          <w:sz w:val="22"/>
        </w:rPr>
        <w:t xml:space="preserve">Ezekiel </w:t>
      </w:r>
      <w:proofErr w:type="spellStart"/>
      <w:r w:rsidRPr="005C2031">
        <w:rPr>
          <w:sz w:val="22"/>
        </w:rPr>
        <w:t>Raui</w:t>
      </w:r>
      <w:proofErr w:type="spellEnd"/>
    </w:p>
    <w:p w14:paraId="5142DAE6" w14:textId="7C9ADA38" w:rsidR="00047831" w:rsidRPr="005C2031" w:rsidRDefault="00047831" w:rsidP="005E61C4">
      <w:pPr>
        <w:pStyle w:val="ListParagraph"/>
        <w:numPr>
          <w:ilvl w:val="0"/>
          <w:numId w:val="4"/>
        </w:numPr>
        <w:spacing w:after="0"/>
        <w:rPr>
          <w:sz w:val="22"/>
        </w:rPr>
      </w:pPr>
      <w:r w:rsidRPr="005C2031">
        <w:rPr>
          <w:sz w:val="22"/>
        </w:rPr>
        <w:t xml:space="preserve">Suzanne </w:t>
      </w:r>
      <w:proofErr w:type="spellStart"/>
      <w:r w:rsidRPr="005C2031">
        <w:rPr>
          <w:sz w:val="22"/>
        </w:rPr>
        <w:t>Pitama</w:t>
      </w:r>
      <w:proofErr w:type="spellEnd"/>
      <w:r w:rsidR="00DF4441">
        <w:rPr>
          <w:sz w:val="22"/>
        </w:rPr>
        <w:t>.</w:t>
      </w:r>
    </w:p>
    <w:p w14:paraId="786CC945" w14:textId="77777777" w:rsidR="00E94778" w:rsidRPr="00E94778" w:rsidRDefault="00E94778" w:rsidP="00E94778">
      <w:pPr>
        <w:spacing w:after="0"/>
      </w:pPr>
    </w:p>
    <w:p w14:paraId="7663519E" w14:textId="42367D64" w:rsidR="006A16D3" w:rsidRPr="00E94778" w:rsidRDefault="00047831" w:rsidP="00E94778">
      <w:pPr>
        <w:spacing w:after="0"/>
      </w:pPr>
      <w:r w:rsidRPr="00E94778">
        <w:t xml:space="preserve">The Ministry would also like to acknowledge Te Tumu </w:t>
      </w:r>
      <w:proofErr w:type="spellStart"/>
      <w:r w:rsidRPr="00E94778">
        <w:t>Whakarae</w:t>
      </w:r>
      <w:proofErr w:type="spellEnd"/>
      <w:r w:rsidRPr="00E94778">
        <w:t xml:space="preserve"> (District Health Board Māori Managers) for their contribution, support and advice in the development process</w:t>
      </w:r>
      <w:r w:rsidR="001B05B2" w:rsidRPr="00E94778">
        <w:t>.</w:t>
      </w:r>
    </w:p>
    <w:sdt>
      <w:sdtPr>
        <w:rPr>
          <w:rFonts w:asciiTheme="minorHAnsi" w:eastAsiaTheme="minorHAnsi" w:hAnsiTheme="minorHAnsi" w:cstheme="minorBidi"/>
          <w:color w:val="auto"/>
          <w:sz w:val="22"/>
          <w:szCs w:val="22"/>
          <w:lang w:val="en-NZ"/>
        </w:rPr>
        <w:id w:val="-685748464"/>
        <w:docPartObj>
          <w:docPartGallery w:val="Table of Contents"/>
          <w:docPartUnique/>
        </w:docPartObj>
      </w:sdtPr>
      <w:sdtEndPr>
        <w:rPr>
          <w:rFonts w:ascii="Segoe UI" w:hAnsi="Segoe UI"/>
          <w:b/>
          <w:bCs/>
          <w:noProof/>
        </w:rPr>
      </w:sdtEndPr>
      <w:sdtContent>
        <w:p w14:paraId="5B3F11DF" w14:textId="10CDD209" w:rsidR="00900A9F" w:rsidRPr="00111034" w:rsidRDefault="00900A9F" w:rsidP="00E94778">
          <w:pPr>
            <w:pStyle w:val="TOCHeading"/>
            <w:pageBreakBefore/>
            <w:rPr>
              <w:rStyle w:val="Heading1Char"/>
              <w:b/>
            </w:rPr>
          </w:pPr>
          <w:r w:rsidRPr="00111034">
            <w:rPr>
              <w:rStyle w:val="Heading1Char"/>
              <w:b/>
            </w:rPr>
            <w:t>Contents</w:t>
          </w:r>
        </w:p>
        <w:p w14:paraId="66555A4D" w14:textId="41A4F76D" w:rsidR="00393D5A" w:rsidRDefault="00900A9F">
          <w:pPr>
            <w:pStyle w:val="TOC1"/>
            <w:rPr>
              <w:rFonts w:asciiTheme="minorHAnsi" w:eastAsiaTheme="minorEastAsia" w:hAnsiTheme="minorHAnsi"/>
              <w:noProof/>
              <w:lang w:eastAsia="en-NZ"/>
            </w:rPr>
          </w:pPr>
          <w:r w:rsidRPr="00686461">
            <w:fldChar w:fldCharType="begin"/>
          </w:r>
          <w:r w:rsidRPr="00686461">
            <w:instrText xml:space="preserve"> TOC \o "1-3" \h \z \u </w:instrText>
          </w:r>
          <w:r w:rsidRPr="00686461">
            <w:fldChar w:fldCharType="separate"/>
          </w:r>
          <w:hyperlink w:anchor="_Toc17195704" w:history="1">
            <w:r w:rsidR="00393D5A" w:rsidRPr="00D66DFD">
              <w:rPr>
                <w:rStyle w:val="Hyperlink"/>
                <w:rFonts w:cs="Segoe UI"/>
                <w:b/>
                <w:noProof/>
              </w:rPr>
              <w:t>Foreword</w:t>
            </w:r>
            <w:r w:rsidR="00393D5A">
              <w:rPr>
                <w:noProof/>
                <w:webHidden/>
              </w:rPr>
              <w:tab/>
            </w:r>
            <w:r w:rsidR="00393D5A">
              <w:rPr>
                <w:noProof/>
                <w:webHidden/>
              </w:rPr>
              <w:fldChar w:fldCharType="begin"/>
            </w:r>
            <w:r w:rsidR="00393D5A">
              <w:rPr>
                <w:noProof/>
                <w:webHidden/>
              </w:rPr>
              <w:instrText xml:space="preserve"> PAGEREF _Toc17195704 \h </w:instrText>
            </w:r>
            <w:r w:rsidR="00393D5A">
              <w:rPr>
                <w:noProof/>
                <w:webHidden/>
              </w:rPr>
            </w:r>
            <w:r w:rsidR="00393D5A">
              <w:rPr>
                <w:noProof/>
                <w:webHidden/>
              </w:rPr>
              <w:fldChar w:fldCharType="separate"/>
            </w:r>
            <w:r w:rsidR="00393D5A">
              <w:rPr>
                <w:noProof/>
                <w:webHidden/>
              </w:rPr>
              <w:t>2</w:t>
            </w:r>
            <w:r w:rsidR="00393D5A">
              <w:rPr>
                <w:noProof/>
                <w:webHidden/>
              </w:rPr>
              <w:fldChar w:fldCharType="end"/>
            </w:r>
          </w:hyperlink>
        </w:p>
        <w:p w14:paraId="73763A26" w14:textId="2CDCD14B" w:rsidR="00393D5A" w:rsidRDefault="00117749">
          <w:pPr>
            <w:pStyle w:val="TOC1"/>
            <w:rPr>
              <w:rFonts w:asciiTheme="minorHAnsi" w:eastAsiaTheme="minorEastAsia" w:hAnsiTheme="minorHAnsi"/>
              <w:noProof/>
              <w:lang w:eastAsia="en-NZ"/>
            </w:rPr>
          </w:pPr>
          <w:hyperlink w:anchor="_Toc17195705" w:history="1">
            <w:r w:rsidR="00393D5A" w:rsidRPr="00D66DFD">
              <w:rPr>
                <w:rStyle w:val="Hyperlink"/>
                <w:rFonts w:cs="Segoe UI"/>
                <w:b/>
                <w:noProof/>
              </w:rPr>
              <w:t>Acknowledgements</w:t>
            </w:r>
            <w:r w:rsidR="00393D5A">
              <w:rPr>
                <w:noProof/>
                <w:webHidden/>
              </w:rPr>
              <w:tab/>
            </w:r>
            <w:r w:rsidR="00393D5A">
              <w:rPr>
                <w:noProof/>
                <w:webHidden/>
              </w:rPr>
              <w:fldChar w:fldCharType="begin"/>
            </w:r>
            <w:r w:rsidR="00393D5A">
              <w:rPr>
                <w:noProof/>
                <w:webHidden/>
              </w:rPr>
              <w:instrText xml:space="preserve"> PAGEREF _Toc17195705 \h </w:instrText>
            </w:r>
            <w:r w:rsidR="00393D5A">
              <w:rPr>
                <w:noProof/>
                <w:webHidden/>
              </w:rPr>
            </w:r>
            <w:r w:rsidR="00393D5A">
              <w:rPr>
                <w:noProof/>
                <w:webHidden/>
              </w:rPr>
              <w:fldChar w:fldCharType="separate"/>
            </w:r>
            <w:r w:rsidR="00393D5A">
              <w:rPr>
                <w:noProof/>
                <w:webHidden/>
              </w:rPr>
              <w:t>3</w:t>
            </w:r>
            <w:r w:rsidR="00393D5A">
              <w:rPr>
                <w:noProof/>
                <w:webHidden/>
              </w:rPr>
              <w:fldChar w:fldCharType="end"/>
            </w:r>
          </w:hyperlink>
        </w:p>
        <w:p w14:paraId="19A1BF84" w14:textId="2D5DBE3D" w:rsidR="00393D5A" w:rsidRDefault="00117749">
          <w:pPr>
            <w:pStyle w:val="TOC1"/>
            <w:rPr>
              <w:rFonts w:asciiTheme="minorHAnsi" w:eastAsiaTheme="minorEastAsia" w:hAnsiTheme="minorHAnsi"/>
              <w:noProof/>
              <w:lang w:eastAsia="en-NZ"/>
            </w:rPr>
          </w:pPr>
          <w:hyperlink w:anchor="_Toc17195706" w:history="1">
            <w:r w:rsidR="00393D5A" w:rsidRPr="00D66DFD">
              <w:rPr>
                <w:rStyle w:val="Hyperlink"/>
                <w:b/>
                <w:noProof/>
              </w:rPr>
              <w:t>Purpose of this discussion document</w:t>
            </w:r>
            <w:r w:rsidR="00393D5A">
              <w:rPr>
                <w:noProof/>
                <w:webHidden/>
              </w:rPr>
              <w:tab/>
            </w:r>
            <w:r w:rsidR="00393D5A">
              <w:rPr>
                <w:noProof/>
                <w:webHidden/>
              </w:rPr>
              <w:fldChar w:fldCharType="begin"/>
            </w:r>
            <w:r w:rsidR="00393D5A">
              <w:rPr>
                <w:noProof/>
                <w:webHidden/>
              </w:rPr>
              <w:instrText xml:space="preserve"> PAGEREF _Toc17195706 \h </w:instrText>
            </w:r>
            <w:r w:rsidR="00393D5A">
              <w:rPr>
                <w:noProof/>
                <w:webHidden/>
              </w:rPr>
            </w:r>
            <w:r w:rsidR="00393D5A">
              <w:rPr>
                <w:noProof/>
                <w:webHidden/>
              </w:rPr>
              <w:fldChar w:fldCharType="separate"/>
            </w:r>
            <w:r w:rsidR="00393D5A">
              <w:rPr>
                <w:noProof/>
                <w:webHidden/>
              </w:rPr>
              <w:t>5</w:t>
            </w:r>
            <w:r w:rsidR="00393D5A">
              <w:rPr>
                <w:noProof/>
                <w:webHidden/>
              </w:rPr>
              <w:fldChar w:fldCharType="end"/>
            </w:r>
          </w:hyperlink>
        </w:p>
        <w:p w14:paraId="6D3CDA3B" w14:textId="1E0B281D" w:rsidR="00393D5A" w:rsidRDefault="00117749">
          <w:pPr>
            <w:pStyle w:val="TOC1"/>
            <w:rPr>
              <w:rFonts w:asciiTheme="minorHAnsi" w:eastAsiaTheme="minorEastAsia" w:hAnsiTheme="minorHAnsi"/>
              <w:noProof/>
              <w:lang w:eastAsia="en-NZ"/>
            </w:rPr>
          </w:pPr>
          <w:hyperlink w:anchor="_Toc17195707" w:history="1">
            <w:r w:rsidR="00393D5A" w:rsidRPr="00D66DFD">
              <w:rPr>
                <w:rStyle w:val="Hyperlink"/>
                <w:rFonts w:cs="Segoe UI"/>
                <w:b/>
                <w:noProof/>
              </w:rPr>
              <w:t>Have your say</w:t>
            </w:r>
            <w:r w:rsidR="00393D5A">
              <w:rPr>
                <w:noProof/>
                <w:webHidden/>
              </w:rPr>
              <w:tab/>
            </w:r>
            <w:r w:rsidR="00393D5A">
              <w:rPr>
                <w:noProof/>
                <w:webHidden/>
              </w:rPr>
              <w:fldChar w:fldCharType="begin"/>
            </w:r>
            <w:r w:rsidR="00393D5A">
              <w:rPr>
                <w:noProof/>
                <w:webHidden/>
              </w:rPr>
              <w:instrText xml:space="preserve"> PAGEREF _Toc17195707 \h </w:instrText>
            </w:r>
            <w:r w:rsidR="00393D5A">
              <w:rPr>
                <w:noProof/>
                <w:webHidden/>
              </w:rPr>
            </w:r>
            <w:r w:rsidR="00393D5A">
              <w:rPr>
                <w:noProof/>
                <w:webHidden/>
              </w:rPr>
              <w:fldChar w:fldCharType="separate"/>
            </w:r>
            <w:r w:rsidR="00393D5A">
              <w:rPr>
                <w:noProof/>
                <w:webHidden/>
              </w:rPr>
              <w:t>5</w:t>
            </w:r>
            <w:r w:rsidR="00393D5A">
              <w:rPr>
                <w:noProof/>
                <w:webHidden/>
              </w:rPr>
              <w:fldChar w:fldCharType="end"/>
            </w:r>
          </w:hyperlink>
        </w:p>
        <w:p w14:paraId="528CFAE0" w14:textId="38915B62" w:rsidR="00393D5A" w:rsidRDefault="00117749">
          <w:pPr>
            <w:pStyle w:val="TOC2"/>
            <w:tabs>
              <w:tab w:val="right" w:leader="dot" w:pos="9016"/>
            </w:tabs>
            <w:rPr>
              <w:rFonts w:asciiTheme="minorHAnsi" w:eastAsiaTheme="minorEastAsia" w:hAnsiTheme="minorHAnsi"/>
              <w:noProof/>
              <w:lang w:eastAsia="en-NZ"/>
            </w:rPr>
          </w:pPr>
          <w:hyperlink w:anchor="_Toc17195708" w:history="1">
            <w:r w:rsidR="00393D5A" w:rsidRPr="00D66DFD">
              <w:rPr>
                <w:rStyle w:val="Hyperlink"/>
                <w:rFonts w:cs="Segoe UI"/>
                <w:noProof/>
              </w:rPr>
              <w:t>Attending an engagement wānanga</w:t>
            </w:r>
            <w:r w:rsidR="00393D5A">
              <w:rPr>
                <w:noProof/>
                <w:webHidden/>
              </w:rPr>
              <w:tab/>
            </w:r>
            <w:r w:rsidR="00393D5A">
              <w:rPr>
                <w:noProof/>
                <w:webHidden/>
              </w:rPr>
              <w:fldChar w:fldCharType="begin"/>
            </w:r>
            <w:r w:rsidR="00393D5A">
              <w:rPr>
                <w:noProof/>
                <w:webHidden/>
              </w:rPr>
              <w:instrText xml:space="preserve"> PAGEREF _Toc17195708 \h </w:instrText>
            </w:r>
            <w:r w:rsidR="00393D5A">
              <w:rPr>
                <w:noProof/>
                <w:webHidden/>
              </w:rPr>
            </w:r>
            <w:r w:rsidR="00393D5A">
              <w:rPr>
                <w:noProof/>
                <w:webHidden/>
              </w:rPr>
              <w:fldChar w:fldCharType="separate"/>
            </w:r>
            <w:r w:rsidR="00393D5A">
              <w:rPr>
                <w:noProof/>
                <w:webHidden/>
              </w:rPr>
              <w:t>5</w:t>
            </w:r>
            <w:r w:rsidR="00393D5A">
              <w:rPr>
                <w:noProof/>
                <w:webHidden/>
              </w:rPr>
              <w:fldChar w:fldCharType="end"/>
            </w:r>
          </w:hyperlink>
        </w:p>
        <w:p w14:paraId="05813D85" w14:textId="7EF3FBE4" w:rsidR="00393D5A" w:rsidRDefault="00117749">
          <w:pPr>
            <w:pStyle w:val="TOC2"/>
            <w:tabs>
              <w:tab w:val="right" w:leader="dot" w:pos="9016"/>
            </w:tabs>
            <w:rPr>
              <w:rFonts w:asciiTheme="minorHAnsi" w:eastAsiaTheme="minorEastAsia" w:hAnsiTheme="minorHAnsi"/>
              <w:noProof/>
              <w:lang w:eastAsia="en-NZ"/>
            </w:rPr>
          </w:pPr>
          <w:hyperlink w:anchor="_Toc17195709" w:history="1">
            <w:r w:rsidR="00393D5A" w:rsidRPr="00D66DFD">
              <w:rPr>
                <w:rStyle w:val="Hyperlink"/>
                <w:rFonts w:cs="Segoe UI"/>
                <w:noProof/>
              </w:rPr>
              <w:t>Complete our online survey</w:t>
            </w:r>
            <w:r w:rsidR="00393D5A">
              <w:rPr>
                <w:noProof/>
                <w:webHidden/>
              </w:rPr>
              <w:tab/>
            </w:r>
            <w:r w:rsidR="00393D5A">
              <w:rPr>
                <w:noProof/>
                <w:webHidden/>
              </w:rPr>
              <w:fldChar w:fldCharType="begin"/>
            </w:r>
            <w:r w:rsidR="00393D5A">
              <w:rPr>
                <w:noProof/>
                <w:webHidden/>
              </w:rPr>
              <w:instrText xml:space="preserve"> PAGEREF _Toc17195709 \h </w:instrText>
            </w:r>
            <w:r w:rsidR="00393D5A">
              <w:rPr>
                <w:noProof/>
                <w:webHidden/>
              </w:rPr>
            </w:r>
            <w:r w:rsidR="00393D5A">
              <w:rPr>
                <w:noProof/>
                <w:webHidden/>
              </w:rPr>
              <w:fldChar w:fldCharType="separate"/>
            </w:r>
            <w:r w:rsidR="00393D5A">
              <w:rPr>
                <w:noProof/>
                <w:webHidden/>
              </w:rPr>
              <w:t>5</w:t>
            </w:r>
            <w:r w:rsidR="00393D5A">
              <w:rPr>
                <w:noProof/>
                <w:webHidden/>
              </w:rPr>
              <w:fldChar w:fldCharType="end"/>
            </w:r>
          </w:hyperlink>
        </w:p>
        <w:p w14:paraId="4A21B822" w14:textId="0CED07AE" w:rsidR="00393D5A" w:rsidRDefault="00117749">
          <w:pPr>
            <w:pStyle w:val="TOC2"/>
            <w:tabs>
              <w:tab w:val="right" w:leader="dot" w:pos="9016"/>
            </w:tabs>
            <w:rPr>
              <w:rFonts w:asciiTheme="minorHAnsi" w:eastAsiaTheme="minorEastAsia" w:hAnsiTheme="minorHAnsi"/>
              <w:noProof/>
              <w:lang w:eastAsia="en-NZ"/>
            </w:rPr>
          </w:pPr>
          <w:hyperlink w:anchor="_Toc17195710" w:history="1">
            <w:r w:rsidR="00393D5A" w:rsidRPr="00D66DFD">
              <w:rPr>
                <w:rStyle w:val="Hyperlink"/>
                <w:rFonts w:cs="Segoe UI"/>
                <w:noProof/>
              </w:rPr>
              <w:t>Make a written submission</w:t>
            </w:r>
            <w:r w:rsidR="00393D5A">
              <w:rPr>
                <w:noProof/>
                <w:webHidden/>
              </w:rPr>
              <w:tab/>
            </w:r>
            <w:r w:rsidR="00393D5A">
              <w:rPr>
                <w:noProof/>
                <w:webHidden/>
              </w:rPr>
              <w:fldChar w:fldCharType="begin"/>
            </w:r>
            <w:r w:rsidR="00393D5A">
              <w:rPr>
                <w:noProof/>
                <w:webHidden/>
              </w:rPr>
              <w:instrText xml:space="preserve"> PAGEREF _Toc17195710 \h </w:instrText>
            </w:r>
            <w:r w:rsidR="00393D5A">
              <w:rPr>
                <w:noProof/>
                <w:webHidden/>
              </w:rPr>
            </w:r>
            <w:r w:rsidR="00393D5A">
              <w:rPr>
                <w:noProof/>
                <w:webHidden/>
              </w:rPr>
              <w:fldChar w:fldCharType="separate"/>
            </w:r>
            <w:r w:rsidR="00393D5A">
              <w:rPr>
                <w:noProof/>
                <w:webHidden/>
              </w:rPr>
              <w:t>6</w:t>
            </w:r>
            <w:r w:rsidR="00393D5A">
              <w:rPr>
                <w:noProof/>
                <w:webHidden/>
              </w:rPr>
              <w:fldChar w:fldCharType="end"/>
            </w:r>
          </w:hyperlink>
        </w:p>
        <w:p w14:paraId="0AA1DFA0" w14:textId="4C8FE412" w:rsidR="00393D5A" w:rsidRDefault="00117749">
          <w:pPr>
            <w:pStyle w:val="TOC1"/>
            <w:rPr>
              <w:rFonts w:asciiTheme="minorHAnsi" w:eastAsiaTheme="minorEastAsia" w:hAnsiTheme="minorHAnsi"/>
              <w:noProof/>
              <w:lang w:eastAsia="en-NZ"/>
            </w:rPr>
          </w:pPr>
          <w:hyperlink w:anchor="_Toc17195711" w:history="1">
            <w:r w:rsidR="00393D5A" w:rsidRPr="00D66DFD">
              <w:rPr>
                <w:rStyle w:val="Hyperlink"/>
                <w:b/>
                <w:noProof/>
              </w:rPr>
              <w:t>He Korowai Oranga: the Māori Health Strategy</w:t>
            </w:r>
            <w:r w:rsidR="00393D5A">
              <w:rPr>
                <w:noProof/>
                <w:webHidden/>
              </w:rPr>
              <w:tab/>
            </w:r>
            <w:r w:rsidR="00393D5A">
              <w:rPr>
                <w:noProof/>
                <w:webHidden/>
              </w:rPr>
              <w:fldChar w:fldCharType="begin"/>
            </w:r>
            <w:r w:rsidR="00393D5A">
              <w:rPr>
                <w:noProof/>
                <w:webHidden/>
              </w:rPr>
              <w:instrText xml:space="preserve"> PAGEREF _Toc17195711 \h </w:instrText>
            </w:r>
            <w:r w:rsidR="00393D5A">
              <w:rPr>
                <w:noProof/>
                <w:webHidden/>
              </w:rPr>
            </w:r>
            <w:r w:rsidR="00393D5A">
              <w:rPr>
                <w:noProof/>
                <w:webHidden/>
              </w:rPr>
              <w:fldChar w:fldCharType="separate"/>
            </w:r>
            <w:r w:rsidR="00393D5A">
              <w:rPr>
                <w:noProof/>
                <w:webHidden/>
              </w:rPr>
              <w:t>7</w:t>
            </w:r>
            <w:r w:rsidR="00393D5A">
              <w:rPr>
                <w:noProof/>
                <w:webHidden/>
              </w:rPr>
              <w:fldChar w:fldCharType="end"/>
            </w:r>
          </w:hyperlink>
        </w:p>
        <w:p w14:paraId="7F0CA67B" w14:textId="5127CC4D" w:rsidR="00393D5A" w:rsidRDefault="00117749">
          <w:pPr>
            <w:pStyle w:val="TOC2"/>
            <w:tabs>
              <w:tab w:val="right" w:leader="dot" w:pos="9016"/>
            </w:tabs>
            <w:rPr>
              <w:rFonts w:asciiTheme="minorHAnsi" w:eastAsiaTheme="minorEastAsia" w:hAnsiTheme="minorHAnsi"/>
              <w:noProof/>
              <w:lang w:eastAsia="en-NZ"/>
            </w:rPr>
          </w:pPr>
          <w:hyperlink w:anchor="_Toc17195712" w:history="1">
            <w:r w:rsidR="00393D5A" w:rsidRPr="00D66DFD">
              <w:rPr>
                <w:rStyle w:val="Hyperlink"/>
                <w:noProof/>
              </w:rPr>
              <w:t>History of implementing He Korowai Oranga: the Māori Health Strategy</w:t>
            </w:r>
            <w:r w:rsidR="00393D5A">
              <w:rPr>
                <w:noProof/>
                <w:webHidden/>
              </w:rPr>
              <w:tab/>
            </w:r>
            <w:r w:rsidR="00393D5A">
              <w:rPr>
                <w:noProof/>
                <w:webHidden/>
              </w:rPr>
              <w:fldChar w:fldCharType="begin"/>
            </w:r>
            <w:r w:rsidR="00393D5A">
              <w:rPr>
                <w:noProof/>
                <w:webHidden/>
              </w:rPr>
              <w:instrText xml:space="preserve"> PAGEREF _Toc17195712 \h </w:instrText>
            </w:r>
            <w:r w:rsidR="00393D5A">
              <w:rPr>
                <w:noProof/>
                <w:webHidden/>
              </w:rPr>
            </w:r>
            <w:r w:rsidR="00393D5A">
              <w:rPr>
                <w:noProof/>
                <w:webHidden/>
              </w:rPr>
              <w:fldChar w:fldCharType="separate"/>
            </w:r>
            <w:r w:rsidR="00393D5A">
              <w:rPr>
                <w:noProof/>
                <w:webHidden/>
              </w:rPr>
              <w:t>7</w:t>
            </w:r>
            <w:r w:rsidR="00393D5A">
              <w:rPr>
                <w:noProof/>
                <w:webHidden/>
              </w:rPr>
              <w:fldChar w:fldCharType="end"/>
            </w:r>
          </w:hyperlink>
        </w:p>
        <w:p w14:paraId="235BC714" w14:textId="0C145095" w:rsidR="00393D5A" w:rsidRDefault="00117749">
          <w:pPr>
            <w:pStyle w:val="TOC2"/>
            <w:tabs>
              <w:tab w:val="right" w:leader="dot" w:pos="9016"/>
            </w:tabs>
            <w:rPr>
              <w:rFonts w:asciiTheme="minorHAnsi" w:eastAsiaTheme="minorEastAsia" w:hAnsiTheme="minorHAnsi"/>
              <w:noProof/>
              <w:lang w:eastAsia="en-NZ"/>
            </w:rPr>
          </w:pPr>
          <w:hyperlink w:anchor="_Toc17195713" w:history="1">
            <w:r w:rsidR="00393D5A" w:rsidRPr="00D66DFD">
              <w:rPr>
                <w:rStyle w:val="Hyperlink"/>
                <w:noProof/>
              </w:rPr>
              <w:t>A new approach to Te Tiriti o Waitangi for the health and disability system</w:t>
            </w:r>
            <w:r w:rsidR="00393D5A">
              <w:rPr>
                <w:noProof/>
                <w:webHidden/>
              </w:rPr>
              <w:tab/>
            </w:r>
            <w:r w:rsidR="00393D5A">
              <w:rPr>
                <w:noProof/>
                <w:webHidden/>
              </w:rPr>
              <w:fldChar w:fldCharType="begin"/>
            </w:r>
            <w:r w:rsidR="00393D5A">
              <w:rPr>
                <w:noProof/>
                <w:webHidden/>
              </w:rPr>
              <w:instrText xml:space="preserve"> PAGEREF _Toc17195713 \h </w:instrText>
            </w:r>
            <w:r w:rsidR="00393D5A">
              <w:rPr>
                <w:noProof/>
                <w:webHidden/>
              </w:rPr>
            </w:r>
            <w:r w:rsidR="00393D5A">
              <w:rPr>
                <w:noProof/>
                <w:webHidden/>
              </w:rPr>
              <w:fldChar w:fldCharType="separate"/>
            </w:r>
            <w:r w:rsidR="00393D5A">
              <w:rPr>
                <w:noProof/>
                <w:webHidden/>
              </w:rPr>
              <w:t>8</w:t>
            </w:r>
            <w:r w:rsidR="00393D5A">
              <w:rPr>
                <w:noProof/>
                <w:webHidden/>
              </w:rPr>
              <w:fldChar w:fldCharType="end"/>
            </w:r>
          </w:hyperlink>
        </w:p>
        <w:p w14:paraId="12F110A0" w14:textId="603299A7" w:rsidR="00393D5A" w:rsidRDefault="00117749">
          <w:pPr>
            <w:pStyle w:val="TOC2"/>
            <w:tabs>
              <w:tab w:val="right" w:leader="dot" w:pos="9016"/>
            </w:tabs>
            <w:rPr>
              <w:rFonts w:asciiTheme="minorHAnsi" w:eastAsiaTheme="minorEastAsia" w:hAnsiTheme="minorHAnsi"/>
              <w:noProof/>
              <w:lang w:eastAsia="en-NZ"/>
            </w:rPr>
          </w:pPr>
          <w:hyperlink w:anchor="_Toc17195714" w:history="1">
            <w:r w:rsidR="00393D5A" w:rsidRPr="00D66DFD">
              <w:rPr>
                <w:rStyle w:val="Hyperlink"/>
                <w:noProof/>
              </w:rPr>
              <w:t>A new Māori Health Action Plan to implement He Korowai Oranga</w:t>
            </w:r>
            <w:r w:rsidR="00393D5A">
              <w:rPr>
                <w:noProof/>
                <w:webHidden/>
              </w:rPr>
              <w:tab/>
            </w:r>
            <w:r w:rsidR="00393D5A">
              <w:rPr>
                <w:noProof/>
                <w:webHidden/>
              </w:rPr>
              <w:fldChar w:fldCharType="begin"/>
            </w:r>
            <w:r w:rsidR="00393D5A">
              <w:rPr>
                <w:noProof/>
                <w:webHidden/>
              </w:rPr>
              <w:instrText xml:space="preserve"> PAGEREF _Toc17195714 \h </w:instrText>
            </w:r>
            <w:r w:rsidR="00393D5A">
              <w:rPr>
                <w:noProof/>
                <w:webHidden/>
              </w:rPr>
            </w:r>
            <w:r w:rsidR="00393D5A">
              <w:rPr>
                <w:noProof/>
                <w:webHidden/>
              </w:rPr>
              <w:fldChar w:fldCharType="separate"/>
            </w:r>
            <w:r w:rsidR="00393D5A">
              <w:rPr>
                <w:noProof/>
                <w:webHidden/>
              </w:rPr>
              <w:t>8</w:t>
            </w:r>
            <w:r w:rsidR="00393D5A">
              <w:rPr>
                <w:noProof/>
                <w:webHidden/>
              </w:rPr>
              <w:fldChar w:fldCharType="end"/>
            </w:r>
          </w:hyperlink>
        </w:p>
        <w:p w14:paraId="4517931B" w14:textId="7F228855" w:rsidR="00393D5A" w:rsidRDefault="00117749">
          <w:pPr>
            <w:pStyle w:val="TOC1"/>
            <w:rPr>
              <w:rFonts w:asciiTheme="minorHAnsi" w:eastAsiaTheme="minorEastAsia" w:hAnsiTheme="minorHAnsi"/>
              <w:noProof/>
              <w:lang w:eastAsia="en-NZ"/>
            </w:rPr>
          </w:pPr>
          <w:hyperlink w:anchor="_Toc17195715" w:history="1">
            <w:r w:rsidR="00393D5A" w:rsidRPr="00D66DFD">
              <w:rPr>
                <w:rStyle w:val="Hyperlink"/>
                <w:rFonts w:cs="Segoe UI"/>
                <w:b/>
                <w:noProof/>
              </w:rPr>
              <w:t>Priority areas for the Māori Health Action Plan</w:t>
            </w:r>
            <w:r w:rsidR="00393D5A">
              <w:rPr>
                <w:noProof/>
                <w:webHidden/>
              </w:rPr>
              <w:tab/>
            </w:r>
            <w:r w:rsidR="00393D5A">
              <w:rPr>
                <w:noProof/>
                <w:webHidden/>
              </w:rPr>
              <w:fldChar w:fldCharType="begin"/>
            </w:r>
            <w:r w:rsidR="00393D5A">
              <w:rPr>
                <w:noProof/>
                <w:webHidden/>
              </w:rPr>
              <w:instrText xml:space="preserve"> PAGEREF _Toc17195715 \h </w:instrText>
            </w:r>
            <w:r w:rsidR="00393D5A">
              <w:rPr>
                <w:noProof/>
                <w:webHidden/>
              </w:rPr>
            </w:r>
            <w:r w:rsidR="00393D5A">
              <w:rPr>
                <w:noProof/>
                <w:webHidden/>
              </w:rPr>
              <w:fldChar w:fldCharType="separate"/>
            </w:r>
            <w:r w:rsidR="00393D5A">
              <w:rPr>
                <w:noProof/>
                <w:webHidden/>
              </w:rPr>
              <w:t>10</w:t>
            </w:r>
            <w:r w:rsidR="00393D5A">
              <w:rPr>
                <w:noProof/>
                <w:webHidden/>
              </w:rPr>
              <w:fldChar w:fldCharType="end"/>
            </w:r>
          </w:hyperlink>
        </w:p>
        <w:p w14:paraId="34734980" w14:textId="7B0D702D" w:rsidR="00393D5A" w:rsidRDefault="00117749">
          <w:pPr>
            <w:pStyle w:val="TOC2"/>
            <w:tabs>
              <w:tab w:val="right" w:leader="dot" w:pos="9016"/>
            </w:tabs>
            <w:rPr>
              <w:rFonts w:asciiTheme="minorHAnsi" w:eastAsiaTheme="minorEastAsia" w:hAnsiTheme="minorHAnsi"/>
              <w:noProof/>
              <w:lang w:eastAsia="en-NZ"/>
            </w:rPr>
          </w:pPr>
          <w:hyperlink w:anchor="_Toc17195716" w:history="1">
            <w:r w:rsidR="00393D5A" w:rsidRPr="00D66DFD">
              <w:rPr>
                <w:rStyle w:val="Hyperlink"/>
                <w:noProof/>
              </w:rPr>
              <w:t>Priority area one: Māori / Crown relationships</w:t>
            </w:r>
            <w:r w:rsidR="00393D5A">
              <w:rPr>
                <w:noProof/>
                <w:webHidden/>
              </w:rPr>
              <w:tab/>
            </w:r>
            <w:r w:rsidR="00393D5A">
              <w:rPr>
                <w:noProof/>
                <w:webHidden/>
              </w:rPr>
              <w:fldChar w:fldCharType="begin"/>
            </w:r>
            <w:r w:rsidR="00393D5A">
              <w:rPr>
                <w:noProof/>
                <w:webHidden/>
              </w:rPr>
              <w:instrText xml:space="preserve"> PAGEREF _Toc17195716 \h </w:instrText>
            </w:r>
            <w:r w:rsidR="00393D5A">
              <w:rPr>
                <w:noProof/>
                <w:webHidden/>
              </w:rPr>
            </w:r>
            <w:r w:rsidR="00393D5A">
              <w:rPr>
                <w:noProof/>
                <w:webHidden/>
              </w:rPr>
              <w:fldChar w:fldCharType="separate"/>
            </w:r>
            <w:r w:rsidR="00393D5A">
              <w:rPr>
                <w:noProof/>
                <w:webHidden/>
              </w:rPr>
              <w:t>12</w:t>
            </w:r>
            <w:r w:rsidR="00393D5A">
              <w:rPr>
                <w:noProof/>
                <w:webHidden/>
              </w:rPr>
              <w:fldChar w:fldCharType="end"/>
            </w:r>
          </w:hyperlink>
        </w:p>
        <w:p w14:paraId="45D79368" w14:textId="7FD82F70" w:rsidR="00393D5A" w:rsidRDefault="00117749">
          <w:pPr>
            <w:pStyle w:val="TOC2"/>
            <w:tabs>
              <w:tab w:val="right" w:leader="dot" w:pos="9016"/>
            </w:tabs>
            <w:rPr>
              <w:rFonts w:asciiTheme="minorHAnsi" w:eastAsiaTheme="minorEastAsia" w:hAnsiTheme="minorHAnsi"/>
              <w:noProof/>
              <w:lang w:eastAsia="en-NZ"/>
            </w:rPr>
          </w:pPr>
          <w:hyperlink w:anchor="_Toc17195717" w:history="1">
            <w:r w:rsidR="00393D5A" w:rsidRPr="00D66DFD">
              <w:rPr>
                <w:rStyle w:val="Hyperlink"/>
                <w:noProof/>
              </w:rPr>
              <w:t>Priority area two: Māori health development</w:t>
            </w:r>
            <w:r w:rsidR="00393D5A">
              <w:rPr>
                <w:noProof/>
                <w:webHidden/>
              </w:rPr>
              <w:tab/>
            </w:r>
            <w:r w:rsidR="00393D5A">
              <w:rPr>
                <w:noProof/>
                <w:webHidden/>
              </w:rPr>
              <w:fldChar w:fldCharType="begin"/>
            </w:r>
            <w:r w:rsidR="00393D5A">
              <w:rPr>
                <w:noProof/>
                <w:webHidden/>
              </w:rPr>
              <w:instrText xml:space="preserve"> PAGEREF _Toc17195717 \h </w:instrText>
            </w:r>
            <w:r w:rsidR="00393D5A">
              <w:rPr>
                <w:noProof/>
                <w:webHidden/>
              </w:rPr>
            </w:r>
            <w:r w:rsidR="00393D5A">
              <w:rPr>
                <w:noProof/>
                <w:webHidden/>
              </w:rPr>
              <w:fldChar w:fldCharType="separate"/>
            </w:r>
            <w:r w:rsidR="00393D5A">
              <w:rPr>
                <w:noProof/>
                <w:webHidden/>
              </w:rPr>
              <w:t>14</w:t>
            </w:r>
            <w:r w:rsidR="00393D5A">
              <w:rPr>
                <w:noProof/>
                <w:webHidden/>
              </w:rPr>
              <w:fldChar w:fldCharType="end"/>
            </w:r>
          </w:hyperlink>
        </w:p>
        <w:p w14:paraId="7A3EE9CC" w14:textId="2A898A9F" w:rsidR="00393D5A" w:rsidRDefault="00117749">
          <w:pPr>
            <w:pStyle w:val="TOC2"/>
            <w:tabs>
              <w:tab w:val="right" w:leader="dot" w:pos="9016"/>
            </w:tabs>
            <w:rPr>
              <w:rFonts w:asciiTheme="minorHAnsi" w:eastAsiaTheme="minorEastAsia" w:hAnsiTheme="minorHAnsi"/>
              <w:noProof/>
              <w:lang w:eastAsia="en-NZ"/>
            </w:rPr>
          </w:pPr>
          <w:hyperlink w:anchor="_Toc17195718" w:history="1">
            <w:r w:rsidR="00393D5A" w:rsidRPr="00D66DFD">
              <w:rPr>
                <w:rStyle w:val="Hyperlink"/>
                <w:noProof/>
              </w:rPr>
              <w:t>Priority area three: Māori leadership</w:t>
            </w:r>
            <w:r w:rsidR="00393D5A">
              <w:rPr>
                <w:noProof/>
                <w:webHidden/>
              </w:rPr>
              <w:tab/>
            </w:r>
            <w:r w:rsidR="00393D5A">
              <w:rPr>
                <w:noProof/>
                <w:webHidden/>
              </w:rPr>
              <w:fldChar w:fldCharType="begin"/>
            </w:r>
            <w:r w:rsidR="00393D5A">
              <w:rPr>
                <w:noProof/>
                <w:webHidden/>
              </w:rPr>
              <w:instrText xml:space="preserve"> PAGEREF _Toc17195718 \h </w:instrText>
            </w:r>
            <w:r w:rsidR="00393D5A">
              <w:rPr>
                <w:noProof/>
                <w:webHidden/>
              </w:rPr>
            </w:r>
            <w:r w:rsidR="00393D5A">
              <w:rPr>
                <w:noProof/>
                <w:webHidden/>
              </w:rPr>
              <w:fldChar w:fldCharType="separate"/>
            </w:r>
            <w:r w:rsidR="00393D5A">
              <w:rPr>
                <w:noProof/>
                <w:webHidden/>
              </w:rPr>
              <w:t>16</w:t>
            </w:r>
            <w:r w:rsidR="00393D5A">
              <w:rPr>
                <w:noProof/>
                <w:webHidden/>
              </w:rPr>
              <w:fldChar w:fldCharType="end"/>
            </w:r>
          </w:hyperlink>
        </w:p>
        <w:p w14:paraId="5A9C4253" w14:textId="24FF19A2" w:rsidR="00393D5A" w:rsidRDefault="00117749">
          <w:pPr>
            <w:pStyle w:val="TOC2"/>
            <w:tabs>
              <w:tab w:val="right" w:leader="dot" w:pos="9016"/>
            </w:tabs>
            <w:rPr>
              <w:rFonts w:asciiTheme="minorHAnsi" w:eastAsiaTheme="minorEastAsia" w:hAnsiTheme="minorHAnsi"/>
              <w:noProof/>
              <w:lang w:eastAsia="en-NZ"/>
            </w:rPr>
          </w:pPr>
          <w:hyperlink w:anchor="_Toc17195719" w:history="1">
            <w:r w:rsidR="00393D5A" w:rsidRPr="00D66DFD">
              <w:rPr>
                <w:rStyle w:val="Hyperlink"/>
                <w:noProof/>
              </w:rPr>
              <w:t>Priority area four: Accountability frameworks</w:t>
            </w:r>
            <w:r w:rsidR="00393D5A">
              <w:rPr>
                <w:noProof/>
                <w:webHidden/>
              </w:rPr>
              <w:tab/>
            </w:r>
            <w:r w:rsidR="00393D5A">
              <w:rPr>
                <w:noProof/>
                <w:webHidden/>
              </w:rPr>
              <w:fldChar w:fldCharType="begin"/>
            </w:r>
            <w:r w:rsidR="00393D5A">
              <w:rPr>
                <w:noProof/>
                <w:webHidden/>
              </w:rPr>
              <w:instrText xml:space="preserve"> PAGEREF _Toc17195719 \h </w:instrText>
            </w:r>
            <w:r w:rsidR="00393D5A">
              <w:rPr>
                <w:noProof/>
                <w:webHidden/>
              </w:rPr>
            </w:r>
            <w:r w:rsidR="00393D5A">
              <w:rPr>
                <w:noProof/>
                <w:webHidden/>
              </w:rPr>
              <w:fldChar w:fldCharType="separate"/>
            </w:r>
            <w:r w:rsidR="00393D5A">
              <w:rPr>
                <w:noProof/>
                <w:webHidden/>
              </w:rPr>
              <w:t>18</w:t>
            </w:r>
            <w:r w:rsidR="00393D5A">
              <w:rPr>
                <w:noProof/>
                <w:webHidden/>
              </w:rPr>
              <w:fldChar w:fldCharType="end"/>
            </w:r>
          </w:hyperlink>
        </w:p>
        <w:p w14:paraId="37A956E0" w14:textId="4AEE291A" w:rsidR="00393D5A" w:rsidRDefault="00117749">
          <w:pPr>
            <w:pStyle w:val="TOC2"/>
            <w:tabs>
              <w:tab w:val="right" w:leader="dot" w:pos="9016"/>
            </w:tabs>
            <w:rPr>
              <w:rFonts w:asciiTheme="minorHAnsi" w:eastAsiaTheme="minorEastAsia" w:hAnsiTheme="minorHAnsi"/>
              <w:noProof/>
              <w:lang w:eastAsia="en-NZ"/>
            </w:rPr>
          </w:pPr>
          <w:hyperlink w:anchor="_Toc17195720" w:history="1">
            <w:r w:rsidR="00393D5A" w:rsidRPr="00D66DFD">
              <w:rPr>
                <w:rStyle w:val="Hyperlink"/>
                <w:noProof/>
              </w:rPr>
              <w:t>Priority area five: Cross-sector action</w:t>
            </w:r>
            <w:r w:rsidR="00393D5A">
              <w:rPr>
                <w:noProof/>
                <w:webHidden/>
              </w:rPr>
              <w:tab/>
            </w:r>
            <w:r w:rsidR="00393D5A">
              <w:rPr>
                <w:noProof/>
                <w:webHidden/>
              </w:rPr>
              <w:fldChar w:fldCharType="begin"/>
            </w:r>
            <w:r w:rsidR="00393D5A">
              <w:rPr>
                <w:noProof/>
                <w:webHidden/>
              </w:rPr>
              <w:instrText xml:space="preserve"> PAGEREF _Toc17195720 \h </w:instrText>
            </w:r>
            <w:r w:rsidR="00393D5A">
              <w:rPr>
                <w:noProof/>
                <w:webHidden/>
              </w:rPr>
            </w:r>
            <w:r w:rsidR="00393D5A">
              <w:rPr>
                <w:noProof/>
                <w:webHidden/>
              </w:rPr>
              <w:fldChar w:fldCharType="separate"/>
            </w:r>
            <w:r w:rsidR="00393D5A">
              <w:rPr>
                <w:noProof/>
                <w:webHidden/>
              </w:rPr>
              <w:t>20</w:t>
            </w:r>
            <w:r w:rsidR="00393D5A">
              <w:rPr>
                <w:noProof/>
                <w:webHidden/>
              </w:rPr>
              <w:fldChar w:fldCharType="end"/>
            </w:r>
          </w:hyperlink>
        </w:p>
        <w:p w14:paraId="7676985A" w14:textId="648D069F" w:rsidR="00393D5A" w:rsidRDefault="00117749">
          <w:pPr>
            <w:pStyle w:val="TOC2"/>
            <w:tabs>
              <w:tab w:val="right" w:leader="dot" w:pos="9016"/>
            </w:tabs>
            <w:rPr>
              <w:rFonts w:asciiTheme="minorHAnsi" w:eastAsiaTheme="minorEastAsia" w:hAnsiTheme="minorHAnsi"/>
              <w:noProof/>
              <w:lang w:eastAsia="en-NZ"/>
            </w:rPr>
          </w:pPr>
          <w:hyperlink w:anchor="_Toc17195721" w:history="1">
            <w:r w:rsidR="00393D5A" w:rsidRPr="00D66DFD">
              <w:rPr>
                <w:rStyle w:val="Hyperlink"/>
                <w:noProof/>
              </w:rPr>
              <w:t>Priority area six: Workforce</w:t>
            </w:r>
            <w:r w:rsidR="00393D5A">
              <w:rPr>
                <w:noProof/>
                <w:webHidden/>
              </w:rPr>
              <w:tab/>
            </w:r>
            <w:r w:rsidR="00393D5A">
              <w:rPr>
                <w:noProof/>
                <w:webHidden/>
              </w:rPr>
              <w:fldChar w:fldCharType="begin"/>
            </w:r>
            <w:r w:rsidR="00393D5A">
              <w:rPr>
                <w:noProof/>
                <w:webHidden/>
              </w:rPr>
              <w:instrText xml:space="preserve"> PAGEREF _Toc17195721 \h </w:instrText>
            </w:r>
            <w:r w:rsidR="00393D5A">
              <w:rPr>
                <w:noProof/>
                <w:webHidden/>
              </w:rPr>
            </w:r>
            <w:r w:rsidR="00393D5A">
              <w:rPr>
                <w:noProof/>
                <w:webHidden/>
              </w:rPr>
              <w:fldChar w:fldCharType="separate"/>
            </w:r>
            <w:r w:rsidR="00393D5A">
              <w:rPr>
                <w:noProof/>
                <w:webHidden/>
              </w:rPr>
              <w:t>22</w:t>
            </w:r>
            <w:r w:rsidR="00393D5A">
              <w:rPr>
                <w:noProof/>
                <w:webHidden/>
              </w:rPr>
              <w:fldChar w:fldCharType="end"/>
            </w:r>
          </w:hyperlink>
        </w:p>
        <w:p w14:paraId="3EBFB1C0" w14:textId="1B855992" w:rsidR="00393D5A" w:rsidRDefault="00117749">
          <w:pPr>
            <w:pStyle w:val="TOC2"/>
            <w:tabs>
              <w:tab w:val="right" w:leader="dot" w:pos="9016"/>
            </w:tabs>
            <w:rPr>
              <w:rFonts w:asciiTheme="minorHAnsi" w:eastAsiaTheme="minorEastAsia" w:hAnsiTheme="minorHAnsi"/>
              <w:noProof/>
              <w:lang w:eastAsia="en-NZ"/>
            </w:rPr>
          </w:pPr>
          <w:hyperlink w:anchor="_Toc17195722" w:history="1">
            <w:r w:rsidR="00393D5A" w:rsidRPr="00D66DFD">
              <w:rPr>
                <w:rStyle w:val="Hyperlink"/>
                <w:noProof/>
              </w:rPr>
              <w:t>Priority area seven: Quality systems reflect good practice</w:t>
            </w:r>
            <w:r w:rsidR="00393D5A">
              <w:rPr>
                <w:noProof/>
                <w:webHidden/>
              </w:rPr>
              <w:tab/>
            </w:r>
            <w:r w:rsidR="00393D5A">
              <w:rPr>
                <w:noProof/>
                <w:webHidden/>
              </w:rPr>
              <w:fldChar w:fldCharType="begin"/>
            </w:r>
            <w:r w:rsidR="00393D5A">
              <w:rPr>
                <w:noProof/>
                <w:webHidden/>
              </w:rPr>
              <w:instrText xml:space="preserve"> PAGEREF _Toc17195722 \h </w:instrText>
            </w:r>
            <w:r w:rsidR="00393D5A">
              <w:rPr>
                <w:noProof/>
                <w:webHidden/>
              </w:rPr>
            </w:r>
            <w:r w:rsidR="00393D5A">
              <w:rPr>
                <w:noProof/>
                <w:webHidden/>
              </w:rPr>
              <w:fldChar w:fldCharType="separate"/>
            </w:r>
            <w:r w:rsidR="00393D5A">
              <w:rPr>
                <w:noProof/>
                <w:webHidden/>
              </w:rPr>
              <w:t>24</w:t>
            </w:r>
            <w:r w:rsidR="00393D5A">
              <w:rPr>
                <w:noProof/>
                <w:webHidden/>
              </w:rPr>
              <w:fldChar w:fldCharType="end"/>
            </w:r>
          </w:hyperlink>
        </w:p>
        <w:p w14:paraId="5B12F2BB" w14:textId="6CD4484C" w:rsidR="00393D5A" w:rsidRDefault="00117749">
          <w:pPr>
            <w:pStyle w:val="TOC2"/>
            <w:tabs>
              <w:tab w:val="right" w:leader="dot" w:pos="9016"/>
            </w:tabs>
            <w:rPr>
              <w:rFonts w:asciiTheme="minorHAnsi" w:eastAsiaTheme="minorEastAsia" w:hAnsiTheme="minorHAnsi"/>
              <w:noProof/>
              <w:lang w:eastAsia="en-NZ"/>
            </w:rPr>
          </w:pPr>
          <w:hyperlink w:anchor="_Toc17195723" w:history="1">
            <w:r w:rsidR="00393D5A" w:rsidRPr="00D66DFD">
              <w:rPr>
                <w:rStyle w:val="Hyperlink"/>
                <w:noProof/>
              </w:rPr>
              <w:t>Priority area eight: Clear evidence of performance</w:t>
            </w:r>
            <w:r w:rsidR="00393D5A">
              <w:rPr>
                <w:noProof/>
                <w:webHidden/>
              </w:rPr>
              <w:tab/>
            </w:r>
            <w:r w:rsidR="00393D5A">
              <w:rPr>
                <w:noProof/>
                <w:webHidden/>
              </w:rPr>
              <w:fldChar w:fldCharType="begin"/>
            </w:r>
            <w:r w:rsidR="00393D5A">
              <w:rPr>
                <w:noProof/>
                <w:webHidden/>
              </w:rPr>
              <w:instrText xml:space="preserve"> PAGEREF _Toc17195723 \h </w:instrText>
            </w:r>
            <w:r w:rsidR="00393D5A">
              <w:rPr>
                <w:noProof/>
                <w:webHidden/>
              </w:rPr>
            </w:r>
            <w:r w:rsidR="00393D5A">
              <w:rPr>
                <w:noProof/>
                <w:webHidden/>
              </w:rPr>
              <w:fldChar w:fldCharType="separate"/>
            </w:r>
            <w:r w:rsidR="00393D5A">
              <w:rPr>
                <w:noProof/>
                <w:webHidden/>
              </w:rPr>
              <w:t>26</w:t>
            </w:r>
            <w:r w:rsidR="00393D5A">
              <w:rPr>
                <w:noProof/>
                <w:webHidden/>
              </w:rPr>
              <w:fldChar w:fldCharType="end"/>
            </w:r>
          </w:hyperlink>
        </w:p>
        <w:p w14:paraId="00F6E3ED" w14:textId="5E084B37" w:rsidR="00393D5A" w:rsidRDefault="00117749">
          <w:pPr>
            <w:pStyle w:val="TOC1"/>
            <w:rPr>
              <w:rFonts w:asciiTheme="minorHAnsi" w:eastAsiaTheme="minorEastAsia" w:hAnsiTheme="minorHAnsi"/>
              <w:noProof/>
              <w:lang w:eastAsia="en-NZ"/>
            </w:rPr>
          </w:pPr>
          <w:hyperlink w:anchor="_Toc17195724" w:history="1">
            <w:r w:rsidR="00393D5A" w:rsidRPr="00D66DFD">
              <w:rPr>
                <w:rStyle w:val="Hyperlink"/>
                <w:rFonts w:cs="Segoe UI"/>
                <w:b/>
                <w:noProof/>
              </w:rPr>
              <w:t>Next steps</w:t>
            </w:r>
            <w:r w:rsidR="00393D5A">
              <w:rPr>
                <w:noProof/>
                <w:webHidden/>
              </w:rPr>
              <w:tab/>
            </w:r>
            <w:r w:rsidR="00393D5A">
              <w:rPr>
                <w:noProof/>
                <w:webHidden/>
              </w:rPr>
              <w:fldChar w:fldCharType="begin"/>
            </w:r>
            <w:r w:rsidR="00393D5A">
              <w:rPr>
                <w:noProof/>
                <w:webHidden/>
              </w:rPr>
              <w:instrText xml:space="preserve"> PAGEREF _Toc17195724 \h </w:instrText>
            </w:r>
            <w:r w:rsidR="00393D5A">
              <w:rPr>
                <w:noProof/>
                <w:webHidden/>
              </w:rPr>
            </w:r>
            <w:r w:rsidR="00393D5A">
              <w:rPr>
                <w:noProof/>
                <w:webHidden/>
              </w:rPr>
              <w:fldChar w:fldCharType="separate"/>
            </w:r>
            <w:r w:rsidR="00393D5A">
              <w:rPr>
                <w:noProof/>
                <w:webHidden/>
              </w:rPr>
              <w:t>28</w:t>
            </w:r>
            <w:r w:rsidR="00393D5A">
              <w:rPr>
                <w:noProof/>
                <w:webHidden/>
              </w:rPr>
              <w:fldChar w:fldCharType="end"/>
            </w:r>
          </w:hyperlink>
        </w:p>
        <w:p w14:paraId="1A92B578" w14:textId="54C33884" w:rsidR="00393D5A" w:rsidRDefault="00117749">
          <w:pPr>
            <w:pStyle w:val="TOC1"/>
            <w:rPr>
              <w:rFonts w:asciiTheme="minorHAnsi" w:eastAsiaTheme="minorEastAsia" w:hAnsiTheme="minorHAnsi"/>
              <w:noProof/>
              <w:lang w:eastAsia="en-NZ"/>
            </w:rPr>
          </w:pPr>
          <w:hyperlink w:anchor="_Toc17195725" w:history="1">
            <w:r w:rsidR="00393D5A" w:rsidRPr="00D66DFD">
              <w:rPr>
                <w:rStyle w:val="Hyperlink"/>
                <w:b/>
                <w:noProof/>
              </w:rPr>
              <w:t>Appendix one: Māori Health Action Plan Framework</w:t>
            </w:r>
            <w:r w:rsidR="00393D5A" w:rsidRPr="00D66DFD">
              <w:rPr>
                <w:rStyle w:val="Hyperlink"/>
                <w:noProof/>
              </w:rPr>
              <w:t xml:space="preserve"> </w:t>
            </w:r>
            <w:r w:rsidR="00393D5A">
              <w:rPr>
                <w:noProof/>
                <w:webHidden/>
              </w:rPr>
              <w:tab/>
            </w:r>
            <w:r w:rsidR="00393D5A">
              <w:rPr>
                <w:noProof/>
                <w:webHidden/>
              </w:rPr>
              <w:fldChar w:fldCharType="begin"/>
            </w:r>
            <w:r w:rsidR="00393D5A">
              <w:rPr>
                <w:noProof/>
                <w:webHidden/>
              </w:rPr>
              <w:instrText xml:space="preserve"> PAGEREF _Toc17195725 \h </w:instrText>
            </w:r>
            <w:r w:rsidR="00393D5A">
              <w:rPr>
                <w:noProof/>
                <w:webHidden/>
              </w:rPr>
            </w:r>
            <w:r w:rsidR="00393D5A">
              <w:rPr>
                <w:noProof/>
                <w:webHidden/>
              </w:rPr>
              <w:fldChar w:fldCharType="separate"/>
            </w:r>
            <w:r w:rsidR="00393D5A">
              <w:rPr>
                <w:noProof/>
                <w:webHidden/>
              </w:rPr>
              <w:t>29</w:t>
            </w:r>
            <w:r w:rsidR="00393D5A">
              <w:rPr>
                <w:noProof/>
                <w:webHidden/>
              </w:rPr>
              <w:fldChar w:fldCharType="end"/>
            </w:r>
          </w:hyperlink>
        </w:p>
        <w:p w14:paraId="0948832E" w14:textId="24B29D67" w:rsidR="00393D5A" w:rsidRDefault="00117749">
          <w:pPr>
            <w:pStyle w:val="TOC1"/>
            <w:rPr>
              <w:rFonts w:asciiTheme="minorHAnsi" w:eastAsiaTheme="minorEastAsia" w:hAnsiTheme="minorHAnsi"/>
              <w:noProof/>
              <w:lang w:eastAsia="en-NZ"/>
            </w:rPr>
          </w:pPr>
          <w:hyperlink w:anchor="_Toc17195726" w:history="1">
            <w:r w:rsidR="00393D5A" w:rsidRPr="00D66DFD">
              <w:rPr>
                <w:rStyle w:val="Hyperlink"/>
                <w:rFonts w:cs="Segoe UI"/>
                <w:b/>
                <w:noProof/>
              </w:rPr>
              <w:t>Appendix two: Summary of issues and priorities raised by Māori through recent Government public engagement</w:t>
            </w:r>
            <w:r w:rsidR="00393D5A">
              <w:rPr>
                <w:noProof/>
                <w:webHidden/>
              </w:rPr>
              <w:tab/>
            </w:r>
            <w:r w:rsidR="00393D5A">
              <w:rPr>
                <w:noProof/>
                <w:webHidden/>
              </w:rPr>
              <w:fldChar w:fldCharType="begin"/>
            </w:r>
            <w:r w:rsidR="00393D5A">
              <w:rPr>
                <w:noProof/>
                <w:webHidden/>
              </w:rPr>
              <w:instrText xml:space="preserve"> PAGEREF _Toc17195726 \h </w:instrText>
            </w:r>
            <w:r w:rsidR="00393D5A">
              <w:rPr>
                <w:noProof/>
                <w:webHidden/>
              </w:rPr>
            </w:r>
            <w:r w:rsidR="00393D5A">
              <w:rPr>
                <w:noProof/>
                <w:webHidden/>
              </w:rPr>
              <w:fldChar w:fldCharType="separate"/>
            </w:r>
            <w:r w:rsidR="00393D5A">
              <w:rPr>
                <w:noProof/>
                <w:webHidden/>
              </w:rPr>
              <w:t>31</w:t>
            </w:r>
            <w:r w:rsidR="00393D5A">
              <w:rPr>
                <w:noProof/>
                <w:webHidden/>
              </w:rPr>
              <w:fldChar w:fldCharType="end"/>
            </w:r>
          </w:hyperlink>
        </w:p>
        <w:p w14:paraId="3DDD3EBC" w14:textId="7E18DC6C" w:rsidR="00393D5A" w:rsidRDefault="00117749">
          <w:pPr>
            <w:pStyle w:val="TOC1"/>
            <w:rPr>
              <w:rFonts w:asciiTheme="minorHAnsi" w:eastAsiaTheme="minorEastAsia" w:hAnsiTheme="minorHAnsi"/>
              <w:noProof/>
              <w:lang w:eastAsia="en-NZ"/>
            </w:rPr>
          </w:pPr>
          <w:hyperlink w:anchor="_Toc17195727" w:history="1">
            <w:r w:rsidR="00393D5A" w:rsidRPr="00D66DFD">
              <w:rPr>
                <w:rStyle w:val="Hyperlink"/>
                <w:b/>
                <w:noProof/>
              </w:rPr>
              <w:t>Appendix 3: Key references</w:t>
            </w:r>
            <w:r w:rsidR="00393D5A">
              <w:rPr>
                <w:noProof/>
                <w:webHidden/>
              </w:rPr>
              <w:tab/>
            </w:r>
            <w:r w:rsidR="00393D5A">
              <w:rPr>
                <w:noProof/>
                <w:webHidden/>
              </w:rPr>
              <w:fldChar w:fldCharType="begin"/>
            </w:r>
            <w:r w:rsidR="00393D5A">
              <w:rPr>
                <w:noProof/>
                <w:webHidden/>
              </w:rPr>
              <w:instrText xml:space="preserve"> PAGEREF _Toc17195727 \h </w:instrText>
            </w:r>
            <w:r w:rsidR="00393D5A">
              <w:rPr>
                <w:noProof/>
                <w:webHidden/>
              </w:rPr>
            </w:r>
            <w:r w:rsidR="00393D5A">
              <w:rPr>
                <w:noProof/>
                <w:webHidden/>
              </w:rPr>
              <w:fldChar w:fldCharType="separate"/>
            </w:r>
            <w:r w:rsidR="00393D5A">
              <w:rPr>
                <w:noProof/>
                <w:webHidden/>
              </w:rPr>
              <w:t>33</w:t>
            </w:r>
            <w:r w:rsidR="00393D5A">
              <w:rPr>
                <w:noProof/>
                <w:webHidden/>
              </w:rPr>
              <w:fldChar w:fldCharType="end"/>
            </w:r>
          </w:hyperlink>
        </w:p>
        <w:p w14:paraId="63584E8C" w14:textId="644FD96F" w:rsidR="00900A9F" w:rsidRPr="00686461" w:rsidRDefault="00900A9F" w:rsidP="00900A9F">
          <w:pPr>
            <w:rPr>
              <w:b/>
              <w:bCs/>
              <w:noProof/>
            </w:rPr>
          </w:pPr>
          <w:r w:rsidRPr="00686461">
            <w:rPr>
              <w:b/>
              <w:bCs/>
              <w:noProof/>
            </w:rPr>
            <w:fldChar w:fldCharType="end"/>
          </w:r>
        </w:p>
      </w:sdtContent>
    </w:sdt>
    <w:p w14:paraId="632AA04A" w14:textId="1DDDB01A" w:rsidR="00D91F3D" w:rsidRPr="007C3DF0" w:rsidRDefault="00D91F3D" w:rsidP="00E94778">
      <w:pPr>
        <w:pStyle w:val="Heading1"/>
        <w:pageBreakBefore/>
        <w:rPr>
          <w:b/>
        </w:rPr>
      </w:pPr>
      <w:bookmarkStart w:id="3" w:name="_Toc17195706"/>
      <w:r w:rsidRPr="007C3DF0">
        <w:rPr>
          <w:b/>
        </w:rPr>
        <w:lastRenderedPageBreak/>
        <w:t>Purpose of this discussion document</w:t>
      </w:r>
      <w:bookmarkEnd w:id="3"/>
    </w:p>
    <w:p w14:paraId="755413F1" w14:textId="6726AD8B" w:rsidR="00D91F3D" w:rsidRPr="00E94778" w:rsidRDefault="00D91F3D" w:rsidP="00E94778">
      <w:pPr>
        <w:spacing w:after="0"/>
      </w:pPr>
      <w:r w:rsidRPr="00E94778">
        <w:t>This document is to inform discussions in developing a Māori Health Action Plan 2020</w:t>
      </w:r>
      <w:r w:rsidR="00DF4441">
        <w:t xml:space="preserve"> </w:t>
      </w:r>
      <w:r w:rsidRPr="00E94778">
        <w:t>-</w:t>
      </w:r>
      <w:r w:rsidR="00DF4441">
        <w:t xml:space="preserve"> </w:t>
      </w:r>
      <w:r w:rsidRPr="00E94778">
        <w:t>2025 (the Action Plan) to further implement He Korowai Oranga: the Māori Health Strategy (He Korowai Oranga). Our hope is that this document</w:t>
      </w:r>
      <w:r w:rsidR="007C3DF0" w:rsidRPr="00E94778">
        <w:t>,</w:t>
      </w:r>
      <w:r w:rsidRPr="00E94778">
        <w:t xml:space="preserve"> </w:t>
      </w:r>
      <w:r w:rsidR="00F76558" w:rsidRPr="00E94778">
        <w:t xml:space="preserve">along with the Māori Health Action Plan </w:t>
      </w:r>
      <w:r w:rsidR="0023599F">
        <w:t xml:space="preserve">Framework </w:t>
      </w:r>
      <w:r w:rsidR="00F76558" w:rsidRPr="00E94778">
        <w:t xml:space="preserve">A3 and background </w:t>
      </w:r>
      <w:r w:rsidRPr="00E94778">
        <w:t>information</w:t>
      </w:r>
      <w:r w:rsidR="007C3DF0" w:rsidRPr="00E94778">
        <w:t>,</w:t>
      </w:r>
      <w:r w:rsidRPr="00E94778">
        <w:t xml:space="preserve"> </w:t>
      </w:r>
      <w:r w:rsidR="00F76558" w:rsidRPr="00E94778">
        <w:t>will provide</w:t>
      </w:r>
      <w:r w:rsidRPr="00E94778">
        <w:t xml:space="preserve"> a strong foundation </w:t>
      </w:r>
      <w:r w:rsidR="00F76558" w:rsidRPr="00E94778">
        <w:t xml:space="preserve">for </w:t>
      </w:r>
      <w:r w:rsidR="001F221F" w:rsidRPr="00E94778">
        <w:t>discussion on</w:t>
      </w:r>
      <w:r w:rsidR="00F76558" w:rsidRPr="00E94778">
        <w:t xml:space="preserve"> what action needs to be taken to </w:t>
      </w:r>
      <w:r w:rsidRPr="00E94778">
        <w:t>achiev</w:t>
      </w:r>
      <w:r w:rsidR="00F76558" w:rsidRPr="00E94778">
        <w:t>e</w:t>
      </w:r>
      <w:r w:rsidRPr="00E94778">
        <w:t xml:space="preserve"> </w:t>
      </w:r>
      <w:proofErr w:type="spellStart"/>
      <w:r w:rsidRPr="00E94778">
        <w:t>pae</w:t>
      </w:r>
      <w:proofErr w:type="spellEnd"/>
      <w:r w:rsidRPr="00E94778">
        <w:t xml:space="preserve"> </w:t>
      </w:r>
      <w:proofErr w:type="spellStart"/>
      <w:r w:rsidRPr="00E94778">
        <w:t>ora</w:t>
      </w:r>
      <w:proofErr w:type="spellEnd"/>
      <w:r w:rsidRPr="00E94778">
        <w:t xml:space="preserve"> – healthy futures for Māori.</w:t>
      </w:r>
    </w:p>
    <w:p w14:paraId="22090C81" w14:textId="77777777" w:rsidR="00D91F3D" w:rsidRPr="00686461" w:rsidRDefault="00D91F3D" w:rsidP="00D91F3D">
      <w:pPr>
        <w:pStyle w:val="Heading1"/>
        <w:rPr>
          <w:rFonts w:cs="Segoe UI"/>
          <w:b/>
        </w:rPr>
      </w:pPr>
      <w:bookmarkStart w:id="4" w:name="_Toc17195707"/>
      <w:r w:rsidRPr="00686461">
        <w:rPr>
          <w:rFonts w:cs="Segoe UI"/>
          <w:b/>
        </w:rPr>
        <w:t>Have your say</w:t>
      </w:r>
      <w:bookmarkEnd w:id="4"/>
    </w:p>
    <w:p w14:paraId="50316FCD" w14:textId="455C42CE" w:rsidR="00D91F3D" w:rsidRDefault="00D91F3D" w:rsidP="00E94778">
      <w:pPr>
        <w:spacing w:after="0"/>
      </w:pPr>
      <w:r w:rsidRPr="00E94778">
        <w:t xml:space="preserve">The Māori Health Directorate at the Ministry of Health (the Ministry) </w:t>
      </w:r>
      <w:r w:rsidR="00DF4441">
        <w:t>is</w:t>
      </w:r>
      <w:r w:rsidRPr="00E94778">
        <w:t xml:space="preserve"> co-ordinating a series of engagement </w:t>
      </w:r>
      <w:r w:rsidR="00902E36" w:rsidRPr="00E94778">
        <w:t>wānanga</w:t>
      </w:r>
      <w:r w:rsidRPr="00E94778">
        <w:t xml:space="preserve"> between 19 August and 31 August 2019. We invite you to share your ideas on the proposed </w:t>
      </w:r>
      <w:r w:rsidR="0023599F">
        <w:t xml:space="preserve">priority </w:t>
      </w:r>
      <w:r w:rsidRPr="00E94778">
        <w:t xml:space="preserve">areas and </w:t>
      </w:r>
      <w:r w:rsidR="0023599F">
        <w:t xml:space="preserve">what actions </w:t>
      </w:r>
      <w:r w:rsidRPr="00E94778">
        <w:t xml:space="preserve">can be implemented. You can share your views at the </w:t>
      </w:r>
      <w:r w:rsidR="00902E36" w:rsidRPr="00E94778">
        <w:t>wānanga</w:t>
      </w:r>
      <w:r w:rsidRPr="00E94778">
        <w:t xml:space="preserve"> and/or provide feedback</w:t>
      </w:r>
      <w:r w:rsidR="001F221F" w:rsidRPr="00E94778">
        <w:t>:</w:t>
      </w:r>
    </w:p>
    <w:p w14:paraId="3C40205E" w14:textId="77777777" w:rsidR="00E94778" w:rsidRPr="00E94778" w:rsidRDefault="00E94778" w:rsidP="00E94778">
      <w:pPr>
        <w:spacing w:after="0"/>
      </w:pPr>
    </w:p>
    <w:p w14:paraId="139AFB7E" w14:textId="5AC01760" w:rsidR="00D91F3D" w:rsidRPr="005C2031" w:rsidRDefault="00D91F3D" w:rsidP="005E61C4">
      <w:pPr>
        <w:pStyle w:val="ListParagraph"/>
        <w:numPr>
          <w:ilvl w:val="0"/>
          <w:numId w:val="5"/>
        </w:numPr>
        <w:spacing w:after="0"/>
        <w:rPr>
          <w:sz w:val="22"/>
        </w:rPr>
      </w:pPr>
      <w:r w:rsidRPr="005C2031">
        <w:rPr>
          <w:sz w:val="22"/>
        </w:rPr>
        <w:t xml:space="preserve">by email </w:t>
      </w:r>
    </w:p>
    <w:p w14:paraId="3BAED974" w14:textId="37FC9E7D" w:rsidR="00D91F3D" w:rsidRPr="005C2031" w:rsidRDefault="00D91F3D" w:rsidP="005E61C4">
      <w:pPr>
        <w:pStyle w:val="ListParagraph"/>
        <w:numPr>
          <w:ilvl w:val="0"/>
          <w:numId w:val="5"/>
        </w:numPr>
        <w:spacing w:after="0"/>
        <w:rPr>
          <w:sz w:val="22"/>
        </w:rPr>
      </w:pPr>
      <w:r w:rsidRPr="005C2031">
        <w:rPr>
          <w:sz w:val="22"/>
        </w:rPr>
        <w:t>through an online survey</w:t>
      </w:r>
      <w:r w:rsidR="00902E36" w:rsidRPr="005C2031">
        <w:rPr>
          <w:sz w:val="22"/>
        </w:rPr>
        <w:t>.</w:t>
      </w:r>
    </w:p>
    <w:p w14:paraId="7B433980" w14:textId="77777777" w:rsidR="00E94778" w:rsidRDefault="00E94778" w:rsidP="00E94778">
      <w:pPr>
        <w:spacing w:after="0"/>
      </w:pPr>
    </w:p>
    <w:p w14:paraId="241CFC48" w14:textId="15A37A22" w:rsidR="00E94778" w:rsidRDefault="00D91F3D" w:rsidP="00E94778">
      <w:pPr>
        <w:spacing w:after="0"/>
      </w:pPr>
      <w:r w:rsidRPr="00E94778">
        <w:t xml:space="preserve">The online hub for the Māori Health Action Plan will provide up-to-date </w:t>
      </w:r>
      <w:r w:rsidR="00DF4441">
        <w:t>information about</w:t>
      </w:r>
      <w:r w:rsidRPr="00E94778">
        <w:t xml:space="preserve"> of the development process, including engagement details. You can find the online hub at</w:t>
      </w:r>
      <w:r w:rsidR="00E94778" w:rsidRPr="00E94778">
        <w:t>:</w:t>
      </w:r>
    </w:p>
    <w:p w14:paraId="7B46E40B" w14:textId="77777777" w:rsidR="00E94778" w:rsidRPr="00E94778" w:rsidRDefault="00E94778" w:rsidP="00E94778">
      <w:pPr>
        <w:spacing w:after="0"/>
      </w:pPr>
    </w:p>
    <w:p w14:paraId="1D1655CA" w14:textId="74376C09" w:rsidR="007C3DF0" w:rsidRDefault="00117749" w:rsidP="005C2031">
      <w:pPr>
        <w:spacing w:after="0"/>
        <w:jc w:val="both"/>
        <w:rPr>
          <w:rStyle w:val="Hyperlink"/>
          <w:rFonts w:cs="Segoe UI"/>
        </w:rPr>
      </w:pPr>
      <w:hyperlink r:id="rId8" w:history="1">
        <w:r w:rsidR="000974AD" w:rsidRPr="00F7697C">
          <w:rPr>
            <w:rStyle w:val="Hyperlink"/>
            <w:rFonts w:cs="Segoe UI"/>
          </w:rPr>
          <w:t>www.health.govt.nz/mhap</w:t>
        </w:r>
      </w:hyperlink>
    </w:p>
    <w:p w14:paraId="572A9DBE" w14:textId="77777777" w:rsidR="00E94778" w:rsidRPr="00E94778" w:rsidRDefault="00E94778" w:rsidP="00E94778">
      <w:pPr>
        <w:spacing w:after="0"/>
      </w:pPr>
    </w:p>
    <w:p w14:paraId="7CE5EA1D" w14:textId="094BD6DF" w:rsidR="007C3DF0" w:rsidRPr="00E94778" w:rsidRDefault="007C3DF0" w:rsidP="00E94778">
      <w:pPr>
        <w:spacing w:after="0"/>
      </w:pPr>
      <w:r w:rsidRPr="00E94778">
        <w:t xml:space="preserve">The final Māori Health Action Plan will be released </w:t>
      </w:r>
      <w:r w:rsidR="0023599F">
        <w:t>in</w:t>
      </w:r>
      <w:r w:rsidRPr="00E94778">
        <w:t xml:space="preserve"> November 2019.</w:t>
      </w:r>
    </w:p>
    <w:p w14:paraId="24BDDED4" w14:textId="77777777" w:rsidR="00E94778" w:rsidRPr="00E94778" w:rsidRDefault="00E94778" w:rsidP="00E94778">
      <w:pPr>
        <w:spacing w:after="0"/>
      </w:pPr>
    </w:p>
    <w:p w14:paraId="7005BA3B" w14:textId="2D54FC62" w:rsidR="00D91F3D" w:rsidRPr="00686461" w:rsidRDefault="00D91F3D" w:rsidP="008776D4">
      <w:pPr>
        <w:pStyle w:val="Heading2"/>
        <w:jc w:val="both"/>
        <w:rPr>
          <w:rFonts w:cs="Segoe UI"/>
        </w:rPr>
      </w:pPr>
      <w:bookmarkStart w:id="5" w:name="_Toc17195708"/>
      <w:r w:rsidRPr="00686461">
        <w:rPr>
          <w:rFonts w:cs="Segoe UI"/>
        </w:rPr>
        <w:t xml:space="preserve">Attending an engagement </w:t>
      </w:r>
      <w:r w:rsidR="00902E36">
        <w:rPr>
          <w:rFonts w:cs="Segoe UI"/>
        </w:rPr>
        <w:t>wānanga</w:t>
      </w:r>
      <w:bookmarkEnd w:id="5"/>
    </w:p>
    <w:p w14:paraId="26C65C60" w14:textId="570750FB" w:rsidR="00D91F3D" w:rsidRDefault="00D91F3D" w:rsidP="00E94778">
      <w:pPr>
        <w:spacing w:after="0"/>
      </w:pPr>
      <w:r w:rsidRPr="00E94778">
        <w:t xml:space="preserve">Four health sector </w:t>
      </w:r>
      <w:r w:rsidR="00902E36" w:rsidRPr="00E94778">
        <w:t>wānanga</w:t>
      </w:r>
      <w:r w:rsidRPr="00E94778">
        <w:t xml:space="preserve"> have been organised. These will be held in:</w:t>
      </w:r>
    </w:p>
    <w:p w14:paraId="4EBA9675" w14:textId="77777777" w:rsidR="00E94778" w:rsidRPr="005C2031" w:rsidRDefault="00E94778" w:rsidP="00E94778">
      <w:pPr>
        <w:spacing w:after="0"/>
      </w:pPr>
    </w:p>
    <w:p w14:paraId="22D29AEE" w14:textId="06540F3D" w:rsidR="00D91F3D" w:rsidRPr="005C2031" w:rsidRDefault="00D91F3D" w:rsidP="005E61C4">
      <w:pPr>
        <w:pStyle w:val="ListParagraph"/>
        <w:numPr>
          <w:ilvl w:val="0"/>
          <w:numId w:val="6"/>
        </w:numPr>
        <w:spacing w:after="0"/>
        <w:rPr>
          <w:sz w:val="22"/>
        </w:rPr>
      </w:pPr>
      <w:r w:rsidRPr="005C2031">
        <w:rPr>
          <w:sz w:val="22"/>
        </w:rPr>
        <w:t>Auckland</w:t>
      </w:r>
      <w:r w:rsidR="001F221F" w:rsidRPr="005C2031">
        <w:rPr>
          <w:sz w:val="22"/>
        </w:rPr>
        <w:t>: Monday 19 August 2019</w:t>
      </w:r>
      <w:r w:rsidR="00902E36" w:rsidRPr="005C2031">
        <w:rPr>
          <w:sz w:val="22"/>
        </w:rPr>
        <w:t>, Holiday Inn Auckland Airport</w:t>
      </w:r>
    </w:p>
    <w:p w14:paraId="048E5DF4" w14:textId="7E688593" w:rsidR="008776D4" w:rsidRPr="005C2031" w:rsidRDefault="00D91F3D" w:rsidP="005E61C4">
      <w:pPr>
        <w:pStyle w:val="ListParagraph"/>
        <w:numPr>
          <w:ilvl w:val="0"/>
          <w:numId w:val="6"/>
        </w:numPr>
        <w:spacing w:after="0"/>
        <w:rPr>
          <w:sz w:val="22"/>
        </w:rPr>
      </w:pPr>
      <w:r w:rsidRPr="005C2031">
        <w:rPr>
          <w:sz w:val="22"/>
        </w:rPr>
        <w:t>Rotorua</w:t>
      </w:r>
      <w:r w:rsidR="00902E36" w:rsidRPr="005C2031">
        <w:rPr>
          <w:sz w:val="22"/>
        </w:rPr>
        <w:t xml:space="preserve">: Friday 23 August 2019, </w:t>
      </w:r>
      <w:proofErr w:type="spellStart"/>
      <w:r w:rsidR="00902E36" w:rsidRPr="005C2031">
        <w:rPr>
          <w:sz w:val="22"/>
        </w:rPr>
        <w:t>Sudima</w:t>
      </w:r>
      <w:proofErr w:type="spellEnd"/>
      <w:r w:rsidR="00902E36" w:rsidRPr="005C2031">
        <w:rPr>
          <w:sz w:val="22"/>
        </w:rPr>
        <w:t xml:space="preserve"> Lake Rotorua, 1000 </w:t>
      </w:r>
      <w:proofErr w:type="spellStart"/>
      <w:r w:rsidR="00902E36" w:rsidRPr="005C2031">
        <w:rPr>
          <w:sz w:val="22"/>
        </w:rPr>
        <w:t>Eruera</w:t>
      </w:r>
      <w:proofErr w:type="spellEnd"/>
      <w:r w:rsidR="00902E36" w:rsidRPr="005C2031">
        <w:rPr>
          <w:sz w:val="22"/>
        </w:rPr>
        <w:t xml:space="preserve"> Street</w:t>
      </w:r>
    </w:p>
    <w:p w14:paraId="64B703AC" w14:textId="1DCF73A6" w:rsidR="008776D4" w:rsidRPr="005C2031" w:rsidRDefault="00D91F3D" w:rsidP="005E61C4">
      <w:pPr>
        <w:pStyle w:val="ListParagraph"/>
        <w:numPr>
          <w:ilvl w:val="0"/>
          <w:numId w:val="6"/>
        </w:numPr>
        <w:spacing w:after="0"/>
        <w:rPr>
          <w:sz w:val="22"/>
        </w:rPr>
      </w:pPr>
      <w:r w:rsidRPr="005C2031">
        <w:rPr>
          <w:sz w:val="22"/>
        </w:rPr>
        <w:t>Wellington</w:t>
      </w:r>
      <w:r w:rsidR="00902E36" w:rsidRPr="005C2031">
        <w:rPr>
          <w:sz w:val="22"/>
        </w:rPr>
        <w:t>: Wednesday 28 August 2019, Te Papa</w:t>
      </w:r>
      <w:r w:rsidR="00DF4441">
        <w:rPr>
          <w:sz w:val="22"/>
        </w:rPr>
        <w:t xml:space="preserve">, </w:t>
      </w:r>
      <w:r w:rsidR="00902E36" w:rsidRPr="005C2031">
        <w:rPr>
          <w:sz w:val="22"/>
        </w:rPr>
        <w:t>Rangimarie room 1</w:t>
      </w:r>
    </w:p>
    <w:p w14:paraId="5C14D9DD" w14:textId="3A945EC1" w:rsidR="00D91F3D" w:rsidRPr="005C2031" w:rsidRDefault="00D91F3D" w:rsidP="005E61C4">
      <w:pPr>
        <w:pStyle w:val="ListParagraph"/>
        <w:numPr>
          <w:ilvl w:val="0"/>
          <w:numId w:val="6"/>
        </w:numPr>
        <w:spacing w:after="0"/>
        <w:rPr>
          <w:sz w:val="22"/>
        </w:rPr>
      </w:pPr>
      <w:r w:rsidRPr="005C2031">
        <w:rPr>
          <w:sz w:val="22"/>
        </w:rPr>
        <w:t>Christchurch</w:t>
      </w:r>
      <w:r w:rsidR="00902E36" w:rsidRPr="005C2031">
        <w:rPr>
          <w:sz w:val="22"/>
        </w:rPr>
        <w:t>: Friday 29 August 2019, Chateau on the Park, 189 Deans Avenue</w:t>
      </w:r>
      <w:r w:rsidR="00DF4441">
        <w:rPr>
          <w:sz w:val="22"/>
        </w:rPr>
        <w:t>.</w:t>
      </w:r>
    </w:p>
    <w:p w14:paraId="3C1D42C3" w14:textId="77777777" w:rsidR="00E94778" w:rsidRDefault="00E94778" w:rsidP="00E94778">
      <w:pPr>
        <w:spacing w:after="0"/>
      </w:pPr>
    </w:p>
    <w:p w14:paraId="26F6E135" w14:textId="451DE176" w:rsidR="00D91F3D" w:rsidRDefault="00D91F3D" w:rsidP="00E94778">
      <w:pPr>
        <w:spacing w:after="0"/>
      </w:pPr>
      <w:r w:rsidRPr="00E94778">
        <w:t xml:space="preserve">Attendees will include district health boards (DHBs), </w:t>
      </w:r>
      <w:r w:rsidR="007C3DF0" w:rsidRPr="00E94778">
        <w:t>p</w:t>
      </w:r>
      <w:r w:rsidRPr="00E94778">
        <w:t xml:space="preserve">rimary </w:t>
      </w:r>
      <w:r w:rsidR="007C3DF0" w:rsidRPr="00E94778">
        <w:t>h</w:t>
      </w:r>
      <w:r w:rsidRPr="00E94778">
        <w:t xml:space="preserve">ealth </w:t>
      </w:r>
      <w:r w:rsidR="007C3DF0" w:rsidRPr="00E94778">
        <w:t>o</w:t>
      </w:r>
      <w:r w:rsidRPr="00E94778">
        <w:t xml:space="preserve">rganisations (PHOs), health providers and health </w:t>
      </w:r>
      <w:r w:rsidR="00902E36" w:rsidRPr="00E94778">
        <w:t xml:space="preserve">and disability </w:t>
      </w:r>
      <w:r w:rsidRPr="00E94778">
        <w:t xml:space="preserve">sector workforce, such as clinicians and professionals, and other Māori health organisations. </w:t>
      </w:r>
    </w:p>
    <w:p w14:paraId="265F584A" w14:textId="5ABD842F" w:rsidR="00E94778" w:rsidRDefault="00E94778" w:rsidP="00E94778">
      <w:pPr>
        <w:spacing w:after="0"/>
      </w:pPr>
    </w:p>
    <w:p w14:paraId="796F93C1" w14:textId="77777777" w:rsidR="005C2031" w:rsidRPr="00686461" w:rsidRDefault="005C2031" w:rsidP="005C2031">
      <w:pPr>
        <w:pStyle w:val="Heading2"/>
        <w:jc w:val="both"/>
        <w:rPr>
          <w:rFonts w:cs="Segoe UI"/>
        </w:rPr>
      </w:pPr>
      <w:bookmarkStart w:id="6" w:name="_Toc17195709"/>
      <w:r w:rsidRPr="00686461">
        <w:rPr>
          <w:rFonts w:cs="Segoe UI"/>
        </w:rPr>
        <w:t>Complete our online survey</w:t>
      </w:r>
      <w:bookmarkEnd w:id="6"/>
      <w:r w:rsidRPr="00686461">
        <w:rPr>
          <w:rFonts w:cs="Segoe UI"/>
        </w:rPr>
        <w:t xml:space="preserve"> </w:t>
      </w:r>
    </w:p>
    <w:p w14:paraId="48845809" w14:textId="02754AEB" w:rsidR="005C2031" w:rsidRPr="005C2031" w:rsidRDefault="005C2031" w:rsidP="005C2031">
      <w:pPr>
        <w:spacing w:after="0"/>
      </w:pPr>
      <w:r w:rsidRPr="005C2031">
        <w:t>You can also complete an online survey. To access the survey please go to the online hub at:</w:t>
      </w:r>
    </w:p>
    <w:p w14:paraId="47350E77" w14:textId="77777777" w:rsidR="005C2031" w:rsidRPr="00E94778" w:rsidRDefault="005C2031" w:rsidP="005C2031">
      <w:pPr>
        <w:spacing w:after="0"/>
      </w:pPr>
    </w:p>
    <w:p w14:paraId="5978C8E4" w14:textId="48C4ADD1" w:rsidR="005C2031" w:rsidRDefault="00117749" w:rsidP="005C2031">
      <w:pPr>
        <w:spacing w:after="0"/>
        <w:jc w:val="both"/>
        <w:rPr>
          <w:rStyle w:val="Hyperlink"/>
          <w:rFonts w:cs="Segoe UI"/>
        </w:rPr>
      </w:pPr>
      <w:hyperlink r:id="rId9" w:history="1">
        <w:r w:rsidR="000974AD" w:rsidRPr="00F7697C">
          <w:rPr>
            <w:rStyle w:val="Hyperlink"/>
            <w:rFonts w:cs="Segoe UI"/>
          </w:rPr>
          <w:t>www.health.govt.nz/mhap</w:t>
        </w:r>
      </w:hyperlink>
    </w:p>
    <w:p w14:paraId="534CBB0A" w14:textId="77777777" w:rsidR="005C2031" w:rsidRPr="00E94778" w:rsidRDefault="005C2031" w:rsidP="00E94778">
      <w:pPr>
        <w:spacing w:after="0"/>
      </w:pPr>
    </w:p>
    <w:p w14:paraId="3FA315B2" w14:textId="77777777" w:rsidR="00D91F3D" w:rsidRPr="00686461" w:rsidRDefault="00D91F3D" w:rsidP="008776D4">
      <w:pPr>
        <w:pStyle w:val="Heading2"/>
        <w:jc w:val="both"/>
        <w:rPr>
          <w:rFonts w:cs="Segoe UI"/>
        </w:rPr>
      </w:pPr>
      <w:bookmarkStart w:id="7" w:name="_Toc17195710"/>
      <w:r w:rsidRPr="00686461">
        <w:rPr>
          <w:rFonts w:cs="Segoe UI"/>
        </w:rPr>
        <w:lastRenderedPageBreak/>
        <w:t>Make a written submission</w:t>
      </w:r>
      <w:bookmarkEnd w:id="7"/>
      <w:r w:rsidRPr="00686461">
        <w:rPr>
          <w:rFonts w:cs="Segoe UI"/>
        </w:rPr>
        <w:t xml:space="preserve"> </w:t>
      </w:r>
    </w:p>
    <w:p w14:paraId="6E843390" w14:textId="57E0B805" w:rsidR="00D91F3D" w:rsidRDefault="00D91F3D" w:rsidP="005C2031">
      <w:pPr>
        <w:spacing w:after="0"/>
      </w:pPr>
      <w:r w:rsidRPr="005C2031">
        <w:t>You can make an individual submission or a submission on behalf of an organi</w:t>
      </w:r>
      <w:r w:rsidR="007C3DF0" w:rsidRPr="005C2031">
        <w:t>s</w:t>
      </w:r>
      <w:r w:rsidRPr="005C2031">
        <w:t>ation.</w:t>
      </w:r>
    </w:p>
    <w:p w14:paraId="630077F3" w14:textId="77777777" w:rsidR="005C2031" w:rsidRPr="005C2031" w:rsidRDefault="005C2031" w:rsidP="005C2031">
      <w:pPr>
        <w:spacing w:after="0"/>
      </w:pPr>
    </w:p>
    <w:p w14:paraId="60BB1CB6" w14:textId="240680D7" w:rsidR="00D91F3D" w:rsidRDefault="00D91F3D" w:rsidP="005C2031">
      <w:pPr>
        <w:spacing w:after="0"/>
      </w:pPr>
      <w:r w:rsidRPr="005C2031">
        <w:t xml:space="preserve">If you make an individual submission, please indicate your interest or involvement in Māori health (for example, as a patient, service provider or whānau of a patient). </w:t>
      </w:r>
    </w:p>
    <w:p w14:paraId="28899099" w14:textId="77777777" w:rsidR="005C2031" w:rsidRPr="005C2031" w:rsidRDefault="005C2031" w:rsidP="005C2031">
      <w:pPr>
        <w:spacing w:after="0"/>
      </w:pPr>
    </w:p>
    <w:p w14:paraId="054966A2" w14:textId="00457A8A" w:rsidR="00D91F3D" w:rsidRDefault="00D91F3D" w:rsidP="005C2031">
      <w:pPr>
        <w:spacing w:after="0"/>
      </w:pPr>
      <w:r w:rsidRPr="005C2031">
        <w:t>If you make a submission on behalf of an organi</w:t>
      </w:r>
      <w:r w:rsidR="007C3DF0" w:rsidRPr="005C2031">
        <w:t>s</w:t>
      </w:r>
      <w:r w:rsidRPr="005C2031">
        <w:t xml:space="preserve">ation, iwi or </w:t>
      </w:r>
      <w:r w:rsidR="00582EB5">
        <w:t>hapū</w:t>
      </w:r>
      <w:r w:rsidRPr="005C2031">
        <w:t xml:space="preserve">, please describe </w:t>
      </w:r>
      <w:r w:rsidR="00DF4441">
        <w:t>its</w:t>
      </w:r>
      <w:r w:rsidRPr="005C2031">
        <w:t xml:space="preserve"> details and its interest in Māori health. </w:t>
      </w:r>
    </w:p>
    <w:p w14:paraId="17325BDA" w14:textId="77777777" w:rsidR="005C2031" w:rsidRPr="005C2031" w:rsidRDefault="005C2031" w:rsidP="005C2031">
      <w:pPr>
        <w:spacing w:after="0"/>
      </w:pPr>
    </w:p>
    <w:p w14:paraId="028BA943" w14:textId="2356AA75" w:rsidR="005C2031" w:rsidRDefault="00DF4441" w:rsidP="005C2031">
      <w:pPr>
        <w:spacing w:after="0"/>
      </w:pPr>
      <w:r>
        <w:t xml:space="preserve">You may email your submission </w:t>
      </w:r>
      <w:r w:rsidR="00D91F3D" w:rsidRPr="005C2031">
        <w:t xml:space="preserve">to the Ministry of Health </w:t>
      </w:r>
      <w:r>
        <w:t xml:space="preserve">using the </w:t>
      </w:r>
      <w:r w:rsidR="005C2031">
        <w:t>following address:</w:t>
      </w:r>
    </w:p>
    <w:p w14:paraId="06454DF5" w14:textId="77777777" w:rsidR="005C2031" w:rsidRDefault="005C2031" w:rsidP="005C2031">
      <w:pPr>
        <w:spacing w:after="0"/>
      </w:pPr>
    </w:p>
    <w:p w14:paraId="682B5250" w14:textId="35591109" w:rsidR="00D91F3D" w:rsidRDefault="00117749" w:rsidP="005C2031">
      <w:pPr>
        <w:spacing w:after="0"/>
        <w:jc w:val="both"/>
        <w:rPr>
          <w:rStyle w:val="Hyperlink"/>
          <w:rFonts w:cs="Segoe UI"/>
        </w:rPr>
      </w:pPr>
      <w:hyperlink r:id="rId10" w:history="1">
        <w:r w:rsidR="005C2031" w:rsidRPr="00AA2F58">
          <w:rPr>
            <w:rStyle w:val="Hyperlink"/>
            <w:rFonts w:cs="Segoe UI"/>
          </w:rPr>
          <w:t>Māorihealth@health.govt.nz</w:t>
        </w:r>
      </w:hyperlink>
    </w:p>
    <w:p w14:paraId="49CBA782" w14:textId="27304B8D" w:rsidR="00512A7B" w:rsidRDefault="00512A7B"/>
    <w:p w14:paraId="67AA0903" w14:textId="5A56D6A0" w:rsidR="00D91F3D" w:rsidRPr="00D91F3D" w:rsidRDefault="0044288E" w:rsidP="005C2031">
      <w:pPr>
        <w:pStyle w:val="Heading1"/>
        <w:pageBreakBefore/>
        <w:rPr>
          <w:b/>
        </w:rPr>
      </w:pPr>
      <w:bookmarkStart w:id="8" w:name="_Toc17195711"/>
      <w:r>
        <w:rPr>
          <w:b/>
        </w:rPr>
        <w:lastRenderedPageBreak/>
        <w:t xml:space="preserve">He Korowai Oranga: the </w:t>
      </w:r>
      <w:r w:rsidR="00281A2B">
        <w:rPr>
          <w:b/>
        </w:rPr>
        <w:t>Māori</w:t>
      </w:r>
      <w:r>
        <w:rPr>
          <w:b/>
        </w:rPr>
        <w:t xml:space="preserve"> Health Strategy</w:t>
      </w:r>
      <w:bookmarkEnd w:id="8"/>
    </w:p>
    <w:p w14:paraId="6DEF2856" w14:textId="4ED5FFB4" w:rsidR="00D91F3D" w:rsidRDefault="00D91F3D" w:rsidP="00637057">
      <w:pPr>
        <w:spacing w:after="0"/>
      </w:pPr>
      <w:r w:rsidRPr="00637057">
        <w:rPr>
          <w:noProof/>
        </w:rPr>
        <w:drawing>
          <wp:anchor distT="0" distB="0" distL="114300" distR="114300" simplePos="0" relativeHeight="251663360" behindDoc="1" locked="0" layoutInCell="1" allowOverlap="1" wp14:anchorId="1202DF1F" wp14:editId="133666E8">
            <wp:simplePos x="0" y="0"/>
            <wp:positionH relativeFrom="margin">
              <wp:posOffset>2857392</wp:posOffset>
            </wp:positionH>
            <wp:positionV relativeFrom="paragraph">
              <wp:posOffset>38879</wp:posOffset>
            </wp:positionV>
            <wp:extent cx="3003550" cy="2590800"/>
            <wp:effectExtent l="0" t="0" r="6350" b="0"/>
            <wp:wrapTight wrapText="bothSides">
              <wp:wrapPolygon edited="0">
                <wp:start x="0" y="0"/>
                <wp:lineTo x="0" y="21441"/>
                <wp:lineTo x="21509" y="21441"/>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3550" cy="2590800"/>
                    </a:xfrm>
                    <a:prstGeom prst="rect">
                      <a:avLst/>
                    </a:prstGeom>
                    <a:noFill/>
                  </pic:spPr>
                </pic:pic>
              </a:graphicData>
            </a:graphic>
            <wp14:sizeRelH relativeFrom="margin">
              <wp14:pctWidth>0</wp14:pctWidth>
            </wp14:sizeRelH>
            <wp14:sizeRelV relativeFrom="margin">
              <wp14:pctHeight>0</wp14:pctHeight>
            </wp14:sizeRelV>
          </wp:anchor>
        </w:drawing>
      </w:r>
      <w:r w:rsidRPr="00637057">
        <w:t>He Korowai Oranga, the Māori Health Strategy</w:t>
      </w:r>
      <w:r w:rsidR="0023599F">
        <w:t xml:space="preserve"> has the </w:t>
      </w:r>
      <w:r w:rsidRPr="00637057">
        <w:t xml:space="preserve">overall aim of </w:t>
      </w:r>
      <w:proofErr w:type="spellStart"/>
      <w:r w:rsidR="0023599F">
        <w:t>pae</w:t>
      </w:r>
      <w:proofErr w:type="spellEnd"/>
      <w:r w:rsidR="0023599F">
        <w:t xml:space="preserve"> </w:t>
      </w:r>
      <w:proofErr w:type="spellStart"/>
      <w:r w:rsidRPr="00637057">
        <w:t>ora</w:t>
      </w:r>
      <w:proofErr w:type="spellEnd"/>
      <w:r w:rsidRPr="00637057">
        <w:t xml:space="preserve"> (healthy </w:t>
      </w:r>
      <w:r w:rsidR="0023599F">
        <w:t>futures</w:t>
      </w:r>
      <w:r w:rsidRPr="00637057">
        <w:t>).</w:t>
      </w:r>
      <w:r w:rsidR="0023599F">
        <w:t xml:space="preserve"> With its refresh in 2014, </w:t>
      </w:r>
      <w:r w:rsidRPr="00637057">
        <w:t>He Korowai Oranga continue</w:t>
      </w:r>
      <w:r w:rsidR="0023599F">
        <w:t>s</w:t>
      </w:r>
      <w:r w:rsidRPr="00637057">
        <w:t xml:space="preserve"> to provide a strong platform for Māori health. </w:t>
      </w:r>
    </w:p>
    <w:p w14:paraId="2579BD09" w14:textId="77777777" w:rsidR="00637057" w:rsidRPr="00637057" w:rsidRDefault="00637057" w:rsidP="00637057">
      <w:pPr>
        <w:spacing w:after="0"/>
      </w:pPr>
    </w:p>
    <w:p w14:paraId="0AEB65C1" w14:textId="31DEEB94" w:rsidR="00D91F3D" w:rsidRDefault="00D91F3D" w:rsidP="00637057">
      <w:pPr>
        <w:spacing w:after="0"/>
      </w:pPr>
      <w:r w:rsidRPr="00637057">
        <w:t>The elements, directions, key threads, inverse triangles and pathways of He Korowai Oranga are the health system</w:t>
      </w:r>
      <w:r w:rsidR="00902E36" w:rsidRPr="00637057">
        <w:t>’</w:t>
      </w:r>
      <w:r w:rsidRPr="00637057">
        <w:t xml:space="preserve">s guide to improving Māori health and realising </w:t>
      </w:r>
      <w:proofErr w:type="spellStart"/>
      <w:r w:rsidRPr="00637057">
        <w:t>pae</w:t>
      </w:r>
      <w:proofErr w:type="spellEnd"/>
      <w:r w:rsidRPr="00637057">
        <w:t xml:space="preserve"> </w:t>
      </w:r>
      <w:proofErr w:type="spellStart"/>
      <w:r w:rsidRPr="00637057">
        <w:t>ora</w:t>
      </w:r>
      <w:proofErr w:type="spellEnd"/>
      <w:r w:rsidRPr="00637057">
        <w:t xml:space="preserve">. The four pathways of He Korowai Oranga </w:t>
      </w:r>
      <w:r w:rsidR="00F554EA" w:rsidRPr="00637057">
        <w:t>guide</w:t>
      </w:r>
      <w:r w:rsidRPr="00637057">
        <w:t xml:space="preserve"> how t</w:t>
      </w:r>
      <w:r w:rsidR="00F554EA" w:rsidRPr="00637057">
        <w:t>he strategy could be implemented</w:t>
      </w:r>
      <w:r w:rsidRPr="00637057">
        <w:t>. These pathways are:</w:t>
      </w:r>
    </w:p>
    <w:p w14:paraId="500059DE" w14:textId="77777777" w:rsidR="00637057" w:rsidRPr="00637057" w:rsidRDefault="00637057" w:rsidP="00637057">
      <w:pPr>
        <w:spacing w:after="0"/>
      </w:pPr>
    </w:p>
    <w:p w14:paraId="03AB4FFE" w14:textId="080B4074" w:rsidR="00D91F3D" w:rsidRPr="00637057" w:rsidRDefault="00D91F3D" w:rsidP="005E61C4">
      <w:pPr>
        <w:pStyle w:val="ListParagraph"/>
        <w:numPr>
          <w:ilvl w:val="0"/>
          <w:numId w:val="7"/>
        </w:numPr>
        <w:spacing w:after="0"/>
        <w:rPr>
          <w:sz w:val="22"/>
        </w:rPr>
      </w:pPr>
      <w:r w:rsidRPr="00637057">
        <w:rPr>
          <w:sz w:val="22"/>
        </w:rPr>
        <w:t xml:space="preserve">supporting whānau, </w:t>
      </w:r>
      <w:r w:rsidR="00582EB5">
        <w:rPr>
          <w:sz w:val="22"/>
        </w:rPr>
        <w:t>hapū</w:t>
      </w:r>
      <w:r w:rsidRPr="00637057">
        <w:rPr>
          <w:sz w:val="22"/>
        </w:rPr>
        <w:t>, iwi and community development</w:t>
      </w:r>
    </w:p>
    <w:p w14:paraId="5E28838F" w14:textId="0212643F" w:rsidR="00D91F3D" w:rsidRPr="00637057" w:rsidRDefault="00D91F3D" w:rsidP="005E61C4">
      <w:pPr>
        <w:pStyle w:val="ListParagraph"/>
        <w:numPr>
          <w:ilvl w:val="0"/>
          <w:numId w:val="7"/>
        </w:numPr>
        <w:spacing w:after="0"/>
        <w:rPr>
          <w:sz w:val="22"/>
        </w:rPr>
      </w:pPr>
      <w:r w:rsidRPr="00637057">
        <w:rPr>
          <w:sz w:val="22"/>
        </w:rPr>
        <w:t>supporting Māori participation at all levels of the health and disability sector</w:t>
      </w:r>
    </w:p>
    <w:p w14:paraId="534BFF4E" w14:textId="1C75EE71" w:rsidR="00D91F3D" w:rsidRPr="00637057" w:rsidRDefault="00D91F3D" w:rsidP="005E61C4">
      <w:pPr>
        <w:pStyle w:val="ListParagraph"/>
        <w:numPr>
          <w:ilvl w:val="0"/>
          <w:numId w:val="7"/>
        </w:numPr>
        <w:spacing w:after="0"/>
        <w:rPr>
          <w:sz w:val="22"/>
        </w:rPr>
      </w:pPr>
      <w:r w:rsidRPr="00637057">
        <w:rPr>
          <w:sz w:val="22"/>
        </w:rPr>
        <w:t>ensuring effective health service delivery</w:t>
      </w:r>
    </w:p>
    <w:p w14:paraId="258E44EE" w14:textId="5B6C1228" w:rsidR="00D91F3D" w:rsidRPr="00637057" w:rsidRDefault="00D91F3D" w:rsidP="005E61C4">
      <w:pPr>
        <w:pStyle w:val="ListParagraph"/>
        <w:numPr>
          <w:ilvl w:val="0"/>
          <w:numId w:val="7"/>
        </w:numPr>
        <w:spacing w:after="0"/>
        <w:rPr>
          <w:sz w:val="22"/>
        </w:rPr>
      </w:pPr>
      <w:r w:rsidRPr="00637057">
        <w:rPr>
          <w:sz w:val="22"/>
        </w:rPr>
        <w:t>working across sectors.</w:t>
      </w:r>
    </w:p>
    <w:p w14:paraId="5C016B83" w14:textId="77777777" w:rsidR="00637057" w:rsidRPr="00637057" w:rsidRDefault="00637057" w:rsidP="00637057">
      <w:pPr>
        <w:spacing w:after="0"/>
      </w:pPr>
    </w:p>
    <w:p w14:paraId="5DF72006" w14:textId="738C1618" w:rsidR="00D91F3D" w:rsidRPr="001067B4" w:rsidRDefault="000B3BF7" w:rsidP="00D91F3D">
      <w:pPr>
        <w:pStyle w:val="Heading2"/>
      </w:pPr>
      <w:bookmarkStart w:id="9" w:name="_Toc17195712"/>
      <w:r>
        <w:t>History of i</w:t>
      </w:r>
      <w:r w:rsidR="00D91F3D" w:rsidRPr="001067B4">
        <w:t xml:space="preserve">mplementing He Korowai Oranga: the Māori </w:t>
      </w:r>
      <w:r w:rsidR="00DF4441">
        <w:t>H</w:t>
      </w:r>
      <w:r w:rsidR="00D91F3D" w:rsidRPr="001067B4">
        <w:t xml:space="preserve">ealth </w:t>
      </w:r>
      <w:r w:rsidR="00DF4441">
        <w:t>S</w:t>
      </w:r>
      <w:r w:rsidR="00D91F3D" w:rsidRPr="001067B4">
        <w:t>trategy</w:t>
      </w:r>
      <w:bookmarkEnd w:id="9"/>
      <w:r w:rsidR="00D91F3D" w:rsidRPr="001067B4">
        <w:t xml:space="preserve"> </w:t>
      </w:r>
    </w:p>
    <w:p w14:paraId="6C945D8B" w14:textId="32D08781" w:rsidR="00D91F3D" w:rsidRDefault="00D91F3D" w:rsidP="00637057">
      <w:pPr>
        <w:spacing w:after="0"/>
      </w:pPr>
      <w:r w:rsidRPr="00637057">
        <w:t xml:space="preserve">The implementation of He Korowai Oranga is the responsibility of the whole health and disability sector. </w:t>
      </w:r>
      <w:r w:rsidR="00DF4441">
        <w:t>I</w:t>
      </w:r>
      <w:r w:rsidRPr="00637057">
        <w:t xml:space="preserve">mplementation </w:t>
      </w:r>
      <w:r w:rsidR="00B90588">
        <w:t xml:space="preserve">was originally </w:t>
      </w:r>
      <w:r w:rsidRPr="00637057">
        <w:t xml:space="preserve">supported by </w:t>
      </w:r>
      <w:proofErr w:type="spellStart"/>
      <w:r w:rsidRPr="00637057">
        <w:t>Whakatātaka</w:t>
      </w:r>
      <w:proofErr w:type="spellEnd"/>
      <w:r w:rsidRPr="00637057">
        <w:t>: the Māori Health Action Plan.</w:t>
      </w:r>
    </w:p>
    <w:p w14:paraId="020CE3DF" w14:textId="77777777" w:rsidR="00637057" w:rsidRPr="00637057" w:rsidRDefault="00637057" w:rsidP="00637057">
      <w:pPr>
        <w:spacing w:after="0"/>
      </w:pPr>
    </w:p>
    <w:p w14:paraId="12D595C2" w14:textId="4E3709E4" w:rsidR="00D91F3D" w:rsidRPr="00637057" w:rsidRDefault="00D91F3D" w:rsidP="00637057">
      <w:pPr>
        <w:spacing w:after="0"/>
      </w:pPr>
      <w:r w:rsidRPr="00637057">
        <w:t xml:space="preserve">Two Māori Health Action Plans were developed to guide the implementation of the original He Korowai Oranga: </w:t>
      </w:r>
      <w:proofErr w:type="spellStart"/>
      <w:r w:rsidRPr="00637057">
        <w:t>Whakatātaka</w:t>
      </w:r>
      <w:proofErr w:type="spellEnd"/>
      <w:r w:rsidRPr="00637057">
        <w:t xml:space="preserve"> Māori </w:t>
      </w:r>
      <w:r w:rsidR="00B90588">
        <w:t>H</w:t>
      </w:r>
      <w:r w:rsidRPr="00637057">
        <w:t xml:space="preserve">ealth </w:t>
      </w:r>
      <w:r w:rsidR="00B90588">
        <w:t>A</w:t>
      </w:r>
      <w:r w:rsidRPr="00637057">
        <w:t xml:space="preserve">ction </w:t>
      </w:r>
      <w:r w:rsidR="00B90588">
        <w:t>P</w:t>
      </w:r>
      <w:r w:rsidRPr="00637057">
        <w:t>lan 2002-2005</w:t>
      </w:r>
      <w:r w:rsidR="005C2031" w:rsidRPr="00637057">
        <w:t xml:space="preserve"> (</w:t>
      </w:r>
      <w:r w:rsidR="00CC5FDE">
        <w:t>Ministry of Health 2002c)</w:t>
      </w:r>
      <w:r w:rsidRPr="00637057">
        <w:t xml:space="preserve">, and </w:t>
      </w:r>
      <w:proofErr w:type="spellStart"/>
      <w:r w:rsidRPr="00637057">
        <w:t>Whakatātaka</w:t>
      </w:r>
      <w:proofErr w:type="spellEnd"/>
      <w:r w:rsidRPr="00637057">
        <w:t xml:space="preserve"> </w:t>
      </w:r>
      <w:proofErr w:type="spellStart"/>
      <w:r w:rsidRPr="00637057">
        <w:t>Tuarua</w:t>
      </w:r>
      <w:proofErr w:type="spellEnd"/>
      <w:r w:rsidRPr="00637057">
        <w:t xml:space="preserve">: Māori </w:t>
      </w:r>
      <w:r w:rsidR="00B90588">
        <w:t>H</w:t>
      </w:r>
      <w:r w:rsidRPr="00637057">
        <w:t xml:space="preserve">ealth </w:t>
      </w:r>
      <w:r w:rsidR="00B90588">
        <w:t>A</w:t>
      </w:r>
      <w:r w:rsidRPr="00637057">
        <w:t xml:space="preserve">ction </w:t>
      </w:r>
      <w:r w:rsidR="00B90588">
        <w:t>P</w:t>
      </w:r>
      <w:r w:rsidRPr="00637057">
        <w:t>lan 2006-2011</w:t>
      </w:r>
      <w:r w:rsidR="005C2031" w:rsidRPr="00637057">
        <w:t xml:space="preserve"> (</w:t>
      </w:r>
      <w:r w:rsidR="00CC5FDE" w:rsidRPr="00CC5FDE">
        <w:t>Minister of Health and Associate Minister of Health 2006</w:t>
      </w:r>
      <w:r w:rsidR="005C2031" w:rsidRPr="00637057">
        <w:t>)</w:t>
      </w:r>
      <w:r w:rsidRPr="00637057">
        <w:t>.</w:t>
      </w:r>
    </w:p>
    <w:p w14:paraId="4F5A55F9" w14:textId="77777777" w:rsidR="00637057" w:rsidRDefault="00637057" w:rsidP="00637057">
      <w:pPr>
        <w:spacing w:after="0"/>
      </w:pPr>
    </w:p>
    <w:p w14:paraId="26DEFB7C" w14:textId="388E2CB5" w:rsidR="00D91F3D" w:rsidRDefault="00D91F3D" w:rsidP="00637057">
      <w:pPr>
        <w:spacing w:after="0"/>
      </w:pPr>
      <w:proofErr w:type="spellStart"/>
      <w:r w:rsidRPr="00637057">
        <w:t>Whakatātaka</w:t>
      </w:r>
      <w:proofErr w:type="spellEnd"/>
      <w:r w:rsidRPr="00637057">
        <w:t xml:space="preserve"> was used by the Ministry and </w:t>
      </w:r>
      <w:r w:rsidR="00B90588">
        <w:t>District Health Boards (</w:t>
      </w:r>
      <w:r w:rsidRPr="00637057">
        <w:t>DHBs</w:t>
      </w:r>
      <w:r w:rsidR="00B90588">
        <w:t>)</w:t>
      </w:r>
      <w:r w:rsidRPr="00637057">
        <w:t xml:space="preserve"> to inform planning, resource prioritisation, and service development. </w:t>
      </w:r>
      <w:proofErr w:type="spellStart"/>
      <w:r w:rsidRPr="00637057">
        <w:t>Whakatātaka</w:t>
      </w:r>
      <w:proofErr w:type="spellEnd"/>
      <w:r w:rsidRPr="00637057">
        <w:t xml:space="preserve"> established a firm foundation for the health and disability sector to work towards improved health outcomes for Māori</w:t>
      </w:r>
      <w:r w:rsidR="007050FE" w:rsidRPr="00637057">
        <w:t>.</w:t>
      </w:r>
      <w:r w:rsidRPr="00637057">
        <w:t xml:space="preserve"> </w:t>
      </w:r>
      <w:r w:rsidR="007050FE" w:rsidRPr="00637057">
        <w:t>T</w:t>
      </w:r>
      <w:r w:rsidRPr="00637057">
        <w:t xml:space="preserve">his included </w:t>
      </w:r>
      <w:r w:rsidR="00B90588">
        <w:t>providing direction to DHBs on key actions to be undertaken to implement He Korowai Oranga</w:t>
      </w:r>
      <w:r w:rsidRPr="00637057">
        <w:t>, improved quality data information, the embedding of whānau ora</w:t>
      </w:r>
      <w:r w:rsidR="00DF4441">
        <w:t>-</w:t>
      </w:r>
      <w:r w:rsidRPr="00637057">
        <w:t>based models, and the development of Māori health workforce development and governance.</w:t>
      </w:r>
    </w:p>
    <w:p w14:paraId="590A2AF8" w14:textId="77777777" w:rsidR="00637057" w:rsidRPr="00637057" w:rsidRDefault="00637057" w:rsidP="00637057">
      <w:pPr>
        <w:spacing w:after="0"/>
      </w:pPr>
    </w:p>
    <w:p w14:paraId="53628CE0" w14:textId="1A31AEDE" w:rsidR="00D91F3D" w:rsidRDefault="00D91F3D" w:rsidP="0023599F">
      <w:pPr>
        <w:spacing w:after="0"/>
      </w:pPr>
      <w:r w:rsidRPr="00637057">
        <w:t xml:space="preserve">He Korowai Oranga </w:t>
      </w:r>
      <w:r w:rsidR="00DF4441">
        <w:t xml:space="preserve">was refreshed </w:t>
      </w:r>
      <w:r w:rsidRPr="00637057">
        <w:t xml:space="preserve">in 2014. </w:t>
      </w:r>
      <w:r w:rsidR="0023599F" w:rsidRPr="0023599F">
        <w:t xml:space="preserve">In the </w:t>
      </w:r>
      <w:r w:rsidR="0023599F">
        <w:t>time since</w:t>
      </w:r>
      <w:r w:rsidR="00DF4441">
        <w:t xml:space="preserve">, </w:t>
      </w:r>
      <w:r w:rsidR="0023599F">
        <w:t xml:space="preserve">there has been some progress </w:t>
      </w:r>
      <w:r w:rsidR="0023599F" w:rsidRPr="0023599F">
        <w:t xml:space="preserve">but there is still much to do. One of the most obvious examples of this is the clear </w:t>
      </w:r>
      <w:r w:rsidR="0023599F">
        <w:t xml:space="preserve">ongoing </w:t>
      </w:r>
      <w:r w:rsidR="0023599F" w:rsidRPr="0023599F">
        <w:t>discrepanc</w:t>
      </w:r>
      <w:r w:rsidR="0023599F">
        <w:t>y</w:t>
      </w:r>
      <w:r w:rsidR="0023599F" w:rsidRPr="0023599F">
        <w:t xml:space="preserve"> in life expectancy at birth for </w:t>
      </w:r>
      <w:r w:rsidR="0023599F">
        <w:t>Māori compared to non-Māori (Ministry of Health 2018c)</w:t>
      </w:r>
      <w:r w:rsidR="0023599F" w:rsidRPr="0023599F">
        <w:t>.</w:t>
      </w:r>
    </w:p>
    <w:p w14:paraId="1141C6E6" w14:textId="0719CAB2" w:rsidR="00637057" w:rsidRDefault="00637057" w:rsidP="00637057">
      <w:pPr>
        <w:spacing w:after="0"/>
      </w:pPr>
    </w:p>
    <w:p w14:paraId="0381B4A8" w14:textId="63BA5AD9" w:rsidR="00707AA9" w:rsidRPr="00BD6F86" w:rsidRDefault="00BD6F86" w:rsidP="00BD6F86">
      <w:pPr>
        <w:pStyle w:val="Heading2"/>
      </w:pPr>
      <w:bookmarkStart w:id="10" w:name="_Toc17195713"/>
      <w:r>
        <w:lastRenderedPageBreak/>
        <w:t xml:space="preserve">A new approach to </w:t>
      </w:r>
      <w:r w:rsidR="00D66E6E" w:rsidRPr="00BD6F86">
        <w:t xml:space="preserve">Te </w:t>
      </w:r>
      <w:r w:rsidR="00EB21EF" w:rsidRPr="00BD6F86">
        <w:t xml:space="preserve">Tiriti </w:t>
      </w:r>
      <w:r w:rsidR="00D66E6E" w:rsidRPr="00BD6F86">
        <w:t>o Waitangi</w:t>
      </w:r>
      <w:r>
        <w:t xml:space="preserve"> for the health and disability system</w:t>
      </w:r>
      <w:bookmarkEnd w:id="10"/>
    </w:p>
    <w:p w14:paraId="41BD95A6" w14:textId="7F0DA31E" w:rsidR="00D66E6E" w:rsidRPr="00EB21EF" w:rsidRDefault="00EB21EF" w:rsidP="00B01C76">
      <w:pPr>
        <w:spacing w:after="0"/>
      </w:pPr>
      <w:r>
        <w:t xml:space="preserve">Under </w:t>
      </w:r>
      <w:r w:rsidRPr="00EB21EF">
        <w:t>Te T</w:t>
      </w:r>
      <w:r>
        <w:t>i</w:t>
      </w:r>
      <w:r w:rsidRPr="00EB21EF">
        <w:t>rit</w:t>
      </w:r>
      <w:r>
        <w:t>i</w:t>
      </w:r>
      <w:r w:rsidRPr="00EB21EF">
        <w:t xml:space="preserve"> o Waitangi </w:t>
      </w:r>
      <w:r>
        <w:t>(the Treaty of Waitangi)</w:t>
      </w:r>
      <w:r w:rsidR="0023599F">
        <w:t xml:space="preserve"> </w:t>
      </w:r>
      <w:r w:rsidRPr="00EB21EF">
        <w:t>the Ministry of Health, as steward and kaitiaki of the health and disability system (under Article I)</w:t>
      </w:r>
      <w:r w:rsidR="00FF06C6">
        <w:t>,</w:t>
      </w:r>
      <w:r w:rsidR="00B01C76">
        <w:t xml:space="preserve"> </w:t>
      </w:r>
      <w:r w:rsidRPr="00EB21EF">
        <w:t>has a responsibility to enable Māori to exercise their authority (under Article II)</w:t>
      </w:r>
      <w:r w:rsidR="00B01C76">
        <w:t xml:space="preserve"> </w:t>
      </w:r>
      <w:r w:rsidRPr="00EB21EF">
        <w:t>and enable the health system to achieve equity in health and wellness for Māori (Article III)</w:t>
      </w:r>
      <w:r w:rsidR="00B01C76">
        <w:t xml:space="preserve"> </w:t>
      </w:r>
      <w:r w:rsidRPr="00EB21EF">
        <w:t xml:space="preserve">in ways in ways that enable Māori to live and thrive as Māori (the </w:t>
      </w:r>
      <w:proofErr w:type="spellStart"/>
      <w:r w:rsidRPr="00EB21EF">
        <w:t>Ritenga</w:t>
      </w:r>
      <w:proofErr w:type="spellEnd"/>
      <w:r w:rsidRPr="00EB21EF">
        <w:t xml:space="preserve"> Māori Declaration).</w:t>
      </w:r>
      <w:r w:rsidR="00B90588">
        <w:rPr>
          <w:rStyle w:val="FootnoteReference"/>
        </w:rPr>
        <w:footnoteReference w:id="1"/>
      </w:r>
    </w:p>
    <w:p w14:paraId="52CD7A23" w14:textId="6887C558" w:rsidR="00D66E6E" w:rsidRDefault="00D66E6E" w:rsidP="00637057">
      <w:pPr>
        <w:spacing w:after="0"/>
      </w:pPr>
    </w:p>
    <w:p w14:paraId="3BAAA513" w14:textId="68E68BD8" w:rsidR="00EB21EF" w:rsidRDefault="00EB21EF" w:rsidP="00637057">
      <w:pPr>
        <w:spacing w:after="0"/>
      </w:pPr>
      <w:r>
        <w:t xml:space="preserve">These obligations are reflected in the principles of </w:t>
      </w:r>
      <w:r w:rsidR="00B01C76">
        <w:t>Te Tiriti</w:t>
      </w:r>
      <w:r>
        <w:t xml:space="preserve"> as they apply to the health and disability sector, specified in the Waitangi Tribunal</w:t>
      </w:r>
      <w:r w:rsidR="00FF06C6">
        <w:t>’</w:t>
      </w:r>
      <w:r>
        <w:t>s recent Hauora report (</w:t>
      </w:r>
      <w:r w:rsidR="00BD6F86">
        <w:t>Waitangi Tribunal 2019a)</w:t>
      </w:r>
      <w:r w:rsidR="00FF06C6">
        <w:t>, they are</w:t>
      </w:r>
      <w:r w:rsidR="00BD6F86">
        <w:t>:</w:t>
      </w:r>
    </w:p>
    <w:p w14:paraId="4D8E79B6" w14:textId="77777777" w:rsidR="00BD6F86" w:rsidRDefault="00BD6F86" w:rsidP="00637057">
      <w:pPr>
        <w:spacing w:after="0"/>
      </w:pPr>
    </w:p>
    <w:p w14:paraId="13380FFA" w14:textId="169BE941" w:rsidR="00BD6F86" w:rsidRPr="00BD6F86" w:rsidRDefault="00BD6F86" w:rsidP="005E61C4">
      <w:pPr>
        <w:pStyle w:val="ListParagraph"/>
        <w:numPr>
          <w:ilvl w:val="0"/>
          <w:numId w:val="9"/>
        </w:numPr>
        <w:spacing w:after="0"/>
        <w:rPr>
          <w:sz w:val="22"/>
        </w:rPr>
      </w:pPr>
      <w:r>
        <w:rPr>
          <w:sz w:val="22"/>
        </w:rPr>
        <w:t>T</w:t>
      </w:r>
      <w:r w:rsidRPr="00BD6F86">
        <w:rPr>
          <w:sz w:val="22"/>
        </w:rPr>
        <w:t>ino Rangatiratanga</w:t>
      </w:r>
    </w:p>
    <w:p w14:paraId="68C9A802" w14:textId="77777777" w:rsidR="00BD6F86" w:rsidRPr="00BD6F86" w:rsidRDefault="00BD6F86" w:rsidP="005E61C4">
      <w:pPr>
        <w:pStyle w:val="ListParagraph"/>
        <w:numPr>
          <w:ilvl w:val="0"/>
          <w:numId w:val="9"/>
        </w:numPr>
        <w:spacing w:after="0"/>
        <w:rPr>
          <w:sz w:val="22"/>
        </w:rPr>
      </w:pPr>
      <w:r w:rsidRPr="00BD6F86">
        <w:rPr>
          <w:sz w:val="22"/>
        </w:rPr>
        <w:t>Partnership</w:t>
      </w:r>
    </w:p>
    <w:p w14:paraId="1B3F4BCA" w14:textId="77777777" w:rsidR="00BD6F86" w:rsidRPr="00BD6F86" w:rsidRDefault="00BD6F86" w:rsidP="005E61C4">
      <w:pPr>
        <w:pStyle w:val="ListParagraph"/>
        <w:numPr>
          <w:ilvl w:val="0"/>
          <w:numId w:val="9"/>
        </w:numPr>
        <w:spacing w:after="0"/>
        <w:rPr>
          <w:sz w:val="22"/>
        </w:rPr>
      </w:pPr>
      <w:r w:rsidRPr="00BD6F86">
        <w:rPr>
          <w:sz w:val="22"/>
        </w:rPr>
        <w:t>Active protection</w:t>
      </w:r>
    </w:p>
    <w:p w14:paraId="664B4FE9" w14:textId="77777777" w:rsidR="00BD6F86" w:rsidRPr="00BD6F86" w:rsidRDefault="00BD6F86" w:rsidP="005E61C4">
      <w:pPr>
        <w:pStyle w:val="ListParagraph"/>
        <w:numPr>
          <w:ilvl w:val="0"/>
          <w:numId w:val="9"/>
        </w:numPr>
        <w:spacing w:after="0"/>
        <w:rPr>
          <w:sz w:val="22"/>
        </w:rPr>
      </w:pPr>
      <w:r w:rsidRPr="00BD6F86">
        <w:rPr>
          <w:sz w:val="22"/>
        </w:rPr>
        <w:t>Options</w:t>
      </w:r>
    </w:p>
    <w:p w14:paraId="72457B14" w14:textId="6F8FDA26" w:rsidR="00BD6F86" w:rsidRPr="00BD6F86" w:rsidRDefault="00BD6F86" w:rsidP="005E61C4">
      <w:pPr>
        <w:pStyle w:val="ListParagraph"/>
        <w:numPr>
          <w:ilvl w:val="0"/>
          <w:numId w:val="9"/>
        </w:numPr>
        <w:spacing w:after="0"/>
        <w:rPr>
          <w:sz w:val="22"/>
        </w:rPr>
      </w:pPr>
      <w:r w:rsidRPr="00BD6F86">
        <w:rPr>
          <w:sz w:val="22"/>
        </w:rPr>
        <w:t>Equity</w:t>
      </w:r>
      <w:r w:rsidR="00FF06C6">
        <w:rPr>
          <w:sz w:val="22"/>
        </w:rPr>
        <w:t>.</w:t>
      </w:r>
    </w:p>
    <w:p w14:paraId="3232976C" w14:textId="6A99D19A" w:rsidR="00EB21EF" w:rsidRDefault="00EB21EF" w:rsidP="00637057">
      <w:pPr>
        <w:spacing w:after="0"/>
      </w:pPr>
    </w:p>
    <w:p w14:paraId="2A0AFC81" w14:textId="0CB51A2B" w:rsidR="00BD6F86" w:rsidRPr="00F9088A" w:rsidRDefault="00BD6F86" w:rsidP="00637057">
      <w:pPr>
        <w:spacing w:after="0"/>
      </w:pPr>
      <w:r>
        <w:t xml:space="preserve">This new approach to the health and disability </w:t>
      </w:r>
      <w:r w:rsidRPr="00F9088A">
        <w:t xml:space="preserve">system’s obligations under Te Tiriti </w:t>
      </w:r>
      <w:r w:rsidR="00214252" w:rsidRPr="00F9088A">
        <w:t xml:space="preserve">will </w:t>
      </w:r>
      <w:r w:rsidRPr="00F9088A">
        <w:t xml:space="preserve">underpin </w:t>
      </w:r>
      <w:r w:rsidR="00FF06C6" w:rsidRPr="00F9088A">
        <w:t>the</w:t>
      </w:r>
      <w:r w:rsidRPr="00F9088A">
        <w:t xml:space="preserve"> proposed Action </w:t>
      </w:r>
      <w:r w:rsidR="00B90588" w:rsidRPr="00F9088A">
        <w:t>P</w:t>
      </w:r>
      <w:r w:rsidRPr="00F9088A">
        <w:t xml:space="preserve">lan. Within this framework sits achieving </w:t>
      </w:r>
      <w:r w:rsidR="00684184" w:rsidRPr="00F9088A">
        <w:t xml:space="preserve">equitable health outcomes for </w:t>
      </w:r>
      <w:r w:rsidRPr="00F9088A">
        <w:t>Māori</w:t>
      </w:r>
      <w:r w:rsidR="00684184" w:rsidRPr="00F9088A">
        <w:t xml:space="preserve"> and contributing to the Government’s overall aims of wellbeing for all New Zealanders.</w:t>
      </w:r>
    </w:p>
    <w:p w14:paraId="5C9DDC7D" w14:textId="77777777" w:rsidR="00BD6F86" w:rsidRPr="00F9088A" w:rsidRDefault="00BD6F86" w:rsidP="00637057">
      <w:pPr>
        <w:spacing w:after="0"/>
      </w:pPr>
    </w:p>
    <w:p w14:paraId="6E46BD0E" w14:textId="3CE03E12" w:rsidR="00BD6F86" w:rsidRPr="00F9088A" w:rsidRDefault="00BD6F86" w:rsidP="00BD6F86">
      <w:pPr>
        <w:pStyle w:val="Heading2"/>
      </w:pPr>
      <w:bookmarkStart w:id="11" w:name="_Toc17195714"/>
      <w:r w:rsidRPr="00F9088A">
        <w:t>A new Māori Health Action Plan to implement He Korowai Oranga</w:t>
      </w:r>
      <w:bookmarkEnd w:id="11"/>
    </w:p>
    <w:p w14:paraId="2ACFB687" w14:textId="0915B7B4" w:rsidR="00BD6F86" w:rsidRPr="00F9088A" w:rsidRDefault="00BD6F86" w:rsidP="00BD6F86">
      <w:pPr>
        <w:spacing w:after="0"/>
      </w:pPr>
      <w:r w:rsidRPr="00F9088A">
        <w:t xml:space="preserve">The Ministry is now engaging with stakeholders to develop </w:t>
      </w:r>
      <w:r w:rsidR="00214252" w:rsidRPr="00F9088A">
        <w:t>a new</w:t>
      </w:r>
      <w:r w:rsidRPr="00F9088A">
        <w:t xml:space="preserve"> Māori </w:t>
      </w:r>
      <w:r w:rsidR="00B90588" w:rsidRPr="00F9088A">
        <w:t>H</w:t>
      </w:r>
      <w:r w:rsidRPr="00F9088A">
        <w:t xml:space="preserve">ealth </w:t>
      </w:r>
      <w:r w:rsidR="002F287A" w:rsidRPr="00F9088A">
        <w:t>A</w:t>
      </w:r>
      <w:r w:rsidRPr="00F9088A">
        <w:t xml:space="preserve">ction </w:t>
      </w:r>
      <w:r w:rsidR="002F287A" w:rsidRPr="00F9088A">
        <w:t>P</w:t>
      </w:r>
      <w:r w:rsidRPr="00F9088A">
        <w:t xml:space="preserve">lan. The Action </w:t>
      </w:r>
      <w:r w:rsidR="00B90588" w:rsidRPr="00F9088A">
        <w:t>P</w:t>
      </w:r>
      <w:r w:rsidRPr="00F9088A">
        <w:t xml:space="preserve">lan will put He Korowai Oranga into action and adopt the overarching aim of </w:t>
      </w:r>
      <w:proofErr w:type="spellStart"/>
      <w:r w:rsidRPr="00F9088A">
        <w:t>pae</w:t>
      </w:r>
      <w:proofErr w:type="spellEnd"/>
      <w:r w:rsidRPr="00F9088A">
        <w:t xml:space="preserve"> </w:t>
      </w:r>
      <w:proofErr w:type="spellStart"/>
      <w:r w:rsidRPr="00F9088A">
        <w:t>ora</w:t>
      </w:r>
      <w:proofErr w:type="spellEnd"/>
      <w:r w:rsidRPr="00F9088A">
        <w:t>.</w:t>
      </w:r>
    </w:p>
    <w:p w14:paraId="7D9A1701" w14:textId="77777777" w:rsidR="00BD6F86" w:rsidRPr="00F9088A" w:rsidRDefault="00BD6F86" w:rsidP="00BD6F86">
      <w:pPr>
        <w:spacing w:after="0"/>
      </w:pPr>
    </w:p>
    <w:p w14:paraId="1B7189E3" w14:textId="4A0AEEBB" w:rsidR="00BD6F86" w:rsidRPr="00F9088A" w:rsidRDefault="00BD6F86" w:rsidP="00BD6F86">
      <w:pPr>
        <w:spacing w:after="0"/>
      </w:pPr>
      <w:r w:rsidRPr="00F9088A">
        <w:t xml:space="preserve">The focus on </w:t>
      </w:r>
      <w:proofErr w:type="spellStart"/>
      <w:r w:rsidRPr="00F9088A">
        <w:t>pae</w:t>
      </w:r>
      <w:proofErr w:type="spellEnd"/>
      <w:r w:rsidRPr="00F9088A">
        <w:t xml:space="preserve"> </w:t>
      </w:r>
      <w:proofErr w:type="spellStart"/>
      <w:r w:rsidRPr="00F9088A">
        <w:t>ora</w:t>
      </w:r>
      <w:proofErr w:type="spellEnd"/>
      <w:r w:rsidRPr="00F9088A">
        <w:t xml:space="preserve"> encourages everyone in the health and disability sector to work collaboratively, to achieve wellbeing beyond narrow definitions of health, and to provide high-quality, equitable and effective services (Ministry of Health 2018h).</w:t>
      </w:r>
    </w:p>
    <w:p w14:paraId="6DC37B24" w14:textId="77777777" w:rsidR="00BD6F86" w:rsidRPr="00F9088A" w:rsidRDefault="00BD6F86" w:rsidP="00BD6F86">
      <w:pPr>
        <w:spacing w:after="0"/>
      </w:pPr>
    </w:p>
    <w:p w14:paraId="451B7D0A" w14:textId="77777777" w:rsidR="00080835" w:rsidRPr="00F9088A" w:rsidRDefault="00080835" w:rsidP="00080835">
      <w:pPr>
        <w:spacing w:after="0"/>
      </w:pPr>
      <w:r w:rsidRPr="00F9088A">
        <w:t xml:space="preserve">The purpose of </w:t>
      </w:r>
      <w:r>
        <w:t>a new</w:t>
      </w:r>
      <w:r w:rsidRPr="00F9088A">
        <w:t xml:space="preserve"> Action Plan is to enable the health and disability system to respond to Te Tiriti o Waitangi obligations, affirm Māori aspirations, and achieve equitable health outcomes, wellness and wellbeing for iwi, hapū and Māori communities.</w:t>
      </w:r>
    </w:p>
    <w:p w14:paraId="4A98CC23" w14:textId="77777777" w:rsidR="00080835" w:rsidRPr="00F9088A" w:rsidRDefault="00080835" w:rsidP="00080835">
      <w:pPr>
        <w:spacing w:after="0"/>
      </w:pPr>
    </w:p>
    <w:p w14:paraId="62DC3CF2" w14:textId="77777777" w:rsidR="00080835" w:rsidRPr="00637057" w:rsidRDefault="00080835" w:rsidP="00080835">
      <w:pPr>
        <w:spacing w:after="0"/>
      </w:pPr>
      <w:r w:rsidRPr="00F9088A">
        <w:t xml:space="preserve">Reflecting on these obligations, our past successes and challenges, and common themes from recent Crown / Government engagement with iwi, hapū and whānau, has been integral to developing the proposed approach for this Plan. With an eye to the future, and a five-year implementation time horizon, </w:t>
      </w:r>
      <w:r>
        <w:t>the draft objectives are</w:t>
      </w:r>
      <w:r w:rsidRPr="00F9088A">
        <w:t>:</w:t>
      </w:r>
    </w:p>
    <w:p w14:paraId="11235269" w14:textId="202BA795" w:rsidR="00637057" w:rsidRPr="00F9088A" w:rsidRDefault="00637057" w:rsidP="005E61C4">
      <w:pPr>
        <w:pStyle w:val="ListParagraph"/>
        <w:numPr>
          <w:ilvl w:val="0"/>
          <w:numId w:val="8"/>
        </w:numPr>
        <w:spacing w:after="0"/>
        <w:rPr>
          <w:sz w:val="22"/>
        </w:rPr>
      </w:pPr>
      <w:r w:rsidRPr="00637057">
        <w:rPr>
          <w:sz w:val="22"/>
        </w:rPr>
        <w:lastRenderedPageBreak/>
        <w:t xml:space="preserve">acknowledge and enable iwi, </w:t>
      </w:r>
      <w:r w:rsidR="00582EB5">
        <w:rPr>
          <w:sz w:val="22"/>
        </w:rPr>
        <w:t>hapū</w:t>
      </w:r>
      <w:r w:rsidRPr="00637057">
        <w:rPr>
          <w:sz w:val="22"/>
        </w:rPr>
        <w:t xml:space="preserve"> and Māori communities to exercise their authority </w:t>
      </w:r>
      <w:r w:rsidRPr="00F9088A">
        <w:rPr>
          <w:sz w:val="22"/>
        </w:rPr>
        <w:t>to improve their health and wellbeing</w:t>
      </w:r>
    </w:p>
    <w:p w14:paraId="5D980F52" w14:textId="77777777" w:rsidR="00637057" w:rsidRPr="00F9088A" w:rsidRDefault="00637057" w:rsidP="005E61C4">
      <w:pPr>
        <w:pStyle w:val="ListParagraph"/>
        <w:numPr>
          <w:ilvl w:val="0"/>
          <w:numId w:val="8"/>
        </w:numPr>
        <w:spacing w:after="0"/>
        <w:rPr>
          <w:sz w:val="22"/>
        </w:rPr>
      </w:pPr>
      <w:r w:rsidRPr="00F9088A">
        <w:rPr>
          <w:sz w:val="22"/>
        </w:rPr>
        <w:t>enable the health and disability system to be fair and sustainable and deliver equitable outcomes for Māori</w:t>
      </w:r>
    </w:p>
    <w:p w14:paraId="67338DF9" w14:textId="6BE18986" w:rsidR="00637057" w:rsidRPr="00F9088A" w:rsidRDefault="00637057" w:rsidP="005E61C4">
      <w:pPr>
        <w:pStyle w:val="ListParagraph"/>
        <w:numPr>
          <w:ilvl w:val="0"/>
          <w:numId w:val="8"/>
        </w:numPr>
        <w:spacing w:after="0"/>
        <w:rPr>
          <w:sz w:val="22"/>
        </w:rPr>
      </w:pPr>
      <w:r w:rsidRPr="00F9088A">
        <w:rPr>
          <w:sz w:val="22"/>
        </w:rPr>
        <w:t>address racism and discrimination in all its forms.</w:t>
      </w:r>
    </w:p>
    <w:p w14:paraId="20510041" w14:textId="6B8108C6" w:rsidR="00637057" w:rsidRPr="00F9088A" w:rsidRDefault="00637057" w:rsidP="00637057">
      <w:pPr>
        <w:spacing w:after="0"/>
      </w:pPr>
    </w:p>
    <w:p w14:paraId="3E559A08" w14:textId="7F9AD41B" w:rsidR="00684184" w:rsidRPr="00F9088A" w:rsidRDefault="00B233C9" w:rsidP="00637057">
      <w:pPr>
        <w:spacing w:after="0"/>
      </w:pPr>
      <w:r w:rsidRPr="00F9088A">
        <w:t>The next section outline</w:t>
      </w:r>
      <w:r w:rsidR="00684184" w:rsidRPr="00F9088A">
        <w:t>s</w:t>
      </w:r>
      <w:r w:rsidRPr="00F9088A">
        <w:t xml:space="preserve"> the suggested priority areas for </w:t>
      </w:r>
      <w:r w:rsidR="00214252" w:rsidRPr="00F9088A">
        <w:t>a</w:t>
      </w:r>
      <w:r w:rsidRPr="00F9088A">
        <w:t xml:space="preserve"> new Action Plan, including</w:t>
      </w:r>
      <w:r w:rsidR="00FF06C6" w:rsidRPr="00F9088A">
        <w:t>:</w:t>
      </w:r>
    </w:p>
    <w:p w14:paraId="0832B85B" w14:textId="77777777" w:rsidR="00684184" w:rsidRPr="00F9088A" w:rsidRDefault="00684184" w:rsidP="00637057">
      <w:pPr>
        <w:spacing w:after="0"/>
      </w:pPr>
    </w:p>
    <w:p w14:paraId="5BE18013" w14:textId="77777777" w:rsidR="00684184" w:rsidRPr="00F9088A" w:rsidRDefault="00684184" w:rsidP="005E61C4">
      <w:pPr>
        <w:pStyle w:val="ListParagraph"/>
        <w:numPr>
          <w:ilvl w:val="0"/>
          <w:numId w:val="10"/>
        </w:numPr>
        <w:spacing w:after="0"/>
        <w:rPr>
          <w:sz w:val="22"/>
        </w:rPr>
      </w:pPr>
      <w:r w:rsidRPr="00F9088A">
        <w:rPr>
          <w:sz w:val="22"/>
        </w:rPr>
        <w:t xml:space="preserve">the </w:t>
      </w:r>
      <w:r w:rsidR="00B233C9" w:rsidRPr="00F9088A">
        <w:rPr>
          <w:sz w:val="22"/>
        </w:rPr>
        <w:t xml:space="preserve">objectives </w:t>
      </w:r>
      <w:r w:rsidRPr="00F9088A">
        <w:rPr>
          <w:sz w:val="22"/>
        </w:rPr>
        <w:t>for each area</w:t>
      </w:r>
    </w:p>
    <w:p w14:paraId="0014A793" w14:textId="58B9717F" w:rsidR="00684184" w:rsidRPr="00F9088A" w:rsidRDefault="00B233C9" w:rsidP="005E61C4">
      <w:pPr>
        <w:pStyle w:val="ListParagraph"/>
        <w:numPr>
          <w:ilvl w:val="0"/>
          <w:numId w:val="10"/>
        </w:numPr>
        <w:spacing w:after="0"/>
        <w:rPr>
          <w:sz w:val="22"/>
        </w:rPr>
      </w:pPr>
      <w:r w:rsidRPr="00F9088A">
        <w:rPr>
          <w:sz w:val="22"/>
        </w:rPr>
        <w:t xml:space="preserve">the rationale </w:t>
      </w:r>
      <w:r w:rsidR="00684184" w:rsidRPr="00F9088A">
        <w:rPr>
          <w:sz w:val="22"/>
        </w:rPr>
        <w:t xml:space="preserve">for choosing </w:t>
      </w:r>
      <w:r w:rsidR="00FF06C6" w:rsidRPr="00F9088A">
        <w:rPr>
          <w:sz w:val="22"/>
        </w:rPr>
        <w:t>each area</w:t>
      </w:r>
      <w:r w:rsidR="00684184" w:rsidRPr="00F9088A">
        <w:rPr>
          <w:sz w:val="22"/>
        </w:rPr>
        <w:t xml:space="preserve"> as a priority</w:t>
      </w:r>
    </w:p>
    <w:p w14:paraId="47CD6E0C" w14:textId="4C4261BF" w:rsidR="00684184" w:rsidRPr="00F9088A" w:rsidRDefault="00684184" w:rsidP="005E61C4">
      <w:pPr>
        <w:pStyle w:val="ListParagraph"/>
        <w:numPr>
          <w:ilvl w:val="0"/>
          <w:numId w:val="10"/>
        </w:numPr>
        <w:spacing w:after="0"/>
        <w:rPr>
          <w:sz w:val="22"/>
        </w:rPr>
      </w:pPr>
      <w:r w:rsidRPr="00F9088A">
        <w:rPr>
          <w:sz w:val="22"/>
        </w:rPr>
        <w:t xml:space="preserve">some suggested actions for </w:t>
      </w:r>
      <w:r w:rsidR="00FF06C6" w:rsidRPr="00F9088A">
        <w:rPr>
          <w:sz w:val="22"/>
        </w:rPr>
        <w:t>each</w:t>
      </w:r>
      <w:r w:rsidRPr="00F9088A">
        <w:rPr>
          <w:sz w:val="22"/>
        </w:rPr>
        <w:t xml:space="preserve"> priority area</w:t>
      </w:r>
    </w:p>
    <w:p w14:paraId="6339C1CD" w14:textId="6D7C20FF" w:rsidR="00684184" w:rsidRPr="00F9088A" w:rsidRDefault="00684184" w:rsidP="005E61C4">
      <w:pPr>
        <w:pStyle w:val="ListParagraph"/>
        <w:numPr>
          <w:ilvl w:val="0"/>
          <w:numId w:val="10"/>
        </w:numPr>
        <w:spacing w:after="0"/>
        <w:rPr>
          <w:sz w:val="22"/>
        </w:rPr>
      </w:pPr>
      <w:r w:rsidRPr="00F9088A">
        <w:rPr>
          <w:sz w:val="22"/>
        </w:rPr>
        <w:t>some suggested measures to monitor progress</w:t>
      </w:r>
      <w:r w:rsidR="00B233C9" w:rsidRPr="00F9088A">
        <w:rPr>
          <w:sz w:val="22"/>
        </w:rPr>
        <w:t>.</w:t>
      </w:r>
    </w:p>
    <w:p w14:paraId="7F8D7DC7" w14:textId="77777777" w:rsidR="00684184" w:rsidRPr="00F9088A" w:rsidRDefault="00684184" w:rsidP="00684184">
      <w:pPr>
        <w:spacing w:after="0"/>
      </w:pPr>
    </w:p>
    <w:p w14:paraId="4E48C9EB" w14:textId="4E0AD843" w:rsidR="002F287A" w:rsidRPr="00F9088A" w:rsidRDefault="00200F0D" w:rsidP="00684184">
      <w:pPr>
        <w:spacing w:after="0"/>
      </w:pPr>
      <w:r w:rsidRPr="00F9088A">
        <w:t xml:space="preserve">Across the </w:t>
      </w:r>
      <w:r w:rsidR="00684184" w:rsidRPr="00F9088A">
        <w:t>suggest</w:t>
      </w:r>
      <w:r w:rsidRPr="00F9088A">
        <w:t>ed actions</w:t>
      </w:r>
      <w:r w:rsidR="00FF06C6" w:rsidRPr="00F9088A">
        <w:t>,</w:t>
      </w:r>
      <w:r w:rsidR="002F287A" w:rsidRPr="00F9088A">
        <w:t xml:space="preserve"> common themes include:</w:t>
      </w:r>
    </w:p>
    <w:p w14:paraId="4C227EAE" w14:textId="77777777" w:rsidR="002F287A" w:rsidRPr="00F9088A" w:rsidRDefault="002F287A" w:rsidP="00684184">
      <w:pPr>
        <w:spacing w:after="0"/>
        <w:rPr>
          <w:sz w:val="20"/>
        </w:rPr>
      </w:pPr>
    </w:p>
    <w:p w14:paraId="301905EC" w14:textId="62D4080D" w:rsidR="002F287A" w:rsidRPr="00F9088A" w:rsidRDefault="00582EB5" w:rsidP="002F287A">
      <w:pPr>
        <w:pStyle w:val="ListParagraph"/>
        <w:numPr>
          <w:ilvl w:val="0"/>
          <w:numId w:val="15"/>
        </w:numPr>
        <w:spacing w:after="0"/>
        <w:rPr>
          <w:sz w:val="22"/>
        </w:rPr>
      </w:pPr>
      <w:r w:rsidRPr="00F9088A">
        <w:rPr>
          <w:sz w:val="22"/>
        </w:rPr>
        <w:t>enabling Māori to make decisions on matters affecting their health and wellbeing</w:t>
      </w:r>
    </w:p>
    <w:p w14:paraId="0325CC2B" w14:textId="77777777" w:rsidR="002F287A" w:rsidRPr="00F9088A" w:rsidRDefault="002F287A" w:rsidP="002F287A">
      <w:pPr>
        <w:pStyle w:val="ListParagraph"/>
        <w:numPr>
          <w:ilvl w:val="0"/>
          <w:numId w:val="15"/>
        </w:numPr>
        <w:spacing w:after="0"/>
        <w:rPr>
          <w:sz w:val="22"/>
        </w:rPr>
      </w:pPr>
      <w:r w:rsidRPr="00F9088A">
        <w:rPr>
          <w:sz w:val="22"/>
        </w:rPr>
        <w:t>putting equity for Māori into action</w:t>
      </w:r>
    </w:p>
    <w:p w14:paraId="3143963E" w14:textId="00F9ED8D" w:rsidR="00684184" w:rsidRPr="00F9088A" w:rsidRDefault="002F287A" w:rsidP="002F287A">
      <w:pPr>
        <w:pStyle w:val="ListParagraph"/>
        <w:numPr>
          <w:ilvl w:val="0"/>
          <w:numId w:val="15"/>
        </w:numPr>
        <w:spacing w:after="0"/>
        <w:rPr>
          <w:sz w:val="22"/>
        </w:rPr>
      </w:pPr>
      <w:r w:rsidRPr="00F9088A">
        <w:rPr>
          <w:sz w:val="22"/>
        </w:rPr>
        <w:t>moving from cultural competency</w:t>
      </w:r>
      <w:r w:rsidR="00582EB5" w:rsidRPr="00F9088A">
        <w:rPr>
          <w:sz w:val="22"/>
        </w:rPr>
        <w:t xml:space="preserve">, </w:t>
      </w:r>
      <w:r w:rsidR="00FF06C6" w:rsidRPr="00F9088A">
        <w:rPr>
          <w:sz w:val="22"/>
        </w:rPr>
        <w:t xml:space="preserve">an </w:t>
      </w:r>
      <w:r w:rsidR="00582EB5" w:rsidRPr="00F9088A">
        <w:rPr>
          <w:sz w:val="22"/>
        </w:rPr>
        <w:t>understanding and respect</w:t>
      </w:r>
      <w:r w:rsidR="00FF06C6" w:rsidRPr="00F9088A">
        <w:rPr>
          <w:sz w:val="22"/>
        </w:rPr>
        <w:t xml:space="preserve"> for</w:t>
      </w:r>
      <w:r w:rsidR="00582EB5" w:rsidRPr="00F9088A">
        <w:rPr>
          <w:sz w:val="22"/>
        </w:rPr>
        <w:t xml:space="preserve"> Māori aspirations and preferences, </w:t>
      </w:r>
      <w:r w:rsidRPr="00F9088A">
        <w:rPr>
          <w:sz w:val="22"/>
        </w:rPr>
        <w:t>to cultural safety</w:t>
      </w:r>
      <w:r w:rsidR="00582EB5" w:rsidRPr="00F9088A">
        <w:rPr>
          <w:sz w:val="22"/>
        </w:rPr>
        <w:t xml:space="preserve">, </w:t>
      </w:r>
      <w:r w:rsidR="00FF06C6" w:rsidRPr="00F9088A">
        <w:rPr>
          <w:sz w:val="22"/>
        </w:rPr>
        <w:t xml:space="preserve">a focus on </w:t>
      </w:r>
      <w:r w:rsidR="00582EB5" w:rsidRPr="00F9088A">
        <w:rPr>
          <w:sz w:val="22"/>
        </w:rPr>
        <w:t>addressing privilege</w:t>
      </w:r>
      <w:r w:rsidR="00FF06C6" w:rsidRPr="00F9088A">
        <w:rPr>
          <w:sz w:val="22"/>
        </w:rPr>
        <w:t>, discrimination</w:t>
      </w:r>
      <w:r w:rsidR="00582EB5" w:rsidRPr="00F9088A">
        <w:rPr>
          <w:sz w:val="22"/>
        </w:rPr>
        <w:t xml:space="preserve"> and racism</w:t>
      </w:r>
      <w:r w:rsidR="00200F0D" w:rsidRPr="00F9088A">
        <w:rPr>
          <w:sz w:val="22"/>
        </w:rPr>
        <w:t>.</w:t>
      </w:r>
    </w:p>
    <w:p w14:paraId="35616898" w14:textId="77777777" w:rsidR="00684184" w:rsidRDefault="00684184" w:rsidP="00637057">
      <w:pPr>
        <w:spacing w:after="0"/>
      </w:pPr>
    </w:p>
    <w:p w14:paraId="2443180C" w14:textId="63DE65FE" w:rsidR="00C106E5" w:rsidRPr="00637057" w:rsidRDefault="00B233C9" w:rsidP="00637057">
      <w:pPr>
        <w:spacing w:after="0"/>
      </w:pPr>
      <w:r w:rsidRPr="00637057">
        <w:t xml:space="preserve">We expect these </w:t>
      </w:r>
      <w:r w:rsidR="00B01C76">
        <w:t xml:space="preserve">priority </w:t>
      </w:r>
      <w:r w:rsidRPr="00637057">
        <w:t xml:space="preserve">areas </w:t>
      </w:r>
      <w:r w:rsidR="00B01C76">
        <w:t xml:space="preserve">and actions </w:t>
      </w:r>
      <w:r w:rsidR="00684184">
        <w:t xml:space="preserve">will </w:t>
      </w:r>
      <w:r w:rsidR="00B01C76">
        <w:t xml:space="preserve">be refreshed </w:t>
      </w:r>
      <w:r w:rsidRPr="00637057">
        <w:t>after engagement and feedback from Māori and the health and disability sector.</w:t>
      </w:r>
      <w:r w:rsidR="00684184">
        <w:t xml:space="preserve"> </w:t>
      </w:r>
      <w:r w:rsidR="00B01C76">
        <w:t xml:space="preserve">The </w:t>
      </w:r>
      <w:r w:rsidR="00200F0D">
        <w:t xml:space="preserve">development of this </w:t>
      </w:r>
      <w:r w:rsidR="00FF06C6">
        <w:t>P</w:t>
      </w:r>
      <w:r w:rsidR="00200F0D">
        <w:t>lan will consider the results of other process</w:t>
      </w:r>
      <w:r w:rsidR="00FF06C6">
        <w:t>es</w:t>
      </w:r>
      <w:r w:rsidR="00200F0D">
        <w:t xml:space="preserve">, such </w:t>
      </w:r>
      <w:r w:rsidR="00FF06C6">
        <w:t xml:space="preserve">as </w:t>
      </w:r>
      <w:r w:rsidR="00200F0D">
        <w:t xml:space="preserve">the Health and Disability </w:t>
      </w:r>
      <w:r w:rsidR="00B01C76">
        <w:t xml:space="preserve">System </w:t>
      </w:r>
      <w:r w:rsidR="00200F0D">
        <w:t>Review and the progress of the Public Service Bill.</w:t>
      </w:r>
    </w:p>
    <w:p w14:paraId="51625063" w14:textId="5762A3B5" w:rsidR="00512A7B" w:rsidRPr="00637057" w:rsidRDefault="00512A7B" w:rsidP="00637057">
      <w:pPr>
        <w:spacing w:after="0"/>
      </w:pPr>
    </w:p>
    <w:p w14:paraId="205673E5" w14:textId="3BE000CF" w:rsidR="00BE6846" w:rsidRPr="00F9088A" w:rsidRDefault="008116F7" w:rsidP="00637057">
      <w:pPr>
        <w:pStyle w:val="Heading1"/>
        <w:pageBreakBefore/>
        <w:rPr>
          <w:rFonts w:cs="Segoe UI"/>
          <w:b/>
        </w:rPr>
      </w:pPr>
      <w:bookmarkStart w:id="12" w:name="_Toc17195715"/>
      <w:r w:rsidRPr="00F9088A">
        <w:rPr>
          <w:rFonts w:cs="Segoe UI"/>
          <w:b/>
        </w:rPr>
        <w:lastRenderedPageBreak/>
        <w:t xml:space="preserve">Priority </w:t>
      </w:r>
      <w:r w:rsidR="00A130BA" w:rsidRPr="00F9088A">
        <w:rPr>
          <w:rFonts w:cs="Segoe UI"/>
          <w:b/>
        </w:rPr>
        <w:t>areas for the Māori Health Action Plan</w:t>
      </w:r>
      <w:bookmarkEnd w:id="12"/>
    </w:p>
    <w:p w14:paraId="3860869F" w14:textId="30D290F8" w:rsidR="00E60E3A" w:rsidRPr="00F9088A" w:rsidRDefault="00582EB5" w:rsidP="00E60E3A">
      <w:pPr>
        <w:spacing w:after="0"/>
      </w:pPr>
      <w:r w:rsidRPr="00F9088A">
        <w:t xml:space="preserve">The development of </w:t>
      </w:r>
      <w:r w:rsidR="000974AD" w:rsidRPr="00F9088A">
        <w:t>an</w:t>
      </w:r>
      <w:r w:rsidRPr="00F9088A">
        <w:t xml:space="preserve"> </w:t>
      </w:r>
      <w:r w:rsidR="00FF06C6" w:rsidRPr="00F9088A">
        <w:t>A</w:t>
      </w:r>
      <w:r w:rsidRPr="00F9088A">
        <w:t xml:space="preserve">ction </w:t>
      </w:r>
      <w:r w:rsidR="00FF06C6" w:rsidRPr="00F9088A">
        <w:t>P</w:t>
      </w:r>
      <w:r w:rsidRPr="00F9088A">
        <w:t xml:space="preserve">lan </w:t>
      </w:r>
      <w:r w:rsidR="000974AD" w:rsidRPr="00F9088A">
        <w:t>will</w:t>
      </w:r>
      <w:r w:rsidRPr="00F9088A">
        <w:t xml:space="preserve"> draw guidance from aspirations and expectations that whānau, hapū, iwi and Māori communities have </w:t>
      </w:r>
      <w:r w:rsidR="00FF06C6" w:rsidRPr="00F9088A">
        <w:t xml:space="preserve">shared with </w:t>
      </w:r>
      <w:r w:rsidRPr="00F9088A">
        <w:t>Government.</w:t>
      </w:r>
      <w:r w:rsidR="00E60E3A" w:rsidRPr="00F9088A">
        <w:t xml:space="preserve"> Most recently, Māori have provided extensive feedback and advice to </w:t>
      </w:r>
      <w:r w:rsidR="00FF06C6" w:rsidRPr="00F9088A">
        <w:t>G</w:t>
      </w:r>
      <w:r w:rsidR="00E60E3A" w:rsidRPr="00F9088A">
        <w:t xml:space="preserve">overnment agencies as part of the Wai 2575 Health Services and Outcomes </w:t>
      </w:r>
      <w:r w:rsidRPr="00F9088A">
        <w:t>K</w:t>
      </w:r>
      <w:r w:rsidR="00E60E3A" w:rsidRPr="00F9088A">
        <w:t xml:space="preserve">aupapa </w:t>
      </w:r>
      <w:r w:rsidRPr="00F9088A">
        <w:t>I</w:t>
      </w:r>
      <w:r w:rsidR="00E60E3A" w:rsidRPr="00F9088A">
        <w:t xml:space="preserve">nquiry, the Mental Health and Addictions </w:t>
      </w:r>
      <w:r w:rsidRPr="00F9088A">
        <w:t>I</w:t>
      </w:r>
      <w:r w:rsidR="00E60E3A" w:rsidRPr="00F9088A">
        <w:t xml:space="preserve">nquiry, and the </w:t>
      </w:r>
      <w:r w:rsidR="00FF06C6" w:rsidRPr="00F9088A">
        <w:t xml:space="preserve">development of the </w:t>
      </w:r>
      <w:r w:rsidR="00E60E3A" w:rsidRPr="00F9088A">
        <w:t xml:space="preserve">Child and Youth Wellbeing Strategy. </w:t>
      </w:r>
    </w:p>
    <w:p w14:paraId="08CA17FB" w14:textId="77777777" w:rsidR="00E60E3A" w:rsidRPr="00F9088A" w:rsidRDefault="00E60E3A" w:rsidP="00E60E3A">
      <w:pPr>
        <w:spacing w:after="0"/>
      </w:pPr>
    </w:p>
    <w:p w14:paraId="4E2CD3A6" w14:textId="52A5A966" w:rsidR="00E60E3A" w:rsidRPr="00F9088A" w:rsidRDefault="00E60E3A" w:rsidP="00E60E3A">
      <w:pPr>
        <w:pStyle w:val="Quote"/>
      </w:pPr>
      <w:r w:rsidRPr="00F9088A">
        <w:t xml:space="preserve">“When we participate in hui like </w:t>
      </w:r>
      <w:proofErr w:type="gramStart"/>
      <w:r w:rsidRPr="00F9088A">
        <w:t>this</w:t>
      </w:r>
      <w:proofErr w:type="gramEnd"/>
      <w:r w:rsidRPr="00F9088A">
        <w:t xml:space="preserve"> we give a piece of our soul, and we ask that you take care of it.” (Hui participant Mental Health and Addiction Inquiry 2018)</w:t>
      </w:r>
    </w:p>
    <w:p w14:paraId="68214888" w14:textId="27EF182F" w:rsidR="00E60E3A" w:rsidRPr="00F9088A" w:rsidRDefault="00E60E3A" w:rsidP="00E60E3A">
      <w:pPr>
        <w:spacing w:after="0"/>
      </w:pPr>
    </w:p>
    <w:p w14:paraId="3C3171E5" w14:textId="004AD84D" w:rsidR="007E7EBA" w:rsidRPr="00F9088A" w:rsidRDefault="00E60E3A" w:rsidP="00E60E3A">
      <w:pPr>
        <w:spacing w:after="0"/>
      </w:pPr>
      <w:r w:rsidRPr="00F9088A">
        <w:t xml:space="preserve">A summary of the main themes from </w:t>
      </w:r>
      <w:r w:rsidR="00582EB5" w:rsidRPr="00F9088A">
        <w:t xml:space="preserve">these engagements </w:t>
      </w:r>
      <w:r w:rsidRPr="00F9088A">
        <w:t xml:space="preserve">is attached as </w:t>
      </w:r>
      <w:r w:rsidR="00582EB5" w:rsidRPr="00F9088A">
        <w:t>A</w:t>
      </w:r>
      <w:r w:rsidRPr="00F9088A">
        <w:t xml:space="preserve">ppendix </w:t>
      </w:r>
      <w:r w:rsidR="00582EB5" w:rsidRPr="00F9088A">
        <w:t>T</w:t>
      </w:r>
      <w:r w:rsidRPr="00F9088A">
        <w:t xml:space="preserve">wo. The Ministry has acknowledged the main themes and priorities from </w:t>
      </w:r>
      <w:r w:rsidR="00582EB5" w:rsidRPr="00F9088A">
        <w:t xml:space="preserve">those </w:t>
      </w:r>
      <w:r w:rsidRPr="00F9088A">
        <w:t>previous engagement</w:t>
      </w:r>
      <w:r w:rsidR="00582EB5" w:rsidRPr="00F9088A">
        <w:t>s</w:t>
      </w:r>
      <w:r w:rsidRPr="00F9088A">
        <w:t xml:space="preserve"> with Māori and has used them to guide its thinking.</w:t>
      </w:r>
    </w:p>
    <w:p w14:paraId="0D2EACBE" w14:textId="4AAEB220" w:rsidR="00E60E3A" w:rsidRPr="00F9088A" w:rsidRDefault="00E60E3A" w:rsidP="00E60E3A">
      <w:pPr>
        <w:spacing w:after="0"/>
      </w:pPr>
    </w:p>
    <w:p w14:paraId="5CCE25BF" w14:textId="404C989E" w:rsidR="007E7EBA" w:rsidRPr="00F9088A" w:rsidRDefault="00E60E3A" w:rsidP="00F65B72">
      <w:pPr>
        <w:spacing w:after="0"/>
      </w:pPr>
      <w:r w:rsidRPr="00F9088A">
        <w:t xml:space="preserve">The Ministry </w:t>
      </w:r>
      <w:r w:rsidR="00FF06C6" w:rsidRPr="00F9088A">
        <w:t>has</w:t>
      </w:r>
      <w:r w:rsidRPr="00F9088A">
        <w:t xml:space="preserve"> developed a framework </w:t>
      </w:r>
      <w:r w:rsidR="000974AD" w:rsidRPr="00F9088A">
        <w:t xml:space="preserve">to guide the development of an </w:t>
      </w:r>
      <w:r w:rsidRPr="00F9088A">
        <w:t xml:space="preserve">Action </w:t>
      </w:r>
      <w:r w:rsidR="00B90588" w:rsidRPr="00F9088A">
        <w:t>P</w:t>
      </w:r>
      <w:r w:rsidRPr="00F9088A">
        <w:t xml:space="preserve">lan with eight </w:t>
      </w:r>
      <w:r w:rsidR="00FF06C6" w:rsidRPr="00F9088A">
        <w:t xml:space="preserve">proposed </w:t>
      </w:r>
      <w:r w:rsidRPr="00F9088A">
        <w:t xml:space="preserve">priority areas. </w:t>
      </w:r>
      <w:r w:rsidR="007E7EBA" w:rsidRPr="00F9088A">
        <w:t>The</w:t>
      </w:r>
      <w:r w:rsidR="00FF06C6" w:rsidRPr="00F9088A">
        <w:t>se</w:t>
      </w:r>
      <w:r w:rsidR="007E7EBA" w:rsidRPr="00F9088A">
        <w:t xml:space="preserve"> are where the Ministry proposes the health and disability system, </w:t>
      </w:r>
      <w:r w:rsidR="00582EB5" w:rsidRPr="00F9088A">
        <w:t xml:space="preserve">alongside </w:t>
      </w:r>
      <w:r w:rsidR="007E7EBA" w:rsidRPr="00F9088A">
        <w:t xml:space="preserve">iwi, </w:t>
      </w:r>
      <w:r w:rsidR="00582EB5" w:rsidRPr="00F9088A">
        <w:t>hapū</w:t>
      </w:r>
      <w:r w:rsidR="007E7EBA" w:rsidRPr="00F9088A">
        <w:t>, whānau and Māori communities, prioritise time and resources over the next five years.</w:t>
      </w:r>
    </w:p>
    <w:p w14:paraId="3B1EC4E2" w14:textId="77777777" w:rsidR="001B3B67" w:rsidRPr="00F9088A" w:rsidRDefault="001B3B67" w:rsidP="00F65B72">
      <w:pPr>
        <w:spacing w:after="0"/>
      </w:pPr>
    </w:p>
    <w:p w14:paraId="1A5AFD8D" w14:textId="1046E623" w:rsidR="005E6462" w:rsidRPr="00F9088A" w:rsidRDefault="000B3BF7" w:rsidP="00F65B72">
      <w:pPr>
        <w:spacing w:after="0"/>
      </w:pPr>
      <w:r w:rsidRPr="00F9088A">
        <w:t>The</w:t>
      </w:r>
      <w:r w:rsidR="00C639D0" w:rsidRPr="00F9088A">
        <w:t xml:space="preserve"> </w:t>
      </w:r>
      <w:r w:rsidR="001B3B67" w:rsidRPr="00F9088A">
        <w:t>eight</w:t>
      </w:r>
      <w:r w:rsidRPr="00F9088A">
        <w:t xml:space="preserve"> priority areas are:</w:t>
      </w:r>
    </w:p>
    <w:p w14:paraId="02CB3CBB" w14:textId="77777777" w:rsidR="001B3B67" w:rsidRPr="00F9088A" w:rsidRDefault="001B3B67" w:rsidP="00F65B72">
      <w:pPr>
        <w:spacing w:after="0"/>
      </w:pPr>
    </w:p>
    <w:p w14:paraId="18D2D982" w14:textId="0AF77A5A" w:rsidR="001B3B67" w:rsidRDefault="001B3B67" w:rsidP="005E61C4">
      <w:pPr>
        <w:pStyle w:val="ListParagraph"/>
        <w:numPr>
          <w:ilvl w:val="0"/>
          <w:numId w:val="11"/>
        </w:numPr>
        <w:spacing w:after="0"/>
        <w:rPr>
          <w:sz w:val="22"/>
        </w:rPr>
      </w:pPr>
      <w:r w:rsidRPr="00F9088A">
        <w:rPr>
          <w:b/>
          <w:sz w:val="22"/>
        </w:rPr>
        <w:t>Māori / Crown relationships</w:t>
      </w:r>
      <w:r w:rsidRPr="00F9088A">
        <w:rPr>
          <w:sz w:val="22"/>
        </w:rPr>
        <w:t xml:space="preserve"> - amplify Māori / Crown relationships</w:t>
      </w:r>
      <w:r w:rsidRPr="001B3B67">
        <w:rPr>
          <w:sz w:val="22"/>
        </w:rPr>
        <w:t xml:space="preserve"> and </w:t>
      </w:r>
      <w:r w:rsidR="00F621AE">
        <w:rPr>
          <w:sz w:val="22"/>
        </w:rPr>
        <w:t xml:space="preserve">meet obligations under Te Tiriti o Waitangi including </w:t>
      </w:r>
      <w:r w:rsidRPr="001B3B67">
        <w:rPr>
          <w:sz w:val="22"/>
        </w:rPr>
        <w:t>respond</w:t>
      </w:r>
      <w:r w:rsidR="00F621AE">
        <w:rPr>
          <w:sz w:val="22"/>
        </w:rPr>
        <w:t>ing</w:t>
      </w:r>
      <w:r w:rsidRPr="001B3B67">
        <w:rPr>
          <w:sz w:val="22"/>
        </w:rPr>
        <w:t xml:space="preserve"> to Wai 2575 findings</w:t>
      </w:r>
      <w:r w:rsidR="00FF06C6">
        <w:rPr>
          <w:sz w:val="22"/>
        </w:rPr>
        <w:t>.</w:t>
      </w:r>
    </w:p>
    <w:p w14:paraId="7E34D89E" w14:textId="5C4B94BD" w:rsidR="001B3B67" w:rsidRDefault="001B3B67" w:rsidP="005E61C4">
      <w:pPr>
        <w:pStyle w:val="ListParagraph"/>
        <w:numPr>
          <w:ilvl w:val="0"/>
          <w:numId w:val="11"/>
        </w:numPr>
        <w:spacing w:after="0"/>
        <w:rPr>
          <w:sz w:val="22"/>
        </w:rPr>
      </w:pPr>
      <w:r w:rsidRPr="001B3B67">
        <w:rPr>
          <w:b/>
          <w:sz w:val="22"/>
        </w:rPr>
        <w:t>Māori</w:t>
      </w:r>
      <w:r w:rsidR="00F621AE">
        <w:rPr>
          <w:b/>
          <w:sz w:val="22"/>
        </w:rPr>
        <w:t xml:space="preserve"> health development</w:t>
      </w:r>
      <w:r w:rsidRPr="001B3B67">
        <w:rPr>
          <w:sz w:val="22"/>
        </w:rPr>
        <w:t xml:space="preserve"> - </w:t>
      </w:r>
      <w:r w:rsidR="00F621AE" w:rsidRPr="001F53CB">
        <w:rPr>
          <w:sz w:val="22"/>
        </w:rPr>
        <w:t xml:space="preserve">further develop Māori health capacity and capability </w:t>
      </w:r>
      <w:r w:rsidR="001F53CB" w:rsidRPr="001F53CB">
        <w:rPr>
          <w:sz w:val="22"/>
        </w:rPr>
        <w:t xml:space="preserve">through a </w:t>
      </w:r>
      <w:r w:rsidRPr="001F53CB">
        <w:rPr>
          <w:sz w:val="22"/>
        </w:rPr>
        <w:t>viable Māori provider network with the resources and authority to provide kaupapa Māori and whānau</w:t>
      </w:r>
      <w:r w:rsidR="00FF06C6">
        <w:rPr>
          <w:sz w:val="22"/>
        </w:rPr>
        <w:t>-</w:t>
      </w:r>
      <w:r w:rsidRPr="001F53CB">
        <w:rPr>
          <w:sz w:val="22"/>
        </w:rPr>
        <w:t>centred models of care</w:t>
      </w:r>
      <w:r w:rsidR="00FF06C6">
        <w:rPr>
          <w:sz w:val="22"/>
        </w:rPr>
        <w:t>.</w:t>
      </w:r>
    </w:p>
    <w:p w14:paraId="4CDAA70B" w14:textId="5A960EEB" w:rsidR="001B3B67" w:rsidRPr="001B3B67" w:rsidRDefault="001B3B67" w:rsidP="005E61C4">
      <w:pPr>
        <w:pStyle w:val="ListParagraph"/>
        <w:numPr>
          <w:ilvl w:val="0"/>
          <w:numId w:val="11"/>
        </w:numPr>
        <w:spacing w:after="0"/>
        <w:rPr>
          <w:sz w:val="22"/>
        </w:rPr>
      </w:pPr>
      <w:r w:rsidRPr="001B3B67">
        <w:rPr>
          <w:b/>
          <w:sz w:val="22"/>
        </w:rPr>
        <w:t xml:space="preserve">Māori </w:t>
      </w:r>
      <w:r w:rsidR="00542515">
        <w:rPr>
          <w:b/>
          <w:sz w:val="22"/>
        </w:rPr>
        <w:t>leadership</w:t>
      </w:r>
      <w:r w:rsidR="00542515" w:rsidRPr="00542515">
        <w:rPr>
          <w:sz w:val="22"/>
        </w:rPr>
        <w:t xml:space="preserve"> </w:t>
      </w:r>
      <w:r w:rsidRPr="001B3B67">
        <w:rPr>
          <w:sz w:val="22"/>
        </w:rPr>
        <w:t xml:space="preserve">- </w:t>
      </w:r>
      <w:r>
        <w:rPr>
          <w:sz w:val="22"/>
        </w:rPr>
        <w:t>i</w:t>
      </w:r>
      <w:r w:rsidRPr="001B3B67">
        <w:rPr>
          <w:sz w:val="22"/>
        </w:rPr>
        <w:t>ncrease Māori representation in decision making throughout the health and disability system’s leadership and governance arrangements</w:t>
      </w:r>
      <w:r w:rsidR="00FF06C6">
        <w:rPr>
          <w:sz w:val="22"/>
        </w:rPr>
        <w:t>.</w:t>
      </w:r>
    </w:p>
    <w:p w14:paraId="41909A85" w14:textId="7B48D0FB" w:rsidR="001B3B67" w:rsidRDefault="00542515" w:rsidP="005E61C4">
      <w:pPr>
        <w:pStyle w:val="ListParagraph"/>
        <w:numPr>
          <w:ilvl w:val="0"/>
          <w:numId w:val="11"/>
        </w:numPr>
        <w:spacing w:after="0"/>
        <w:rPr>
          <w:sz w:val="22"/>
        </w:rPr>
      </w:pPr>
      <w:r>
        <w:rPr>
          <w:b/>
          <w:sz w:val="22"/>
        </w:rPr>
        <w:t>Accountability frameworks</w:t>
      </w:r>
      <w:r w:rsidR="001B3B67" w:rsidRPr="001B3B67">
        <w:rPr>
          <w:sz w:val="22"/>
        </w:rPr>
        <w:t xml:space="preserve"> - </w:t>
      </w:r>
      <w:r w:rsidR="001B3B67">
        <w:rPr>
          <w:sz w:val="22"/>
        </w:rPr>
        <w:t>s</w:t>
      </w:r>
      <w:r w:rsidR="001B3B67" w:rsidRPr="001B3B67">
        <w:rPr>
          <w:sz w:val="22"/>
        </w:rPr>
        <w:t xml:space="preserve">trengthen expectations for DHBs, PHOs and health and disability Crown entities to </w:t>
      </w:r>
      <w:r w:rsidR="00F621AE">
        <w:rPr>
          <w:sz w:val="22"/>
        </w:rPr>
        <w:t xml:space="preserve">meet their obligations under Te Tiriti o Waitangi and </w:t>
      </w:r>
      <w:r w:rsidR="001B3B67" w:rsidRPr="001B3B67">
        <w:rPr>
          <w:sz w:val="22"/>
        </w:rPr>
        <w:t>account for Māori health equity</w:t>
      </w:r>
      <w:r w:rsidR="00FF06C6">
        <w:rPr>
          <w:sz w:val="22"/>
        </w:rPr>
        <w:t>.</w:t>
      </w:r>
    </w:p>
    <w:p w14:paraId="6ED4D1A7" w14:textId="3386206D" w:rsidR="001B3B67" w:rsidRPr="001B3B67" w:rsidRDefault="00C22805" w:rsidP="005E61C4">
      <w:pPr>
        <w:pStyle w:val="ListParagraph"/>
        <w:numPr>
          <w:ilvl w:val="0"/>
          <w:numId w:val="11"/>
        </w:numPr>
        <w:spacing w:after="0"/>
        <w:rPr>
          <w:sz w:val="22"/>
        </w:rPr>
      </w:pPr>
      <w:r>
        <w:rPr>
          <w:b/>
          <w:sz w:val="22"/>
        </w:rPr>
        <w:t>C</w:t>
      </w:r>
      <w:r w:rsidR="001B3B67" w:rsidRPr="001B3B67">
        <w:rPr>
          <w:b/>
          <w:sz w:val="22"/>
        </w:rPr>
        <w:t>ross sector action</w:t>
      </w:r>
      <w:r w:rsidR="001B3B67" w:rsidRPr="001B3B67">
        <w:rPr>
          <w:sz w:val="22"/>
        </w:rPr>
        <w:t xml:space="preserve"> - </w:t>
      </w:r>
      <w:r w:rsidR="001B3B67">
        <w:rPr>
          <w:sz w:val="22"/>
        </w:rPr>
        <w:t>e</w:t>
      </w:r>
      <w:r w:rsidR="001B3B67" w:rsidRPr="001B3B67">
        <w:rPr>
          <w:sz w:val="22"/>
        </w:rPr>
        <w:t>nsure national, regional and local joint ventures address the social, economic and behavioural determinants of health</w:t>
      </w:r>
      <w:r w:rsidR="00FF06C6">
        <w:rPr>
          <w:sz w:val="22"/>
        </w:rPr>
        <w:t>.</w:t>
      </w:r>
    </w:p>
    <w:p w14:paraId="5C141597" w14:textId="59D5173C" w:rsidR="001B3B67" w:rsidRPr="001B3B67" w:rsidRDefault="00C22805" w:rsidP="005E61C4">
      <w:pPr>
        <w:pStyle w:val="ListParagraph"/>
        <w:numPr>
          <w:ilvl w:val="0"/>
          <w:numId w:val="11"/>
        </w:numPr>
        <w:spacing w:after="0"/>
        <w:rPr>
          <w:sz w:val="22"/>
        </w:rPr>
      </w:pPr>
      <w:r>
        <w:rPr>
          <w:b/>
          <w:sz w:val="22"/>
        </w:rPr>
        <w:t>W</w:t>
      </w:r>
      <w:r w:rsidR="001B3B67" w:rsidRPr="001B3B67">
        <w:rPr>
          <w:b/>
          <w:sz w:val="22"/>
        </w:rPr>
        <w:t>orkforce</w:t>
      </w:r>
      <w:r w:rsidR="001B3B67" w:rsidRPr="001B3B67">
        <w:rPr>
          <w:sz w:val="22"/>
        </w:rPr>
        <w:t xml:space="preserve"> - </w:t>
      </w:r>
      <w:r w:rsidR="001B3B67">
        <w:rPr>
          <w:sz w:val="22"/>
        </w:rPr>
        <w:t>e</w:t>
      </w:r>
      <w:r w:rsidR="001B3B67" w:rsidRPr="001B3B67">
        <w:rPr>
          <w:sz w:val="22"/>
        </w:rPr>
        <w:t>nable a hauora</w:t>
      </w:r>
      <w:r w:rsidR="00FF06C6">
        <w:rPr>
          <w:sz w:val="22"/>
        </w:rPr>
        <w:t>-</w:t>
      </w:r>
      <w:r w:rsidR="001B3B67" w:rsidRPr="001B3B67">
        <w:rPr>
          <w:sz w:val="22"/>
        </w:rPr>
        <w:t>competent workforce along with more Māori in the health and disability workforce</w:t>
      </w:r>
      <w:r w:rsidR="00FF06C6">
        <w:rPr>
          <w:sz w:val="22"/>
        </w:rPr>
        <w:t>.</w:t>
      </w:r>
    </w:p>
    <w:p w14:paraId="60526C99" w14:textId="5EE94717" w:rsidR="001B3B67" w:rsidRPr="001B3B67" w:rsidRDefault="00C22805" w:rsidP="005E61C4">
      <w:pPr>
        <w:pStyle w:val="ListParagraph"/>
        <w:numPr>
          <w:ilvl w:val="0"/>
          <w:numId w:val="11"/>
        </w:numPr>
        <w:spacing w:after="0"/>
        <w:rPr>
          <w:sz w:val="22"/>
        </w:rPr>
      </w:pPr>
      <w:r>
        <w:rPr>
          <w:b/>
          <w:sz w:val="22"/>
        </w:rPr>
        <w:t>Q</w:t>
      </w:r>
      <w:r w:rsidR="001B3B67" w:rsidRPr="001B3B67">
        <w:rPr>
          <w:b/>
          <w:sz w:val="22"/>
        </w:rPr>
        <w:t>uality systems reflect good practice</w:t>
      </w:r>
      <w:r w:rsidR="001B3B67" w:rsidRPr="001B3B67">
        <w:rPr>
          <w:sz w:val="22"/>
        </w:rPr>
        <w:t xml:space="preserve"> - </w:t>
      </w:r>
      <w:r w:rsidR="00542515">
        <w:rPr>
          <w:sz w:val="22"/>
        </w:rPr>
        <w:t>e</w:t>
      </w:r>
      <w:r w:rsidR="00542515" w:rsidRPr="00542515">
        <w:rPr>
          <w:sz w:val="22"/>
        </w:rPr>
        <w:t>nhance quality and safety standards and frameworks across the health and disability sector to build capacity and capability to deliver improved health outcomes for Māori</w:t>
      </w:r>
      <w:r w:rsidR="00FF06C6">
        <w:rPr>
          <w:sz w:val="22"/>
        </w:rPr>
        <w:t>.</w:t>
      </w:r>
    </w:p>
    <w:p w14:paraId="3098F83D" w14:textId="0B39D679" w:rsidR="001B3B67" w:rsidRPr="00FA2670" w:rsidRDefault="00FA2670" w:rsidP="005E61C4">
      <w:pPr>
        <w:pStyle w:val="ListParagraph"/>
        <w:numPr>
          <w:ilvl w:val="0"/>
          <w:numId w:val="11"/>
        </w:numPr>
        <w:spacing w:after="0"/>
        <w:rPr>
          <w:sz w:val="22"/>
        </w:rPr>
      </w:pPr>
      <w:r w:rsidRPr="00FA2670">
        <w:rPr>
          <w:b/>
          <w:sz w:val="22"/>
        </w:rPr>
        <w:t>Clear evidence of performance</w:t>
      </w:r>
      <w:r w:rsidR="001B3B67" w:rsidRPr="00FA2670">
        <w:rPr>
          <w:sz w:val="22"/>
        </w:rPr>
        <w:t xml:space="preserve"> - </w:t>
      </w:r>
      <w:r w:rsidR="00542515" w:rsidRPr="00FA2670">
        <w:rPr>
          <w:sz w:val="22"/>
        </w:rPr>
        <w:t>aligned measures and monitoring approaches with increased access to powerful insights to understand the differences in Māori outcomes and the progress being made</w:t>
      </w:r>
      <w:r w:rsidR="001B3B67" w:rsidRPr="00FA2670">
        <w:rPr>
          <w:sz w:val="22"/>
        </w:rPr>
        <w:t>.</w:t>
      </w:r>
    </w:p>
    <w:p w14:paraId="6A4279F7" w14:textId="77777777" w:rsidR="001B3B67" w:rsidRDefault="001B3B67" w:rsidP="00F65B72">
      <w:pPr>
        <w:spacing w:after="0"/>
      </w:pPr>
    </w:p>
    <w:p w14:paraId="1227E1E8" w14:textId="2F6F01F7" w:rsidR="00832034" w:rsidRDefault="00832034" w:rsidP="00F65B72">
      <w:pPr>
        <w:spacing w:after="0"/>
      </w:pPr>
      <w:r w:rsidRPr="00F65B72">
        <w:lastRenderedPageBreak/>
        <w:t xml:space="preserve">Setting these priorities and associated actions involves an important challenge. The areas need to be specific, relevant </w:t>
      </w:r>
      <w:r w:rsidR="00DF68AD" w:rsidRPr="00F65B72">
        <w:t>and</w:t>
      </w:r>
      <w:r w:rsidRPr="00F65B72">
        <w:t xml:space="preserve"> measurable </w:t>
      </w:r>
      <w:r w:rsidR="00DF68AD" w:rsidRPr="00F65B72">
        <w:t xml:space="preserve">within </w:t>
      </w:r>
      <w:r w:rsidRPr="00F65B72">
        <w:t>a five-year timeframe</w:t>
      </w:r>
      <w:r w:rsidR="00246114">
        <w:t xml:space="preserve"> to impact a longer-term horizon</w:t>
      </w:r>
      <w:r w:rsidR="00DF68AD" w:rsidRPr="00F65B72">
        <w:t xml:space="preserve">. The plan </w:t>
      </w:r>
      <w:r w:rsidRPr="00F65B72">
        <w:t xml:space="preserve">also </w:t>
      </w:r>
      <w:r w:rsidR="00DF68AD" w:rsidRPr="00F65B72">
        <w:t xml:space="preserve">needs to </w:t>
      </w:r>
      <w:r w:rsidRPr="00F65B72">
        <w:t>giv</w:t>
      </w:r>
      <w:r w:rsidR="00DF68AD" w:rsidRPr="00F65B72">
        <w:t xml:space="preserve">e </w:t>
      </w:r>
      <w:r w:rsidRPr="00F65B72">
        <w:t xml:space="preserve">the health and disability system and Māori communities the flexibility to develop </w:t>
      </w:r>
      <w:r w:rsidR="00B04E9D" w:rsidRPr="00F65B72">
        <w:t xml:space="preserve">options </w:t>
      </w:r>
      <w:r w:rsidR="00111034" w:rsidRPr="00F65B72">
        <w:t>for</w:t>
      </w:r>
      <w:r w:rsidR="00B04E9D" w:rsidRPr="00F65B72">
        <w:t xml:space="preserve"> </w:t>
      </w:r>
      <w:r w:rsidRPr="00F65B72">
        <w:t>how to deliver on the priorities at local level</w:t>
      </w:r>
      <w:r w:rsidR="00DF68AD" w:rsidRPr="00F65B72">
        <w:t>s</w:t>
      </w:r>
      <w:r w:rsidRPr="00F65B72">
        <w:t>.</w:t>
      </w:r>
      <w:r w:rsidR="00A6674A">
        <w:t xml:space="preserve"> </w:t>
      </w:r>
      <w:r w:rsidRPr="00F65B72">
        <w:t xml:space="preserve">The priority areas </w:t>
      </w:r>
      <w:r w:rsidR="00A6674A">
        <w:t xml:space="preserve">also </w:t>
      </w:r>
      <w:r w:rsidRPr="00F65B72">
        <w:t xml:space="preserve">exist within a health and disability system that is already focusing </w:t>
      </w:r>
      <w:r w:rsidR="00FF06C6">
        <w:t xml:space="preserve">on </w:t>
      </w:r>
      <w:r w:rsidRPr="00F65B72">
        <w:t>Māori health outcomes</w:t>
      </w:r>
      <w:r w:rsidR="00A6674A">
        <w:t xml:space="preserve"> </w:t>
      </w:r>
      <w:r w:rsidR="007E7EBA">
        <w:t xml:space="preserve">through various action plans and the </w:t>
      </w:r>
      <w:r w:rsidRPr="00F65B72">
        <w:t>Government</w:t>
      </w:r>
      <w:r w:rsidR="007E7EBA">
        <w:t xml:space="preserve">’s overall </w:t>
      </w:r>
      <w:r w:rsidRPr="00F65B72">
        <w:t>focus on wellbeing.</w:t>
      </w:r>
    </w:p>
    <w:p w14:paraId="2E768B62" w14:textId="77777777" w:rsidR="001B3B67" w:rsidRPr="00F65B72" w:rsidRDefault="001B3B67" w:rsidP="00F65B72">
      <w:pPr>
        <w:spacing w:after="0"/>
      </w:pPr>
    </w:p>
    <w:p w14:paraId="1F124E3C" w14:textId="2F80DA65" w:rsidR="00E47B9C" w:rsidRPr="00F65B72" w:rsidRDefault="00AE0F48" w:rsidP="00F65B72">
      <w:pPr>
        <w:spacing w:after="0"/>
      </w:pPr>
      <w:r w:rsidRPr="00F65B72">
        <w:t xml:space="preserve">An A3 representation of the </w:t>
      </w:r>
      <w:r w:rsidR="00594760" w:rsidRPr="00F65B72">
        <w:t>priority</w:t>
      </w:r>
      <w:r w:rsidRPr="00F65B72">
        <w:t xml:space="preserve"> areas and the associated </w:t>
      </w:r>
      <w:r w:rsidR="00246114">
        <w:t xml:space="preserve">suggested </w:t>
      </w:r>
      <w:r w:rsidRPr="00F65B72">
        <w:t xml:space="preserve">actions and measures is attached as </w:t>
      </w:r>
      <w:r w:rsidR="00626638" w:rsidRPr="00F65B72">
        <w:t>A</w:t>
      </w:r>
      <w:r w:rsidRPr="00F65B72">
        <w:t>ppendix</w:t>
      </w:r>
      <w:r w:rsidR="002E5C2B" w:rsidRPr="00F65B72">
        <w:t xml:space="preserve"> </w:t>
      </w:r>
      <w:r w:rsidR="00A6674A">
        <w:t>one</w:t>
      </w:r>
      <w:r w:rsidRPr="00F65B72">
        <w:t xml:space="preserve">. </w:t>
      </w:r>
      <w:r w:rsidR="00A70DF8" w:rsidRPr="00F65B72">
        <w:t xml:space="preserve">This A3 also shows how the eight priority areas for action align with </w:t>
      </w:r>
      <w:r w:rsidR="00A6674A">
        <w:t>Te Tiriti</w:t>
      </w:r>
      <w:r w:rsidR="00F621AE">
        <w:t xml:space="preserve"> o Waitangi</w:t>
      </w:r>
      <w:r w:rsidR="00A6674A">
        <w:t xml:space="preserve"> and with </w:t>
      </w:r>
      <w:r w:rsidR="00A70DF8" w:rsidRPr="00F65B72">
        <w:t xml:space="preserve">He Korowai Oranga. </w:t>
      </w:r>
      <w:r w:rsidRPr="00F65B72">
        <w:t xml:space="preserve">This is a draft framework that we will be using to </w:t>
      </w:r>
      <w:r w:rsidR="002E5C2B" w:rsidRPr="00F65B72">
        <w:t xml:space="preserve">facilitate discussions throughout </w:t>
      </w:r>
      <w:r w:rsidR="002F287A">
        <w:t xml:space="preserve">the </w:t>
      </w:r>
      <w:r w:rsidR="002E5C2B" w:rsidRPr="00F65B72">
        <w:t>engagement</w:t>
      </w:r>
      <w:r w:rsidR="002F287A">
        <w:t xml:space="preserve"> process</w:t>
      </w:r>
      <w:r w:rsidR="002E5C2B" w:rsidRPr="00F65B72">
        <w:t>.</w:t>
      </w:r>
    </w:p>
    <w:p w14:paraId="19728A6A" w14:textId="44EA7877" w:rsidR="00A6674A" w:rsidRPr="00A6674A" w:rsidRDefault="00792C52" w:rsidP="00A6674A">
      <w:pPr>
        <w:pStyle w:val="Heading2"/>
        <w:pageBreakBefore/>
        <w:rPr>
          <w:rStyle w:val="IntenseReference"/>
          <w:b/>
          <w:bCs w:val="0"/>
          <w:smallCaps w:val="0"/>
          <w:color w:val="2E74B5" w:themeColor="accent1" w:themeShade="BF"/>
          <w:spacing w:val="0"/>
        </w:rPr>
      </w:pPr>
      <w:bookmarkStart w:id="13" w:name="_Toc17195716"/>
      <w:r w:rsidRPr="00372E6C">
        <w:lastRenderedPageBreak/>
        <w:t xml:space="preserve">Priority </w:t>
      </w:r>
      <w:r w:rsidR="007050FE">
        <w:t>a</w:t>
      </w:r>
      <w:r w:rsidRPr="00372E6C">
        <w:t>rea one</w:t>
      </w:r>
      <w:r w:rsidR="00372E6C" w:rsidRPr="00372E6C">
        <w:rPr>
          <w:rStyle w:val="IntenseReference"/>
          <w:b/>
          <w:bCs w:val="0"/>
          <w:smallCaps w:val="0"/>
          <w:color w:val="2E74B5" w:themeColor="accent1" w:themeShade="BF"/>
          <w:spacing w:val="0"/>
        </w:rPr>
        <w:t>:</w:t>
      </w:r>
      <w:r w:rsidR="00A6674A">
        <w:rPr>
          <w:rStyle w:val="IntenseReference"/>
          <w:b/>
          <w:bCs w:val="0"/>
          <w:smallCaps w:val="0"/>
          <w:color w:val="2E74B5" w:themeColor="accent1" w:themeShade="BF"/>
          <w:spacing w:val="0"/>
        </w:rPr>
        <w:t xml:space="preserve"> </w:t>
      </w:r>
      <w:r w:rsidR="00A6674A" w:rsidRPr="00A6674A">
        <w:rPr>
          <w:rStyle w:val="IntenseReference"/>
          <w:b/>
          <w:bCs w:val="0"/>
          <w:smallCaps w:val="0"/>
          <w:color w:val="2E74B5" w:themeColor="accent1" w:themeShade="BF"/>
          <w:spacing w:val="0"/>
        </w:rPr>
        <w:t>Māori / Crown relationships</w:t>
      </w:r>
      <w:bookmarkEnd w:id="13"/>
    </w:p>
    <w:p w14:paraId="63C8524B" w14:textId="4742B542" w:rsidR="00A6674A" w:rsidRPr="00267A40" w:rsidRDefault="00A6674A" w:rsidP="00A6674A">
      <w:pPr>
        <w:pStyle w:val="Heading4"/>
      </w:pPr>
      <w:r>
        <w:t>Objective</w:t>
      </w:r>
    </w:p>
    <w:p w14:paraId="22C57F2E" w14:textId="245F662F" w:rsidR="00A6674A" w:rsidRDefault="00A06109" w:rsidP="00A6674A">
      <w:pPr>
        <w:spacing w:after="0"/>
      </w:pPr>
      <w:r w:rsidRPr="00A06109">
        <w:t>Amplify Māori / Crown relationships and meet obligations under Te Tiriti o Waitangi including responding to Wai 2575 findings</w:t>
      </w:r>
      <w:r>
        <w:t>.</w:t>
      </w:r>
    </w:p>
    <w:p w14:paraId="74914A7E" w14:textId="65307453" w:rsidR="00372E6C" w:rsidRDefault="00372E6C" w:rsidP="00372E6C">
      <w:pPr>
        <w:pStyle w:val="Heading4"/>
        <w:jc w:val="both"/>
      </w:pPr>
      <w:r>
        <w:t>Rationale</w:t>
      </w:r>
    </w:p>
    <w:p w14:paraId="1A8BCEA8" w14:textId="70B6EE88" w:rsidR="00C22805" w:rsidRDefault="00C22805" w:rsidP="00A6674A">
      <w:pPr>
        <w:spacing w:after="0"/>
      </w:pPr>
      <w:r>
        <w:t xml:space="preserve">Te Tiriti o Waitangi provides an imperative to acknowledge, protect and promote the health of Māori. In </w:t>
      </w:r>
      <w:proofErr w:type="spellStart"/>
      <w:r>
        <w:t>Whaiora</w:t>
      </w:r>
      <w:proofErr w:type="spellEnd"/>
      <w:r>
        <w:t xml:space="preserve">: </w:t>
      </w:r>
      <w:r w:rsidR="00281A2B">
        <w:t>Māori</w:t>
      </w:r>
      <w:r>
        <w:t xml:space="preserve"> Health Development (1994)</w:t>
      </w:r>
      <w:r w:rsidR="00FF06C6">
        <w:t>,</w:t>
      </w:r>
      <w:r>
        <w:t xml:space="preserve"> </w:t>
      </w:r>
      <w:proofErr w:type="spellStart"/>
      <w:r>
        <w:t>T</w:t>
      </w:r>
      <w:r w:rsidR="00A06109">
        <w:t>ā</w:t>
      </w:r>
      <w:proofErr w:type="spellEnd"/>
      <w:r>
        <w:t xml:space="preserve"> Mason Durie stated</w:t>
      </w:r>
      <w:r w:rsidR="00FF06C6">
        <w:t>:</w:t>
      </w:r>
    </w:p>
    <w:p w14:paraId="11A18EDC" w14:textId="1A6FA406" w:rsidR="00C22805" w:rsidRDefault="00C22805" w:rsidP="00A6674A">
      <w:pPr>
        <w:spacing w:after="0"/>
      </w:pPr>
    </w:p>
    <w:p w14:paraId="586AA5FC" w14:textId="34E9D057" w:rsidR="00C22805" w:rsidRPr="00C22805" w:rsidRDefault="00C22805" w:rsidP="0043158A">
      <w:pPr>
        <w:pStyle w:val="Quote"/>
      </w:pPr>
      <w:r w:rsidRPr="00C22805">
        <w:t>“</w:t>
      </w:r>
      <w:r w:rsidR="00281A2B">
        <w:t>Māori</w:t>
      </w:r>
      <w:r w:rsidRPr="00C22805">
        <w:t xml:space="preserve"> health development is essentially about </w:t>
      </w:r>
      <w:r w:rsidR="00281A2B">
        <w:t>Māori</w:t>
      </w:r>
      <w:r w:rsidRPr="00C22805">
        <w:t xml:space="preserve"> defining their own priorities for health and then weaving a course to realise their collective aspirations” (Durie, 1994)</w:t>
      </w:r>
      <w:r w:rsidR="00FF06C6">
        <w:t>.</w:t>
      </w:r>
    </w:p>
    <w:p w14:paraId="7A2D2B73" w14:textId="77777777" w:rsidR="00C22805" w:rsidRDefault="00C22805" w:rsidP="00A6674A">
      <w:pPr>
        <w:spacing w:after="0"/>
      </w:pPr>
    </w:p>
    <w:p w14:paraId="009C6761" w14:textId="17D38D50" w:rsidR="00B829AE" w:rsidRDefault="00C22805" w:rsidP="00B829AE">
      <w:pPr>
        <w:spacing w:after="0"/>
      </w:pPr>
      <w:r>
        <w:t>T</w:t>
      </w:r>
      <w:r w:rsidR="00372E6C">
        <w:t xml:space="preserve">he Ministry </w:t>
      </w:r>
      <w:r>
        <w:t xml:space="preserve">and DHBs </w:t>
      </w:r>
      <w:r w:rsidR="00372E6C">
        <w:t>ha</w:t>
      </w:r>
      <w:r>
        <w:t>ve</w:t>
      </w:r>
      <w:r w:rsidR="00372E6C">
        <w:t xml:space="preserve"> relationships with Māori advisory groups</w:t>
      </w:r>
      <w:r>
        <w:t xml:space="preserve"> and Iwi Relationship Boards</w:t>
      </w:r>
      <w:r w:rsidR="004B271D">
        <w:t xml:space="preserve"> but it </w:t>
      </w:r>
      <w:r w:rsidR="00FF06C6">
        <w:t xml:space="preserve">is </w:t>
      </w:r>
      <w:r w:rsidR="004B271D">
        <w:t xml:space="preserve">not clear </w:t>
      </w:r>
      <w:r>
        <w:t>how effective</w:t>
      </w:r>
      <w:r w:rsidR="00B829AE">
        <w:t xml:space="preserve"> </w:t>
      </w:r>
      <w:r w:rsidR="0065115B">
        <w:t>Māori</w:t>
      </w:r>
      <w:r w:rsidR="004B271D">
        <w:t>-Crown</w:t>
      </w:r>
      <w:r w:rsidR="00B829AE">
        <w:t xml:space="preserve"> relationships </w:t>
      </w:r>
      <w:r w:rsidR="004B271D">
        <w:t xml:space="preserve">have been in realising </w:t>
      </w:r>
      <w:r w:rsidR="0065115B">
        <w:t>Māori</w:t>
      </w:r>
      <w:r w:rsidR="004B271D">
        <w:t xml:space="preserve"> health aspirations</w:t>
      </w:r>
      <w:r>
        <w:t>.</w:t>
      </w:r>
    </w:p>
    <w:p w14:paraId="4ADB4882" w14:textId="77777777" w:rsidR="00B829AE" w:rsidRDefault="00B829AE" w:rsidP="00B829AE">
      <w:pPr>
        <w:spacing w:after="0"/>
      </w:pPr>
    </w:p>
    <w:p w14:paraId="585BF51A" w14:textId="07BB873A" w:rsidR="00B829AE" w:rsidRDefault="00B829AE" w:rsidP="00B829AE">
      <w:pPr>
        <w:spacing w:after="0"/>
      </w:pPr>
      <w:r>
        <w:t xml:space="preserve">On 1 July 2019, the Waitangi Tribunal released its findings and recommendations on Stage One of the Kaupapa Inquiry in </w:t>
      </w:r>
      <w:r w:rsidR="00FF06C6">
        <w:t>the</w:t>
      </w:r>
      <w:r>
        <w:t xml:space="preserve"> report Hauora: Report on Stage One of the Health Services and Outcomes Kaupapa Inquiry. </w:t>
      </w:r>
      <w:r w:rsidR="009A22D5">
        <w:t>I</w:t>
      </w:r>
      <w:r>
        <w:t>n relation to primary care</w:t>
      </w:r>
      <w:r w:rsidR="009A22D5">
        <w:t xml:space="preserve"> the Tribunal found that</w:t>
      </w:r>
      <w:r>
        <w:t xml:space="preserve"> the legislative, strategy and policy framework, funding arrangements</w:t>
      </w:r>
      <w:r w:rsidR="004B271D">
        <w:t>,</w:t>
      </w:r>
      <w:r>
        <w:t xml:space="preserve"> way health entities are held to account</w:t>
      </w:r>
      <w:r w:rsidR="009A22D5">
        <w:t>,</w:t>
      </w:r>
      <w:r>
        <w:t xml:space="preserve"> and the partnership that the Crown has with </w:t>
      </w:r>
      <w:r w:rsidR="00281A2B">
        <w:t>Māori</w:t>
      </w:r>
      <w:r>
        <w:t xml:space="preserve"> are not Treaty-compliant</w:t>
      </w:r>
      <w:r w:rsidR="004B271D">
        <w:t>. This</w:t>
      </w:r>
      <w:r>
        <w:t xml:space="preserve"> has contributed to serious and persistent health inequities for </w:t>
      </w:r>
      <w:r w:rsidR="00281A2B">
        <w:t>Māori</w:t>
      </w:r>
      <w:r>
        <w:t xml:space="preserve">. </w:t>
      </w:r>
    </w:p>
    <w:p w14:paraId="7D0891C3" w14:textId="77777777" w:rsidR="00B829AE" w:rsidRDefault="00B829AE" w:rsidP="00B829AE">
      <w:pPr>
        <w:spacing w:after="0"/>
      </w:pPr>
    </w:p>
    <w:p w14:paraId="64F09BD4" w14:textId="403F76D0" w:rsidR="00372E6C" w:rsidRDefault="00B829AE" w:rsidP="00A6674A">
      <w:pPr>
        <w:spacing w:after="0"/>
      </w:pPr>
      <w:r>
        <w:t>E</w:t>
      </w:r>
      <w:r w:rsidR="00372E6C" w:rsidRPr="00A6674A">
        <w:t xml:space="preserve">ffective </w:t>
      </w:r>
      <w:r w:rsidR="00372E6C">
        <w:t>Māori</w:t>
      </w:r>
      <w:r>
        <w:t>-Crown relationships include</w:t>
      </w:r>
      <w:r w:rsidR="00372E6C">
        <w:t xml:space="preserve"> understanding the rights, interests and perspectives of Māori meaningfully engaging and building relationships with </w:t>
      </w:r>
      <w:r w:rsidR="00E85339">
        <w:t xml:space="preserve">iwi, </w:t>
      </w:r>
      <w:r w:rsidR="00582EB5">
        <w:t>hapū</w:t>
      </w:r>
      <w:r w:rsidR="00E85339">
        <w:t xml:space="preserve"> and Māori communities,</w:t>
      </w:r>
      <w:r w:rsidR="00372E6C">
        <w:t xml:space="preserve"> and embedding Māori and Te Tiriti o Waitangi perspectives into policy, programmes and services.  </w:t>
      </w:r>
    </w:p>
    <w:p w14:paraId="3111C72C" w14:textId="77777777" w:rsidR="00A6674A" w:rsidRDefault="00A6674A" w:rsidP="00A6674A">
      <w:pPr>
        <w:spacing w:after="0"/>
      </w:pPr>
    </w:p>
    <w:p w14:paraId="235AAEC8" w14:textId="5B1F9D30" w:rsidR="00372E6C" w:rsidRDefault="00E85339" w:rsidP="00A6674A">
      <w:pPr>
        <w:spacing w:after="0"/>
      </w:pPr>
      <w:r>
        <w:t xml:space="preserve">Investing in </w:t>
      </w:r>
      <w:r w:rsidR="00281A2B">
        <w:t>Māori</w:t>
      </w:r>
      <w:r w:rsidR="00B829AE">
        <w:t xml:space="preserve"> health within a Te Tiriti o Waitangi </w:t>
      </w:r>
      <w:r>
        <w:t xml:space="preserve">framework </w:t>
      </w:r>
      <w:r w:rsidR="00B829AE">
        <w:t xml:space="preserve">can guide </w:t>
      </w:r>
      <w:r w:rsidR="00372E6C">
        <w:t>responsiveness at all levels of the health and disability system</w:t>
      </w:r>
      <w:r w:rsidR="00B829AE">
        <w:t xml:space="preserve">. This includes </w:t>
      </w:r>
      <w:r w:rsidR="00372E6C">
        <w:t xml:space="preserve">inclusive policy design and </w:t>
      </w:r>
      <w:r>
        <w:t xml:space="preserve">creating greater </w:t>
      </w:r>
      <w:r w:rsidR="00372E6C">
        <w:t>opportunit</w:t>
      </w:r>
      <w:r>
        <w:t>y</w:t>
      </w:r>
      <w:r w:rsidR="00372E6C">
        <w:t xml:space="preserve"> for </w:t>
      </w:r>
      <w:r w:rsidR="00281A2B">
        <w:t>collaborative servic</w:t>
      </w:r>
      <w:r w:rsidR="00372E6C">
        <w:t xml:space="preserve">e innovation, </w:t>
      </w:r>
      <w:r w:rsidR="00281A2B">
        <w:t>d</w:t>
      </w:r>
      <w:r w:rsidR="00372E6C">
        <w:t>evolution</w:t>
      </w:r>
      <w:r w:rsidR="00281A2B">
        <w:t xml:space="preserve"> of resources and </w:t>
      </w:r>
      <w:r>
        <w:t xml:space="preserve">increased Māori </w:t>
      </w:r>
      <w:r w:rsidR="00281A2B">
        <w:t>decision</w:t>
      </w:r>
      <w:r w:rsidR="009A22D5">
        <w:t>-</w:t>
      </w:r>
      <w:r>
        <w:t>making</w:t>
      </w:r>
      <w:r w:rsidR="00372E6C">
        <w:t>.</w:t>
      </w:r>
    </w:p>
    <w:p w14:paraId="79588CF5" w14:textId="77777777" w:rsidR="00A6674A" w:rsidRDefault="00A6674A" w:rsidP="00A6674A">
      <w:pPr>
        <w:spacing w:after="0"/>
      </w:pPr>
    </w:p>
    <w:p w14:paraId="68F0019A" w14:textId="77777777" w:rsidR="00372E6C" w:rsidRDefault="00372E6C" w:rsidP="00372E6C">
      <w:pPr>
        <w:pStyle w:val="Heading4"/>
        <w:jc w:val="both"/>
      </w:pPr>
      <w:r>
        <w:t>Suggested</w:t>
      </w:r>
      <w:r w:rsidRPr="00686461">
        <w:t xml:space="preserve"> </w:t>
      </w:r>
      <w:r>
        <w:t>a</w:t>
      </w:r>
      <w:r w:rsidRPr="00686461">
        <w:t>ctions</w:t>
      </w:r>
    </w:p>
    <w:p w14:paraId="6286CE86" w14:textId="0036D2FE" w:rsidR="00A6674A" w:rsidRPr="00B83DBA" w:rsidRDefault="00A6674A" w:rsidP="005E61C4">
      <w:pPr>
        <w:pStyle w:val="ListParagraph"/>
        <w:numPr>
          <w:ilvl w:val="0"/>
          <w:numId w:val="12"/>
        </w:numPr>
        <w:spacing w:after="0"/>
        <w:rPr>
          <w:sz w:val="22"/>
        </w:rPr>
      </w:pPr>
      <w:r w:rsidRPr="00B83DBA">
        <w:rPr>
          <w:sz w:val="22"/>
        </w:rPr>
        <w:t>The Ministry will continue to adopt a collaborative approach throughout the remainder of the Wai 2575 inquiry</w:t>
      </w:r>
      <w:r w:rsidR="00A06109">
        <w:rPr>
          <w:sz w:val="22"/>
        </w:rPr>
        <w:t>.</w:t>
      </w:r>
    </w:p>
    <w:p w14:paraId="68ADCABC" w14:textId="74AE1470" w:rsidR="00A6674A" w:rsidRPr="00B83DBA" w:rsidRDefault="00A06109" w:rsidP="005E61C4">
      <w:pPr>
        <w:pStyle w:val="ListParagraph"/>
        <w:numPr>
          <w:ilvl w:val="0"/>
          <w:numId w:val="12"/>
        </w:numPr>
        <w:spacing w:after="0"/>
        <w:rPr>
          <w:sz w:val="22"/>
        </w:rPr>
      </w:pPr>
      <w:r>
        <w:rPr>
          <w:sz w:val="22"/>
        </w:rPr>
        <w:t>D</w:t>
      </w:r>
      <w:r w:rsidR="00A6674A" w:rsidRPr="00B83DBA">
        <w:rPr>
          <w:sz w:val="22"/>
        </w:rPr>
        <w:t>esign with Māori the Māori Health Action Plan and broader initiatives (Wai 2575 finding)</w:t>
      </w:r>
      <w:r>
        <w:rPr>
          <w:sz w:val="22"/>
        </w:rPr>
        <w:t>.</w:t>
      </w:r>
    </w:p>
    <w:p w14:paraId="2748DB59" w14:textId="73462B89" w:rsidR="00B83DBA" w:rsidRPr="00B83DBA" w:rsidRDefault="009A22D5" w:rsidP="005E61C4">
      <w:pPr>
        <w:pStyle w:val="ListParagraph"/>
        <w:numPr>
          <w:ilvl w:val="0"/>
          <w:numId w:val="12"/>
        </w:numPr>
        <w:spacing w:after="0"/>
        <w:rPr>
          <w:sz w:val="22"/>
        </w:rPr>
      </w:pPr>
      <w:r>
        <w:rPr>
          <w:sz w:val="22"/>
        </w:rPr>
        <w:t>T</w:t>
      </w:r>
      <w:r w:rsidR="00A6674A" w:rsidRPr="00B83DBA">
        <w:rPr>
          <w:sz w:val="22"/>
        </w:rPr>
        <w:t xml:space="preserve">he Ministry, in its stewardship role, </w:t>
      </w:r>
      <w:r>
        <w:rPr>
          <w:sz w:val="22"/>
        </w:rPr>
        <w:t>will</w:t>
      </w:r>
      <w:r w:rsidR="00A6674A" w:rsidRPr="00B83DBA">
        <w:rPr>
          <w:sz w:val="22"/>
        </w:rPr>
        <w:t xml:space="preserve"> reset its Māori-Crown relationships to ensure it is clear and consistent, including looking at the effectiveness of different partnership approaches</w:t>
      </w:r>
      <w:r>
        <w:rPr>
          <w:sz w:val="22"/>
        </w:rPr>
        <w:t xml:space="preserve"> and</w:t>
      </w:r>
      <w:r w:rsidR="00A6674A" w:rsidRPr="00B83DBA">
        <w:rPr>
          <w:sz w:val="22"/>
        </w:rPr>
        <w:t xml:space="preserve"> identifying what approaches might be possible in different situations </w:t>
      </w:r>
      <w:r w:rsidR="00B83DBA" w:rsidRPr="00B83DBA">
        <w:rPr>
          <w:sz w:val="22"/>
        </w:rPr>
        <w:t>(Wai 2575 finding)</w:t>
      </w:r>
      <w:r w:rsidR="00A06109">
        <w:rPr>
          <w:sz w:val="22"/>
        </w:rPr>
        <w:t>.</w:t>
      </w:r>
    </w:p>
    <w:p w14:paraId="2BDE0C3D" w14:textId="54879D06" w:rsidR="00A6674A" w:rsidRPr="00B83DBA" w:rsidRDefault="00A06109" w:rsidP="005E61C4">
      <w:pPr>
        <w:pStyle w:val="ListParagraph"/>
        <w:numPr>
          <w:ilvl w:val="0"/>
          <w:numId w:val="12"/>
        </w:numPr>
        <w:spacing w:after="0"/>
        <w:rPr>
          <w:sz w:val="22"/>
        </w:rPr>
      </w:pPr>
      <w:r>
        <w:rPr>
          <w:sz w:val="22"/>
        </w:rPr>
        <w:lastRenderedPageBreak/>
        <w:t>E</w:t>
      </w:r>
      <w:r w:rsidR="00A6674A" w:rsidRPr="00B83DBA">
        <w:rPr>
          <w:sz w:val="22"/>
        </w:rPr>
        <w:t xml:space="preserve">xplore the possibility of a stand-alone Māori health authority </w:t>
      </w:r>
      <w:r w:rsidR="00B83DBA" w:rsidRPr="00B83DBA">
        <w:rPr>
          <w:sz w:val="22"/>
        </w:rPr>
        <w:t>(Wai 2575 finding).</w:t>
      </w:r>
    </w:p>
    <w:p w14:paraId="0559D892" w14:textId="77777777" w:rsidR="00A6674A" w:rsidRDefault="00A6674A" w:rsidP="00A6674A">
      <w:pPr>
        <w:spacing w:after="0"/>
      </w:pPr>
    </w:p>
    <w:p w14:paraId="251DEBE6" w14:textId="00883B5C" w:rsidR="00372E6C" w:rsidRPr="00686461" w:rsidRDefault="00372E6C" w:rsidP="00B83DBA">
      <w:pPr>
        <w:pStyle w:val="Heading4"/>
        <w:jc w:val="both"/>
      </w:pPr>
      <w:r>
        <w:t>Suggested measures</w:t>
      </w:r>
    </w:p>
    <w:p w14:paraId="71F72853" w14:textId="2836B7B7" w:rsidR="00B83DBA" w:rsidRDefault="00A06109" w:rsidP="005E61C4">
      <w:pPr>
        <w:pStyle w:val="ListParagraph"/>
        <w:numPr>
          <w:ilvl w:val="0"/>
          <w:numId w:val="13"/>
        </w:numPr>
        <w:spacing w:after="0"/>
        <w:rPr>
          <w:sz w:val="22"/>
        </w:rPr>
      </w:pPr>
      <w:r>
        <w:rPr>
          <w:sz w:val="22"/>
        </w:rPr>
        <w:t>N</w:t>
      </w:r>
      <w:r w:rsidR="00B83DBA" w:rsidRPr="00B83DBA">
        <w:rPr>
          <w:sz w:val="22"/>
        </w:rPr>
        <w:t>umber and type of partnership agreements between Māori and the Ministry</w:t>
      </w:r>
      <w:r w:rsidR="009A22D5">
        <w:rPr>
          <w:sz w:val="22"/>
        </w:rPr>
        <w:t>,</w:t>
      </w:r>
      <w:r w:rsidR="00B83DBA" w:rsidRPr="00B83DBA">
        <w:rPr>
          <w:sz w:val="22"/>
        </w:rPr>
        <w:t xml:space="preserve"> and DHBs</w:t>
      </w:r>
      <w:r>
        <w:rPr>
          <w:sz w:val="22"/>
        </w:rPr>
        <w:t>.</w:t>
      </w:r>
    </w:p>
    <w:p w14:paraId="0E77395D" w14:textId="7462F621" w:rsidR="00B83DBA" w:rsidRPr="00B83DBA" w:rsidRDefault="00A06109" w:rsidP="005E61C4">
      <w:pPr>
        <w:pStyle w:val="ListParagraph"/>
        <w:numPr>
          <w:ilvl w:val="0"/>
          <w:numId w:val="13"/>
        </w:numPr>
        <w:spacing w:after="0"/>
        <w:rPr>
          <w:sz w:val="22"/>
        </w:rPr>
      </w:pPr>
      <w:r>
        <w:rPr>
          <w:sz w:val="22"/>
        </w:rPr>
        <w:t>L</w:t>
      </w:r>
      <w:r w:rsidR="00B83DBA" w:rsidRPr="00B83DBA">
        <w:rPr>
          <w:sz w:val="22"/>
        </w:rPr>
        <w:t>evels of satisfaction with Māori</w:t>
      </w:r>
      <w:r w:rsidR="009A22D5">
        <w:rPr>
          <w:sz w:val="22"/>
        </w:rPr>
        <w:t>-</w:t>
      </w:r>
      <w:r w:rsidR="00B83DBA" w:rsidRPr="00B83DBA">
        <w:rPr>
          <w:sz w:val="22"/>
        </w:rPr>
        <w:t>Crown partnership arrangements</w:t>
      </w:r>
      <w:r>
        <w:rPr>
          <w:sz w:val="22"/>
        </w:rPr>
        <w:t>.</w:t>
      </w:r>
    </w:p>
    <w:p w14:paraId="1CF35185" w14:textId="479751B0" w:rsidR="00372E6C" w:rsidRPr="00B83DBA" w:rsidRDefault="00B83DBA" w:rsidP="005E61C4">
      <w:pPr>
        <w:pStyle w:val="ListParagraph"/>
        <w:numPr>
          <w:ilvl w:val="0"/>
          <w:numId w:val="13"/>
        </w:numPr>
        <w:spacing w:after="0"/>
        <w:rPr>
          <w:sz w:val="22"/>
        </w:rPr>
      </w:pPr>
      <w:r>
        <w:rPr>
          <w:sz w:val="22"/>
        </w:rPr>
        <w:t>(</w:t>
      </w:r>
      <w:r w:rsidR="00A06109">
        <w:rPr>
          <w:sz w:val="22"/>
        </w:rPr>
        <w:t>O</w:t>
      </w:r>
      <w:r>
        <w:rPr>
          <w:sz w:val="22"/>
        </w:rPr>
        <w:t>thers to be determined)</w:t>
      </w:r>
      <w:r w:rsidR="00A06109">
        <w:rPr>
          <w:sz w:val="22"/>
        </w:rPr>
        <w:t>.</w:t>
      </w:r>
    </w:p>
    <w:p w14:paraId="3D8B20C7" w14:textId="77777777" w:rsidR="00372E6C" w:rsidRDefault="00372E6C" w:rsidP="00372E6C">
      <w:pPr>
        <w:jc w:val="both"/>
      </w:pPr>
    </w:p>
    <w:p w14:paraId="3ECE0550" w14:textId="486AA327" w:rsidR="008D05DA" w:rsidRDefault="008D05DA" w:rsidP="008D05DA">
      <w:pPr>
        <w:pStyle w:val="Heading2"/>
        <w:pageBreakBefore/>
      </w:pPr>
      <w:bookmarkStart w:id="14" w:name="_Toc17195717"/>
      <w:r>
        <w:lastRenderedPageBreak/>
        <w:t>Priority area two: Māori</w:t>
      </w:r>
      <w:r w:rsidR="00A06109">
        <w:t xml:space="preserve"> health development</w:t>
      </w:r>
      <w:bookmarkEnd w:id="14"/>
    </w:p>
    <w:p w14:paraId="00AE96F9" w14:textId="77777777" w:rsidR="008D05DA" w:rsidRDefault="008D05DA" w:rsidP="008D05DA">
      <w:pPr>
        <w:pStyle w:val="Heading4"/>
      </w:pPr>
      <w:r>
        <w:t>Objective</w:t>
      </w:r>
    </w:p>
    <w:p w14:paraId="3F1B70F5" w14:textId="1626B5EE" w:rsidR="008D05DA" w:rsidRDefault="00F00CB8" w:rsidP="008D05DA">
      <w:pPr>
        <w:spacing w:after="0"/>
      </w:pPr>
      <w:r w:rsidRPr="00F00CB8">
        <w:t>Further develop Māori health capacity and capability through a viable Māori provider network with the resources and authority to provide kaupapa Māori and whānau</w:t>
      </w:r>
      <w:r w:rsidR="009A22D5">
        <w:t>-</w:t>
      </w:r>
      <w:r w:rsidRPr="00F00CB8">
        <w:t>centred models of care</w:t>
      </w:r>
      <w:r>
        <w:t>.</w:t>
      </w:r>
    </w:p>
    <w:p w14:paraId="7F576AFA" w14:textId="77777777" w:rsidR="00F00CB8" w:rsidRDefault="00F00CB8" w:rsidP="008D05DA">
      <w:pPr>
        <w:spacing w:after="0"/>
      </w:pPr>
    </w:p>
    <w:p w14:paraId="1AC938C1" w14:textId="77777777" w:rsidR="008D05DA" w:rsidRDefault="008D05DA" w:rsidP="008D05DA">
      <w:pPr>
        <w:pStyle w:val="Heading4"/>
      </w:pPr>
      <w:r>
        <w:t xml:space="preserve">Rationale </w:t>
      </w:r>
    </w:p>
    <w:p w14:paraId="3492FE1C" w14:textId="46365C3C" w:rsidR="008D05DA" w:rsidRDefault="008D05DA" w:rsidP="008D05DA">
      <w:pPr>
        <w:spacing w:after="0"/>
      </w:pPr>
      <w:r>
        <w:t>He Korowai Oranga supports approaches to health and wellbeing that use Māori strengths and assets to develop Māori-led initiatives tailored to meet Māori health needs. This includes Māori models of health and wellbeing, rongoā (traditional healing)</w:t>
      </w:r>
      <w:r w:rsidR="009A22D5">
        <w:t>,</w:t>
      </w:r>
      <w:r>
        <w:t xml:space="preserve"> and innovation. These are referred to as ‘kaupapa Māori’ models of care. Whānau-centred approaches sit at the core of kaupapa Māori models, being culturally</w:t>
      </w:r>
      <w:r w:rsidR="009A22D5">
        <w:t>-</w:t>
      </w:r>
      <w:r>
        <w:t xml:space="preserve">grounded and holistic, focused on improving the wellbeing of whānau and addressing individual needs within a whānau </w:t>
      </w:r>
      <w:r w:rsidR="00542515">
        <w:t>and community context</w:t>
      </w:r>
      <w:r>
        <w:t>.</w:t>
      </w:r>
    </w:p>
    <w:p w14:paraId="062B4248" w14:textId="77777777" w:rsidR="008D05DA" w:rsidRDefault="008D05DA" w:rsidP="008D05DA">
      <w:pPr>
        <w:spacing w:after="0"/>
      </w:pPr>
    </w:p>
    <w:p w14:paraId="449A69EC" w14:textId="1983F444" w:rsidR="008D05DA" w:rsidRDefault="008D05DA" w:rsidP="008D05DA">
      <w:pPr>
        <w:spacing w:after="0"/>
      </w:pPr>
      <w:r>
        <w:t>For many decades Māori have sought mana motuhake (self-determination) over the planning and delivery of health services – by Māori, for Māori. There are currently over 200 Māori</w:t>
      </w:r>
      <w:r w:rsidR="009A22D5">
        <w:t>-</w:t>
      </w:r>
      <w:r>
        <w:t>owned and governed Māori health providers across the country that serve largely, but not exclusively, Māori populations. Providing a platform where health services are delivered ‘by Māori for Māori’ is integral to improving Māori health and honouring the Crown’s obligations under Te Tiriti o Waitangi.</w:t>
      </w:r>
    </w:p>
    <w:p w14:paraId="72DE4B30" w14:textId="77777777" w:rsidR="008D05DA" w:rsidRDefault="008D05DA" w:rsidP="008D05DA">
      <w:pPr>
        <w:spacing w:after="0"/>
      </w:pPr>
    </w:p>
    <w:p w14:paraId="54F76314" w14:textId="48A53A95" w:rsidR="008D05DA" w:rsidRPr="005634F1" w:rsidRDefault="008D05DA" w:rsidP="008D05DA">
      <w:pPr>
        <w:spacing w:after="0"/>
      </w:pPr>
      <w:r>
        <w:t xml:space="preserve">Alongside kaupapa Māori services, Māori have looked to the rest of the health and disability system to offer culturally appropriate </w:t>
      </w:r>
      <w:r w:rsidR="00A06109">
        <w:t xml:space="preserve">and safe </w:t>
      </w:r>
      <w:r>
        <w:t>whānau</w:t>
      </w:r>
      <w:r w:rsidR="009A22D5">
        <w:t>-</w:t>
      </w:r>
      <w:r>
        <w:t>centred services.</w:t>
      </w:r>
      <w:r w:rsidRPr="00346C07">
        <w:t xml:space="preserve"> </w:t>
      </w:r>
      <w:r>
        <w:t xml:space="preserve">As many Māori continue to </w:t>
      </w:r>
      <w:r w:rsidRPr="005634F1">
        <w:t>receive most of their health care from mainstream services, effort is required to ensure that mainstream services work effectively for Māori through the provision of whānau</w:t>
      </w:r>
      <w:r w:rsidR="009A22D5">
        <w:t>-</w:t>
      </w:r>
      <w:r w:rsidRPr="005634F1">
        <w:t>centred care.</w:t>
      </w:r>
    </w:p>
    <w:p w14:paraId="31A0CCCF" w14:textId="77777777" w:rsidR="008D05DA" w:rsidRPr="005634F1" w:rsidRDefault="008D05DA" w:rsidP="008D05DA">
      <w:pPr>
        <w:spacing w:after="0"/>
      </w:pPr>
    </w:p>
    <w:p w14:paraId="00DDF32D" w14:textId="77777777" w:rsidR="008D05DA" w:rsidRPr="005634F1" w:rsidRDefault="008D05DA" w:rsidP="008D05DA">
      <w:pPr>
        <w:spacing w:after="0"/>
      </w:pPr>
      <w:r w:rsidRPr="005634F1">
        <w:t>In recent engagement around achieving equity in health outcomes for Māori and other groups, community-based Māori providers</w:t>
      </w:r>
      <w:r>
        <w:t xml:space="preserve"> were at the forefront of those who</w:t>
      </w:r>
      <w:r w:rsidRPr="005634F1">
        <w:t xml:space="preserve"> asked for:</w:t>
      </w:r>
    </w:p>
    <w:p w14:paraId="5DC6ADE2" w14:textId="77777777" w:rsidR="008D05DA" w:rsidRPr="005634F1" w:rsidRDefault="008D05DA" w:rsidP="008D05DA">
      <w:pPr>
        <w:spacing w:after="0"/>
      </w:pPr>
    </w:p>
    <w:p w14:paraId="2A099B35" w14:textId="6804834A" w:rsidR="008D05DA" w:rsidRPr="005634F1" w:rsidRDefault="00A06109" w:rsidP="008D05DA">
      <w:pPr>
        <w:pStyle w:val="ListParagraph"/>
        <w:numPr>
          <w:ilvl w:val="0"/>
          <w:numId w:val="14"/>
        </w:numPr>
        <w:spacing w:after="0"/>
        <w:rPr>
          <w:sz w:val="22"/>
        </w:rPr>
      </w:pPr>
      <w:r>
        <w:rPr>
          <w:sz w:val="22"/>
        </w:rPr>
        <w:t>r</w:t>
      </w:r>
      <w:r w:rsidR="00542515">
        <w:rPr>
          <w:sz w:val="22"/>
        </w:rPr>
        <w:t xml:space="preserve">esources and support to tailor </w:t>
      </w:r>
      <w:r w:rsidR="008D05DA" w:rsidRPr="005634F1">
        <w:rPr>
          <w:sz w:val="22"/>
        </w:rPr>
        <w:t xml:space="preserve">whānau-centred services that focus on </w:t>
      </w:r>
      <w:r w:rsidR="00542515">
        <w:rPr>
          <w:sz w:val="22"/>
        </w:rPr>
        <w:t>addressing the whole</w:t>
      </w:r>
      <w:r w:rsidR="009A22D5">
        <w:rPr>
          <w:sz w:val="22"/>
        </w:rPr>
        <w:t>-</w:t>
      </w:r>
      <w:r w:rsidR="00542515">
        <w:rPr>
          <w:sz w:val="22"/>
        </w:rPr>
        <w:t>of</w:t>
      </w:r>
      <w:r w:rsidR="009A22D5">
        <w:rPr>
          <w:sz w:val="22"/>
        </w:rPr>
        <w:t>-</w:t>
      </w:r>
      <w:r w:rsidR="00542515">
        <w:rPr>
          <w:sz w:val="22"/>
        </w:rPr>
        <w:t>life issues and needs</w:t>
      </w:r>
    </w:p>
    <w:p w14:paraId="458EBE55" w14:textId="49A75BCA" w:rsidR="008D05DA" w:rsidRDefault="008D05DA" w:rsidP="00542515">
      <w:pPr>
        <w:pStyle w:val="ListParagraph"/>
        <w:numPr>
          <w:ilvl w:val="0"/>
          <w:numId w:val="14"/>
        </w:numPr>
        <w:spacing w:after="0"/>
        <w:rPr>
          <w:sz w:val="22"/>
        </w:rPr>
      </w:pPr>
      <w:r w:rsidRPr="005634F1">
        <w:rPr>
          <w:sz w:val="22"/>
        </w:rPr>
        <w:t xml:space="preserve">a move away from commissioning systems and funding formulas </w:t>
      </w:r>
      <w:r w:rsidR="00542515">
        <w:rPr>
          <w:sz w:val="22"/>
        </w:rPr>
        <w:t xml:space="preserve">that </w:t>
      </w:r>
      <w:r w:rsidRPr="005634F1">
        <w:rPr>
          <w:sz w:val="22"/>
        </w:rPr>
        <w:t>reinforce existing service patterns and are biased towards a Western medical world view</w:t>
      </w:r>
    </w:p>
    <w:p w14:paraId="347933D8" w14:textId="0345CA16" w:rsidR="00542515" w:rsidRPr="00542515" w:rsidRDefault="00542515" w:rsidP="00542515">
      <w:pPr>
        <w:pStyle w:val="ListParagraph"/>
        <w:numPr>
          <w:ilvl w:val="0"/>
          <w:numId w:val="14"/>
        </w:numPr>
        <w:spacing w:after="0"/>
        <w:rPr>
          <w:sz w:val="22"/>
        </w:rPr>
      </w:pPr>
      <w:r>
        <w:rPr>
          <w:sz w:val="22"/>
        </w:rPr>
        <w:t>Government commitment to collaborative and constructive actions, jointly owned by Māori and the Crown, to develop solutions that work for them.</w:t>
      </w:r>
    </w:p>
    <w:p w14:paraId="10288D5C" w14:textId="77777777" w:rsidR="008D05DA" w:rsidRPr="00DF68AD" w:rsidRDefault="008D05DA" w:rsidP="008D05DA">
      <w:pPr>
        <w:spacing w:after="0"/>
      </w:pPr>
    </w:p>
    <w:p w14:paraId="7EC3CB06" w14:textId="77777777" w:rsidR="008D05DA" w:rsidRPr="00DF68AD" w:rsidRDefault="008D05DA" w:rsidP="008D05DA">
      <w:pPr>
        <w:pStyle w:val="Heading4"/>
      </w:pPr>
      <w:r>
        <w:t>Suggested</w:t>
      </w:r>
      <w:r w:rsidRPr="00DF68AD">
        <w:t xml:space="preserve"> actions</w:t>
      </w:r>
    </w:p>
    <w:p w14:paraId="3850A5C2" w14:textId="4AB1B900" w:rsidR="008D05DA" w:rsidRPr="00B83DBA" w:rsidRDefault="008D05DA" w:rsidP="008D05DA">
      <w:pPr>
        <w:pStyle w:val="ListParagraph"/>
        <w:numPr>
          <w:ilvl w:val="0"/>
          <w:numId w:val="13"/>
        </w:numPr>
        <w:spacing w:after="0"/>
        <w:rPr>
          <w:sz w:val="22"/>
        </w:rPr>
      </w:pPr>
      <w:r w:rsidRPr="00B83DBA">
        <w:rPr>
          <w:sz w:val="22"/>
        </w:rPr>
        <w:t>Support the kaupapa Māori and whānau centred approaches proposed in other sector actions plans</w:t>
      </w:r>
      <w:r w:rsidR="00A06109">
        <w:rPr>
          <w:sz w:val="22"/>
        </w:rPr>
        <w:t>.</w:t>
      </w:r>
    </w:p>
    <w:p w14:paraId="08F3D1A1" w14:textId="59D10CE8" w:rsidR="008D05DA" w:rsidRDefault="00A06109" w:rsidP="008D05DA">
      <w:pPr>
        <w:pStyle w:val="ListParagraph"/>
        <w:numPr>
          <w:ilvl w:val="0"/>
          <w:numId w:val="13"/>
        </w:numPr>
        <w:spacing w:after="0"/>
        <w:rPr>
          <w:sz w:val="22"/>
        </w:rPr>
      </w:pPr>
      <w:r>
        <w:rPr>
          <w:sz w:val="22"/>
        </w:rPr>
        <w:lastRenderedPageBreak/>
        <w:t>C</w:t>
      </w:r>
      <w:r w:rsidR="008D05DA" w:rsidRPr="00B83DBA">
        <w:rPr>
          <w:sz w:val="22"/>
        </w:rPr>
        <w:t>ontinue to strengthen and promote successful kaupapa Māori services that are focused on achieving whānau ora through the Māori Health Development Scheme and Te Ao Auahatanga Hauora Māori</w:t>
      </w:r>
      <w:r>
        <w:rPr>
          <w:sz w:val="22"/>
        </w:rPr>
        <w:t>.</w:t>
      </w:r>
    </w:p>
    <w:p w14:paraId="0CBDD247" w14:textId="705D8442" w:rsidR="008D05DA" w:rsidRPr="00B83DBA" w:rsidRDefault="00A06109" w:rsidP="008D05DA">
      <w:pPr>
        <w:pStyle w:val="ListParagraph"/>
        <w:numPr>
          <w:ilvl w:val="0"/>
          <w:numId w:val="13"/>
        </w:numPr>
        <w:spacing w:after="0"/>
        <w:rPr>
          <w:sz w:val="22"/>
        </w:rPr>
      </w:pPr>
      <w:r>
        <w:rPr>
          <w:sz w:val="22"/>
        </w:rPr>
        <w:t>E</w:t>
      </w:r>
      <w:r w:rsidR="008D05DA" w:rsidRPr="00B83DBA">
        <w:rPr>
          <w:sz w:val="22"/>
        </w:rPr>
        <w:t>nsure that all health sector contracting documents incorporate references to the Treaty and health equity for Māori</w:t>
      </w:r>
      <w:r w:rsidR="0043158A">
        <w:rPr>
          <w:sz w:val="22"/>
        </w:rPr>
        <w:t xml:space="preserve"> (Wai 2575 finding)</w:t>
      </w:r>
      <w:r>
        <w:rPr>
          <w:sz w:val="22"/>
        </w:rPr>
        <w:t>.</w:t>
      </w:r>
    </w:p>
    <w:p w14:paraId="69389787" w14:textId="3D077C09" w:rsidR="008D05DA" w:rsidRPr="00B83DBA" w:rsidRDefault="00A06109" w:rsidP="008D05DA">
      <w:pPr>
        <w:pStyle w:val="ListParagraph"/>
        <w:numPr>
          <w:ilvl w:val="0"/>
          <w:numId w:val="13"/>
        </w:numPr>
        <w:spacing w:after="0"/>
        <w:rPr>
          <w:sz w:val="22"/>
        </w:rPr>
      </w:pPr>
      <w:r>
        <w:rPr>
          <w:sz w:val="22"/>
        </w:rPr>
        <w:t>D</w:t>
      </w:r>
      <w:r w:rsidR="008D05DA" w:rsidRPr="00B83DBA">
        <w:rPr>
          <w:sz w:val="22"/>
        </w:rPr>
        <w:t xml:space="preserve">evelop a fair methodology for assessing historical underfunding of Māori PHOs </w:t>
      </w:r>
      <w:r w:rsidR="008D05DA">
        <w:rPr>
          <w:sz w:val="22"/>
        </w:rPr>
        <w:t>(Wai 2575 finding)</w:t>
      </w:r>
      <w:r>
        <w:rPr>
          <w:sz w:val="22"/>
        </w:rPr>
        <w:t>.</w:t>
      </w:r>
    </w:p>
    <w:p w14:paraId="3B19F68D" w14:textId="01C49500" w:rsidR="008D05DA" w:rsidRDefault="00A06109" w:rsidP="008D05DA">
      <w:pPr>
        <w:pStyle w:val="ListParagraph"/>
        <w:numPr>
          <w:ilvl w:val="0"/>
          <w:numId w:val="13"/>
        </w:numPr>
        <w:spacing w:after="0"/>
        <w:rPr>
          <w:sz w:val="22"/>
        </w:rPr>
      </w:pPr>
      <w:r>
        <w:rPr>
          <w:sz w:val="22"/>
        </w:rPr>
        <w:t>C</w:t>
      </w:r>
      <w:r w:rsidR="008D05DA" w:rsidRPr="00B83DBA">
        <w:rPr>
          <w:sz w:val="22"/>
        </w:rPr>
        <w:t>ommissioning organisations to adopt fair and sustainable approaches to contracting for kaupapa Māori and whānau-centred / whānau ora services</w:t>
      </w:r>
      <w:r w:rsidR="008D05DA">
        <w:rPr>
          <w:sz w:val="22"/>
        </w:rPr>
        <w:t>.</w:t>
      </w:r>
    </w:p>
    <w:p w14:paraId="6E145743" w14:textId="77777777" w:rsidR="008D05DA" w:rsidRPr="00B83DBA" w:rsidRDefault="008D05DA" w:rsidP="008D05DA">
      <w:pPr>
        <w:spacing w:after="0"/>
      </w:pPr>
    </w:p>
    <w:p w14:paraId="1D648F97" w14:textId="77777777" w:rsidR="008D05DA" w:rsidRPr="00DF68AD" w:rsidRDefault="008D05DA" w:rsidP="008D05DA">
      <w:pPr>
        <w:pStyle w:val="Heading4"/>
      </w:pPr>
      <w:r>
        <w:t>Suggest</w:t>
      </w:r>
      <w:r w:rsidRPr="00DF68AD">
        <w:t xml:space="preserve">ed measures </w:t>
      </w:r>
    </w:p>
    <w:p w14:paraId="35E55D36" w14:textId="6D94DAC4" w:rsidR="008D05DA" w:rsidRPr="00B83DBA" w:rsidRDefault="008D05DA" w:rsidP="008D05DA">
      <w:pPr>
        <w:pStyle w:val="ListParagraph"/>
        <w:numPr>
          <w:ilvl w:val="0"/>
          <w:numId w:val="13"/>
        </w:numPr>
        <w:spacing w:after="0"/>
        <w:rPr>
          <w:sz w:val="22"/>
        </w:rPr>
      </w:pPr>
      <w:r w:rsidRPr="00B83DBA">
        <w:rPr>
          <w:sz w:val="22"/>
        </w:rPr>
        <w:t>Availability and type of kaupapa Māori and whānau centred services</w:t>
      </w:r>
      <w:r w:rsidR="00A06109">
        <w:rPr>
          <w:sz w:val="22"/>
        </w:rPr>
        <w:t>.</w:t>
      </w:r>
    </w:p>
    <w:p w14:paraId="3B35B3CA" w14:textId="31225B30" w:rsidR="008D05DA" w:rsidRPr="00B83DBA" w:rsidRDefault="00A06109" w:rsidP="008D05DA">
      <w:pPr>
        <w:pStyle w:val="ListParagraph"/>
        <w:numPr>
          <w:ilvl w:val="0"/>
          <w:numId w:val="13"/>
        </w:numPr>
        <w:spacing w:after="0"/>
        <w:rPr>
          <w:sz w:val="22"/>
        </w:rPr>
      </w:pPr>
      <w:r>
        <w:rPr>
          <w:sz w:val="22"/>
        </w:rPr>
        <w:t>N</w:t>
      </w:r>
      <w:r w:rsidR="008D05DA" w:rsidRPr="00B83DBA">
        <w:rPr>
          <w:sz w:val="22"/>
        </w:rPr>
        <w:t>umber of Māori utilising kaupapa Māori and whānau centred / whānau ora services</w:t>
      </w:r>
      <w:r>
        <w:rPr>
          <w:sz w:val="22"/>
        </w:rPr>
        <w:t>.</w:t>
      </w:r>
    </w:p>
    <w:p w14:paraId="163F17B0" w14:textId="02240F39" w:rsidR="008D05DA" w:rsidRDefault="008D05DA" w:rsidP="008D05DA">
      <w:pPr>
        <w:pStyle w:val="ListParagraph"/>
        <w:numPr>
          <w:ilvl w:val="0"/>
          <w:numId w:val="13"/>
        </w:numPr>
        <w:spacing w:after="0"/>
        <w:rPr>
          <w:sz w:val="22"/>
        </w:rPr>
      </w:pPr>
      <w:r>
        <w:rPr>
          <w:sz w:val="22"/>
        </w:rPr>
        <w:t>(</w:t>
      </w:r>
      <w:r w:rsidR="00A06109">
        <w:rPr>
          <w:sz w:val="22"/>
        </w:rPr>
        <w:t>O</w:t>
      </w:r>
      <w:r>
        <w:rPr>
          <w:sz w:val="22"/>
        </w:rPr>
        <w:t>thers to be determined)</w:t>
      </w:r>
      <w:r w:rsidR="00A06109">
        <w:rPr>
          <w:sz w:val="22"/>
        </w:rPr>
        <w:t>.</w:t>
      </w:r>
    </w:p>
    <w:p w14:paraId="0D7C8379" w14:textId="77777777" w:rsidR="008D05DA" w:rsidRPr="00B83DBA" w:rsidRDefault="008D05DA" w:rsidP="008D05DA">
      <w:pPr>
        <w:spacing w:after="0"/>
      </w:pPr>
    </w:p>
    <w:p w14:paraId="3E690E2C" w14:textId="41CCEC86" w:rsidR="00B83DBA" w:rsidRDefault="00372E6C" w:rsidP="00B83DBA">
      <w:pPr>
        <w:pStyle w:val="Heading2"/>
        <w:pageBreakBefore/>
      </w:pPr>
      <w:bookmarkStart w:id="15" w:name="_Toc17195718"/>
      <w:r w:rsidRPr="00372E6C">
        <w:lastRenderedPageBreak/>
        <w:t xml:space="preserve">Priority </w:t>
      </w:r>
      <w:r w:rsidR="00495F89">
        <w:t>a</w:t>
      </w:r>
      <w:r w:rsidRPr="00372E6C">
        <w:t xml:space="preserve">rea </w:t>
      </w:r>
      <w:r>
        <w:t>t</w:t>
      </w:r>
      <w:r w:rsidR="00495F89">
        <w:t>hree</w:t>
      </w:r>
      <w:r>
        <w:t xml:space="preserve">: </w:t>
      </w:r>
      <w:r w:rsidR="00B83DBA">
        <w:t xml:space="preserve">Māori </w:t>
      </w:r>
      <w:r w:rsidR="0043158A">
        <w:t>l</w:t>
      </w:r>
      <w:r w:rsidR="004B271D">
        <w:t>eadership</w:t>
      </w:r>
      <w:bookmarkEnd w:id="15"/>
    </w:p>
    <w:p w14:paraId="3ECC77A1" w14:textId="5025AD4F" w:rsidR="00D64CE4" w:rsidRPr="00267A40" w:rsidRDefault="00B83DBA" w:rsidP="00D64CE4">
      <w:pPr>
        <w:pStyle w:val="Heading4"/>
      </w:pPr>
      <w:r>
        <w:t>Objective</w:t>
      </w:r>
    </w:p>
    <w:p w14:paraId="451635DA" w14:textId="3EB0EAE3" w:rsidR="00D64CE4" w:rsidRDefault="00B83DBA" w:rsidP="00B83DBA">
      <w:pPr>
        <w:spacing w:after="0"/>
      </w:pPr>
      <w:r w:rsidRPr="00B83DBA">
        <w:t>Increase Māori representation in decision</w:t>
      </w:r>
      <w:r w:rsidR="009A22D5">
        <w:t>-</w:t>
      </w:r>
      <w:r w:rsidRPr="00B83DBA">
        <w:t>making throughout the health and disability system’s leadership and governance arrangements</w:t>
      </w:r>
      <w:r>
        <w:t>.</w:t>
      </w:r>
    </w:p>
    <w:p w14:paraId="50707132" w14:textId="77777777" w:rsidR="00256231" w:rsidRDefault="00256231" w:rsidP="00B83DBA">
      <w:pPr>
        <w:spacing w:after="0"/>
      </w:pPr>
    </w:p>
    <w:p w14:paraId="292F6163" w14:textId="77777777" w:rsidR="00495F89" w:rsidRDefault="00495F89" w:rsidP="007C3DF0">
      <w:pPr>
        <w:pStyle w:val="Heading4"/>
      </w:pPr>
      <w:r w:rsidRPr="00267A40">
        <w:t>Rationale</w:t>
      </w:r>
    </w:p>
    <w:p w14:paraId="3700D5FF" w14:textId="77777777" w:rsidR="004B271D" w:rsidRDefault="00E20F35" w:rsidP="00FB2F11">
      <w:pPr>
        <w:spacing w:after="0"/>
      </w:pPr>
      <w:r>
        <w:t xml:space="preserve">Delivering system change will require strong sector leadership. </w:t>
      </w:r>
      <w:r w:rsidR="004B271D">
        <w:t xml:space="preserve">It is imperative that our governance and leadership arrangements support change while also providing a high level of transparency and accountability. </w:t>
      </w:r>
    </w:p>
    <w:p w14:paraId="470E5CD9" w14:textId="77777777" w:rsidR="004B271D" w:rsidRDefault="004B271D" w:rsidP="00FB2F11">
      <w:pPr>
        <w:spacing w:after="0"/>
      </w:pPr>
    </w:p>
    <w:p w14:paraId="22B858E6" w14:textId="5AEB0B72" w:rsidR="00FB2F11" w:rsidRDefault="00FB2F11" w:rsidP="00FB2F11">
      <w:pPr>
        <w:spacing w:after="0"/>
      </w:pPr>
      <w:r>
        <w:t>Research indicates when indigenous peoples make their own decisions, they consistently out-perform external decision makers on matters as diverse as natural resource management, economic development, healthcare, and social service provision</w:t>
      </w:r>
      <w:r w:rsidR="00A668F0">
        <w:t xml:space="preserve"> (</w:t>
      </w:r>
      <w:r w:rsidR="00A668F0" w:rsidRPr="00A668F0">
        <w:t>Cornell</w:t>
      </w:r>
      <w:r w:rsidR="00A668F0">
        <w:t xml:space="preserve"> and</w:t>
      </w:r>
      <w:r w:rsidR="00A668F0" w:rsidRPr="00A668F0">
        <w:t xml:space="preserve"> </w:t>
      </w:r>
      <w:proofErr w:type="spellStart"/>
      <w:r w:rsidR="00A668F0" w:rsidRPr="00A668F0">
        <w:t>Kalt</w:t>
      </w:r>
      <w:proofErr w:type="spellEnd"/>
      <w:r w:rsidR="00A668F0" w:rsidRPr="00A668F0">
        <w:t xml:space="preserve"> 1998)</w:t>
      </w:r>
      <w:r w:rsidR="009A22D5">
        <w:t>.</w:t>
      </w:r>
    </w:p>
    <w:p w14:paraId="19300096" w14:textId="77777777" w:rsidR="00FB2F11" w:rsidRDefault="00FB2F11" w:rsidP="00B83DBA">
      <w:pPr>
        <w:spacing w:after="0"/>
      </w:pPr>
    </w:p>
    <w:p w14:paraId="19B7CC83" w14:textId="10091E3E" w:rsidR="00495F89" w:rsidRDefault="00DA1FA2" w:rsidP="00B83DBA">
      <w:pPr>
        <w:spacing w:after="0"/>
      </w:pPr>
      <w:r>
        <w:t>While Māori participation in the health and disability sector has increased significantly, there is an ongoing need to ensure Māori are, and remain</w:t>
      </w:r>
      <w:r w:rsidR="009A22D5">
        <w:t>,</w:t>
      </w:r>
      <w:r>
        <w:t xml:space="preserve"> </w:t>
      </w:r>
      <w:r w:rsidR="004B271D">
        <w:t xml:space="preserve">well </w:t>
      </w:r>
      <w:r w:rsidR="00E85339">
        <w:t>re</w:t>
      </w:r>
      <w:r w:rsidR="004B271D">
        <w:t>presented i</w:t>
      </w:r>
      <w:r>
        <w:t xml:space="preserve">n key leadership and strategic decision-making roles. </w:t>
      </w:r>
      <w:r w:rsidR="009A22D5">
        <w:t>A</w:t>
      </w:r>
      <w:r>
        <w:t>chiev</w:t>
      </w:r>
      <w:r w:rsidR="009A22D5">
        <w:t>ing</w:t>
      </w:r>
      <w:r>
        <w:t xml:space="preserve"> this requires Māori participating meaningfully and effectively in decision making fora – </w:t>
      </w:r>
      <w:r w:rsidR="00A06109">
        <w:t xml:space="preserve">for example, </w:t>
      </w:r>
      <w:r>
        <w:t xml:space="preserve">as members of a DHB board or as participants on other statutory or advisory committees. </w:t>
      </w:r>
      <w:r w:rsidR="00495F89">
        <w:t xml:space="preserve">The </w:t>
      </w:r>
      <w:r w:rsidR="00A06109">
        <w:t xml:space="preserve">New Zealand Public Health and Disability </w:t>
      </w:r>
      <w:r w:rsidR="00495F89">
        <w:t xml:space="preserve">Act </w:t>
      </w:r>
      <w:r w:rsidR="00A06109">
        <w:t xml:space="preserve">2000 (the Act) </w:t>
      </w:r>
      <w:r w:rsidR="00495F89">
        <w:t>stipulates a desire to have greater participation by Māori in the health and disability sector with a view to improving Māori health outcomes</w:t>
      </w:r>
      <w:r w:rsidR="00281A2B">
        <w:t xml:space="preserve"> </w:t>
      </w:r>
      <w:r w:rsidR="00495F89">
        <w:t>and reducing health disparities between Māori and other population groups.</w:t>
      </w:r>
    </w:p>
    <w:p w14:paraId="461AEBC9" w14:textId="77777777" w:rsidR="00B83DBA" w:rsidRDefault="00B83DBA" w:rsidP="00B83DBA">
      <w:pPr>
        <w:spacing w:after="0"/>
      </w:pPr>
    </w:p>
    <w:p w14:paraId="3B2D843F" w14:textId="4FC2BBDF" w:rsidR="00495F89" w:rsidRDefault="00495F89" w:rsidP="00B83DBA">
      <w:pPr>
        <w:spacing w:after="0"/>
      </w:pPr>
      <w:r>
        <w:t>The Act also states that DHBs should endeavour to ensure Māori membership of a DHB</w:t>
      </w:r>
      <w:r w:rsidRPr="00430ACC">
        <w:t xml:space="preserve"> board is proportional to the number of Māori in the DHB</w:t>
      </w:r>
      <w:r>
        <w:t>’s</w:t>
      </w:r>
      <w:r w:rsidRPr="00430ACC">
        <w:t xml:space="preserve"> resident population and, in</w:t>
      </w:r>
      <w:r>
        <w:t xml:space="preserve"> any event, ensure there are at least two</w:t>
      </w:r>
      <w:r w:rsidRPr="00430ACC">
        <w:t xml:space="preserve"> Māori members of the board.</w:t>
      </w:r>
      <w:r>
        <w:t xml:space="preserve"> Having proportional representation on DHB boards </w:t>
      </w:r>
      <w:r w:rsidR="004B271D">
        <w:t xml:space="preserve">contributes to </w:t>
      </w:r>
      <w:r>
        <w:t>DHB</w:t>
      </w:r>
      <w:r w:rsidR="004B271D">
        <w:t>s</w:t>
      </w:r>
      <w:r w:rsidR="009A22D5">
        <w:t>’</w:t>
      </w:r>
      <w:r w:rsidR="004B271D">
        <w:t xml:space="preserve"> ability to </w:t>
      </w:r>
      <w:r>
        <w:t>adequately respond to the health needs of the</w:t>
      </w:r>
      <w:r w:rsidR="004B271D">
        <w:t>ir regions</w:t>
      </w:r>
      <w:r w:rsidR="009A22D5">
        <w:t>’</w:t>
      </w:r>
      <w:r>
        <w:t xml:space="preserve"> Māori population. </w:t>
      </w:r>
    </w:p>
    <w:p w14:paraId="18B19650" w14:textId="77777777" w:rsidR="00B83DBA" w:rsidRDefault="00B83DBA" w:rsidP="00B83DBA">
      <w:pPr>
        <w:spacing w:after="0"/>
      </w:pPr>
    </w:p>
    <w:p w14:paraId="0A73E71F" w14:textId="65C8566C" w:rsidR="00B83DBA" w:rsidRDefault="004B271D" w:rsidP="00B83DBA">
      <w:pPr>
        <w:spacing w:after="0"/>
      </w:pPr>
      <w:r>
        <w:t>These arrangements require adequate support and investment to be successful</w:t>
      </w:r>
      <w:r w:rsidR="00E85339">
        <w:t xml:space="preserve"> </w:t>
      </w:r>
      <w:r w:rsidR="009C4C27">
        <w:t>and increas</w:t>
      </w:r>
      <w:r w:rsidR="009A22D5">
        <w:t>e</w:t>
      </w:r>
      <w:r w:rsidR="0082722B">
        <w:t xml:space="preserve"> capacity </w:t>
      </w:r>
      <w:r>
        <w:t>of M</w:t>
      </w:r>
      <w:r w:rsidR="00E85339">
        <w:t>ā</w:t>
      </w:r>
      <w:r>
        <w:t>ori to take up leadership roles</w:t>
      </w:r>
      <w:r w:rsidR="009A22D5">
        <w:t xml:space="preserve"> while </w:t>
      </w:r>
      <w:r>
        <w:t>support</w:t>
      </w:r>
      <w:r w:rsidR="009A22D5">
        <w:t>ing</w:t>
      </w:r>
      <w:r w:rsidR="00E85339">
        <w:t xml:space="preserve"> </w:t>
      </w:r>
      <w:r w:rsidR="0082722B">
        <w:t>capability</w:t>
      </w:r>
      <w:r>
        <w:t xml:space="preserve"> building.</w:t>
      </w:r>
    </w:p>
    <w:p w14:paraId="2447ED5E" w14:textId="77777777" w:rsidR="00B83DBA" w:rsidRDefault="00B83DBA" w:rsidP="00B83DBA">
      <w:pPr>
        <w:spacing w:after="0"/>
      </w:pPr>
    </w:p>
    <w:p w14:paraId="47B8ECD7" w14:textId="77777777" w:rsidR="00495F89" w:rsidRPr="00267A40" w:rsidRDefault="00495F89" w:rsidP="007C3DF0">
      <w:pPr>
        <w:pStyle w:val="Heading4"/>
      </w:pPr>
      <w:r w:rsidRPr="00267A40">
        <w:t xml:space="preserve">Suggested actions </w:t>
      </w:r>
    </w:p>
    <w:p w14:paraId="0F00AC8F" w14:textId="32DC6D64" w:rsidR="00B83DBA" w:rsidRPr="00B83DBA" w:rsidRDefault="00B83DBA" w:rsidP="005E61C4">
      <w:pPr>
        <w:pStyle w:val="ListParagraph"/>
        <w:numPr>
          <w:ilvl w:val="0"/>
          <w:numId w:val="13"/>
        </w:numPr>
        <w:spacing w:after="0"/>
        <w:rPr>
          <w:sz w:val="22"/>
        </w:rPr>
      </w:pPr>
      <w:r w:rsidRPr="00B83DBA">
        <w:rPr>
          <w:sz w:val="22"/>
        </w:rPr>
        <w:t xml:space="preserve">Monitor and report on Māori representation on DHB boards and committees </w:t>
      </w:r>
      <w:r w:rsidR="009A22D5">
        <w:rPr>
          <w:sz w:val="22"/>
        </w:rPr>
        <w:t xml:space="preserve">as </w:t>
      </w:r>
      <w:r w:rsidRPr="00B83DBA">
        <w:rPr>
          <w:sz w:val="22"/>
        </w:rPr>
        <w:t>mandated under the Act</w:t>
      </w:r>
      <w:r w:rsidR="00A06109">
        <w:rPr>
          <w:sz w:val="22"/>
        </w:rPr>
        <w:t>.</w:t>
      </w:r>
    </w:p>
    <w:p w14:paraId="27E89123" w14:textId="2FB9EE21" w:rsidR="00B83DBA" w:rsidRPr="00B83DBA" w:rsidRDefault="00A06109" w:rsidP="005E61C4">
      <w:pPr>
        <w:pStyle w:val="ListParagraph"/>
        <w:numPr>
          <w:ilvl w:val="0"/>
          <w:numId w:val="13"/>
        </w:numPr>
        <w:spacing w:after="0"/>
        <w:rPr>
          <w:sz w:val="22"/>
        </w:rPr>
      </w:pPr>
      <w:r>
        <w:rPr>
          <w:sz w:val="22"/>
        </w:rPr>
        <w:t>D</w:t>
      </w:r>
      <w:r w:rsidR="00B83DBA" w:rsidRPr="00B83DBA">
        <w:rPr>
          <w:sz w:val="22"/>
        </w:rPr>
        <w:t>evelop a method for monitoring Māori representation on PHO boards and amongst PHO chief executives</w:t>
      </w:r>
      <w:r>
        <w:rPr>
          <w:sz w:val="22"/>
        </w:rPr>
        <w:t>.</w:t>
      </w:r>
    </w:p>
    <w:p w14:paraId="6C84F815" w14:textId="7701A988" w:rsidR="00A01DDC" w:rsidRDefault="00A06109" w:rsidP="005E61C4">
      <w:pPr>
        <w:pStyle w:val="ListParagraph"/>
        <w:numPr>
          <w:ilvl w:val="0"/>
          <w:numId w:val="13"/>
        </w:numPr>
        <w:spacing w:after="0"/>
        <w:rPr>
          <w:sz w:val="22"/>
        </w:rPr>
      </w:pPr>
      <w:r>
        <w:rPr>
          <w:sz w:val="22"/>
        </w:rPr>
        <w:t>I</w:t>
      </w:r>
      <w:r w:rsidR="00B83DBA" w:rsidRPr="00B83DBA">
        <w:rPr>
          <w:sz w:val="22"/>
        </w:rPr>
        <w:t>nvest in building Māori leadership and governance capability and capacity</w:t>
      </w:r>
      <w:r>
        <w:rPr>
          <w:sz w:val="22"/>
        </w:rPr>
        <w:t>.</w:t>
      </w:r>
    </w:p>
    <w:p w14:paraId="274AC3FA" w14:textId="77777777" w:rsidR="00A01DDC" w:rsidRDefault="00A01DDC" w:rsidP="00A01DDC">
      <w:pPr>
        <w:spacing w:after="0"/>
      </w:pPr>
    </w:p>
    <w:p w14:paraId="3DB60A72" w14:textId="0E7E8897" w:rsidR="00495F89" w:rsidRPr="00A01DDC" w:rsidRDefault="00495F89" w:rsidP="00A01DDC">
      <w:pPr>
        <w:pStyle w:val="Heading4"/>
      </w:pPr>
      <w:r w:rsidRPr="00A01DDC">
        <w:lastRenderedPageBreak/>
        <w:t>Suggested measures</w:t>
      </w:r>
    </w:p>
    <w:p w14:paraId="1CB88A5C" w14:textId="4C090CBE" w:rsidR="00A01DDC" w:rsidRPr="00A01DDC" w:rsidRDefault="00A01DDC" w:rsidP="005E61C4">
      <w:pPr>
        <w:pStyle w:val="ListParagraph"/>
        <w:numPr>
          <w:ilvl w:val="0"/>
          <w:numId w:val="13"/>
        </w:numPr>
        <w:spacing w:after="0"/>
        <w:rPr>
          <w:sz w:val="22"/>
        </w:rPr>
      </w:pPr>
      <w:r w:rsidRPr="00A01DDC">
        <w:rPr>
          <w:sz w:val="22"/>
        </w:rPr>
        <w:t>Percentage of Māori DHB board members compared to the district’s population</w:t>
      </w:r>
      <w:r w:rsidR="00A06109">
        <w:rPr>
          <w:sz w:val="22"/>
        </w:rPr>
        <w:t>.</w:t>
      </w:r>
    </w:p>
    <w:p w14:paraId="6EA0A6D6" w14:textId="275A3DFE" w:rsidR="00A01DDC" w:rsidRPr="00A01DDC" w:rsidRDefault="00A06109" w:rsidP="005E61C4">
      <w:pPr>
        <w:pStyle w:val="ListParagraph"/>
        <w:numPr>
          <w:ilvl w:val="0"/>
          <w:numId w:val="13"/>
        </w:numPr>
        <w:spacing w:after="0"/>
        <w:rPr>
          <w:sz w:val="22"/>
        </w:rPr>
      </w:pPr>
      <w:r>
        <w:rPr>
          <w:sz w:val="22"/>
        </w:rPr>
        <w:t>P</w:t>
      </w:r>
      <w:r w:rsidR="00A01DDC" w:rsidRPr="00A01DDC">
        <w:rPr>
          <w:sz w:val="22"/>
        </w:rPr>
        <w:t>ercentage of Māori board members on PHO boards compared to the district’s population</w:t>
      </w:r>
      <w:r>
        <w:rPr>
          <w:sz w:val="22"/>
        </w:rPr>
        <w:t>.</w:t>
      </w:r>
    </w:p>
    <w:p w14:paraId="64C0CE68" w14:textId="61702C24" w:rsidR="00A01DDC" w:rsidRDefault="00A01DDC" w:rsidP="005E61C4">
      <w:pPr>
        <w:pStyle w:val="ListParagraph"/>
        <w:numPr>
          <w:ilvl w:val="0"/>
          <w:numId w:val="13"/>
        </w:numPr>
        <w:spacing w:after="0"/>
        <w:rPr>
          <w:sz w:val="22"/>
        </w:rPr>
      </w:pPr>
      <w:r>
        <w:rPr>
          <w:sz w:val="22"/>
        </w:rPr>
        <w:t>(</w:t>
      </w:r>
      <w:r w:rsidR="00A06109">
        <w:rPr>
          <w:sz w:val="22"/>
        </w:rPr>
        <w:t>O</w:t>
      </w:r>
      <w:r>
        <w:rPr>
          <w:sz w:val="22"/>
        </w:rPr>
        <w:t>thers to be determined).</w:t>
      </w:r>
    </w:p>
    <w:p w14:paraId="5BB81BAE" w14:textId="08580213" w:rsidR="00495F89" w:rsidRPr="00A01DDC" w:rsidRDefault="00495F89" w:rsidP="00A01DDC">
      <w:pPr>
        <w:jc w:val="both"/>
      </w:pPr>
    </w:p>
    <w:p w14:paraId="6163B886" w14:textId="68DF39CF" w:rsidR="00A01DDC" w:rsidRDefault="00495F89" w:rsidP="00A01DDC">
      <w:pPr>
        <w:pStyle w:val="Heading2"/>
        <w:pageBreakBefore/>
      </w:pPr>
      <w:bookmarkStart w:id="16" w:name="_Toc17195719"/>
      <w:r>
        <w:lastRenderedPageBreak/>
        <w:t xml:space="preserve">Priority area four: </w:t>
      </w:r>
      <w:r w:rsidR="004B271D">
        <w:t>Accountability frameworks</w:t>
      </w:r>
      <w:bookmarkEnd w:id="16"/>
    </w:p>
    <w:p w14:paraId="1B9D936E" w14:textId="12002EE7" w:rsidR="00D64CE4" w:rsidRDefault="00A01DDC" w:rsidP="00D64CE4">
      <w:pPr>
        <w:pStyle w:val="Heading4"/>
        <w:jc w:val="both"/>
      </w:pPr>
      <w:r>
        <w:t>Objective</w:t>
      </w:r>
    </w:p>
    <w:p w14:paraId="659D975C" w14:textId="4D5D7563" w:rsidR="00A01DDC" w:rsidRDefault="00A06109" w:rsidP="00A01DDC">
      <w:pPr>
        <w:spacing w:after="0"/>
      </w:pPr>
      <w:r w:rsidRPr="00A06109">
        <w:t>Strengthen expectations for DHBs, PHOs and health and disability Crown entities to meet their obligations under Te Tiriti o Waitangi and account for Māori health equity</w:t>
      </w:r>
      <w:r>
        <w:t>.</w:t>
      </w:r>
    </w:p>
    <w:p w14:paraId="6E9AC5C8" w14:textId="77777777" w:rsidR="00A06109" w:rsidRDefault="00A06109" w:rsidP="00A01DDC">
      <w:pPr>
        <w:spacing w:after="0"/>
      </w:pPr>
    </w:p>
    <w:p w14:paraId="572D5288" w14:textId="77777777" w:rsidR="00495F89" w:rsidRDefault="00495F89" w:rsidP="00495F89">
      <w:pPr>
        <w:pStyle w:val="Heading4"/>
        <w:jc w:val="both"/>
      </w:pPr>
      <w:r>
        <w:t>Rationale</w:t>
      </w:r>
    </w:p>
    <w:p w14:paraId="77C8C10E" w14:textId="5646C537" w:rsidR="00B217A5" w:rsidRDefault="00B217A5" w:rsidP="00A01DDC">
      <w:pPr>
        <w:spacing w:after="0"/>
      </w:pPr>
      <w:r>
        <w:t xml:space="preserve">The New Zealand Public Health and Disability Act 2000 (the Act) sets out the objectives of District Health Boards (DHBs), one of which is to </w:t>
      </w:r>
      <w:r w:rsidRPr="00665F89">
        <w:t>reduc</w:t>
      </w:r>
      <w:r>
        <w:t>e</w:t>
      </w:r>
      <w:r w:rsidRPr="00665F89">
        <w:t xml:space="preserve"> health disparities by improving health outcomes for Māori and other population groups</w:t>
      </w:r>
      <w:r>
        <w:t xml:space="preserve">.  It also sets out DHBs’ obligations under the Treaty of Waitangi. DHBs </w:t>
      </w:r>
      <w:r w:rsidR="00281A2B">
        <w:t>need</w:t>
      </w:r>
      <w:r>
        <w:t xml:space="preserve"> to</w:t>
      </w:r>
      <w:r w:rsidRPr="000A1F3F">
        <w:t xml:space="preserve"> consider He Korowai Oranga in their planning, </w:t>
      </w:r>
      <w:r>
        <w:t xml:space="preserve">to </w:t>
      </w:r>
      <w:r w:rsidRPr="000A1F3F">
        <w:t>meet their statutory objectives and functions for Māori health.</w:t>
      </w:r>
    </w:p>
    <w:p w14:paraId="1BF32B34" w14:textId="77777777" w:rsidR="00A01DDC" w:rsidRPr="00B217A5" w:rsidRDefault="00A01DDC" w:rsidP="00A01DDC">
      <w:pPr>
        <w:spacing w:after="0"/>
      </w:pPr>
    </w:p>
    <w:p w14:paraId="39543BBD" w14:textId="156D2B90" w:rsidR="00495F89" w:rsidRDefault="00495F89" w:rsidP="00A01DDC">
      <w:pPr>
        <w:spacing w:after="0"/>
      </w:pPr>
      <w:r w:rsidRPr="00C75185">
        <w:t xml:space="preserve">Health and wellness exist in a complex system. To a certain extent, they depend on factors a health and disability system </w:t>
      </w:r>
      <w:r w:rsidR="00281A2B" w:rsidRPr="00C75185">
        <w:t>can</w:t>
      </w:r>
      <w:r w:rsidRPr="00C75185">
        <w:t xml:space="preserve"> control, but they are also impacted by the various social, economic and behavioural determinants of health.</w:t>
      </w:r>
      <w:r>
        <w:t xml:space="preserve"> </w:t>
      </w:r>
      <w:r w:rsidRPr="00C75185">
        <w:t xml:space="preserve">In the almost two decades since </w:t>
      </w:r>
      <w:r>
        <w:t xml:space="preserve">the Act </w:t>
      </w:r>
      <w:r w:rsidRPr="00C75185">
        <w:t xml:space="preserve">explicitly made removing inequalities an objective of </w:t>
      </w:r>
      <w:r>
        <w:t>DHBs</w:t>
      </w:r>
      <w:r w:rsidR="009A22D5">
        <w:t>,</w:t>
      </w:r>
      <w:r w:rsidRPr="00C75185">
        <w:t xml:space="preserve"> we have made some progress</w:t>
      </w:r>
      <w:r>
        <w:t xml:space="preserve"> </w:t>
      </w:r>
      <w:r w:rsidRPr="00C75185">
        <w:t xml:space="preserve">but there is still much to do. </w:t>
      </w:r>
      <w:r w:rsidRPr="00A01DDC">
        <w:t>Māori health status remains unequal with non-Māori across almost all chronic and infectious diseases as well as injuries</w:t>
      </w:r>
      <w:r w:rsidR="004F6B9D">
        <w:t xml:space="preserve"> (Ministry of Health 2015)</w:t>
      </w:r>
      <w:r w:rsidRPr="00A01DDC">
        <w:t>.</w:t>
      </w:r>
    </w:p>
    <w:p w14:paraId="1D1EB78B" w14:textId="77777777" w:rsidR="00A01DDC" w:rsidRPr="00A01DDC" w:rsidRDefault="00A01DDC" w:rsidP="00A01DDC">
      <w:pPr>
        <w:spacing w:after="0"/>
      </w:pPr>
    </w:p>
    <w:p w14:paraId="6F848F82" w14:textId="3BD131A1" w:rsidR="00495F89" w:rsidRDefault="00281A2B" w:rsidP="00A01DDC">
      <w:pPr>
        <w:spacing w:after="0"/>
      </w:pPr>
      <w:r w:rsidRPr="00D602DE">
        <w:t>Despite</w:t>
      </w:r>
      <w:r w:rsidR="00495F89" w:rsidRPr="00D602DE">
        <w:t xml:space="preserve"> greater Crown awareness of Māori health issues in more recent years, </w:t>
      </w:r>
      <w:r w:rsidRPr="00D602DE">
        <w:t>several</w:t>
      </w:r>
      <w:r w:rsidR="00495F89" w:rsidRPr="00D602DE">
        <w:t xml:space="preserve"> Tribunals have also continued to note the continuing poor health outcomes for Māori into recent times and the persistent disparities between Māori and non-Māori, which the Tribunal Ko Aotearoa </w:t>
      </w:r>
      <w:proofErr w:type="spellStart"/>
      <w:r w:rsidR="00495F89" w:rsidRPr="00D602DE">
        <w:t>Tenei</w:t>
      </w:r>
      <w:proofErr w:type="spellEnd"/>
      <w:r w:rsidR="00495F89" w:rsidRPr="00D602DE">
        <w:t xml:space="preserve"> report described as a ‘modern Māori health crisis’. The Tauranga Moana Tribunal also found that persistent disparity between Māori and non-Māori health outcomes ‘indicates a failure of active protection by the Crown’ and this failure was a breach of the principle of active protection’</w:t>
      </w:r>
      <w:r w:rsidR="004F6B9D" w:rsidRPr="00D602DE">
        <w:t xml:space="preserve"> (</w:t>
      </w:r>
      <w:r w:rsidR="00D602DE" w:rsidRPr="00D602DE">
        <w:t>Crocker 2018</w:t>
      </w:r>
      <w:r w:rsidR="004F6B9D" w:rsidRPr="00D602DE">
        <w:t>)</w:t>
      </w:r>
      <w:r w:rsidR="00D602DE">
        <w:t>.</w:t>
      </w:r>
    </w:p>
    <w:p w14:paraId="002E4097" w14:textId="0970A32C" w:rsidR="008011D3" w:rsidRDefault="008011D3" w:rsidP="00A01DDC">
      <w:pPr>
        <w:spacing w:after="0"/>
      </w:pPr>
    </w:p>
    <w:p w14:paraId="7D901499" w14:textId="2CAB77B0" w:rsidR="00A01DDC" w:rsidRDefault="008011D3" w:rsidP="00A01DDC">
      <w:pPr>
        <w:spacing w:after="0"/>
      </w:pPr>
      <w:r>
        <w:t>Accountability and monitoring levers wi</w:t>
      </w:r>
      <w:r w:rsidR="00440BF1">
        <w:t xml:space="preserve">thin </w:t>
      </w:r>
      <w:r w:rsidR="009A22D5">
        <w:t xml:space="preserve">the </w:t>
      </w:r>
      <w:r>
        <w:t xml:space="preserve">health and disability system are key to achieving health equity for </w:t>
      </w:r>
      <w:r w:rsidR="0065115B">
        <w:t>Māori</w:t>
      </w:r>
      <w:r w:rsidR="00440BF1">
        <w:t xml:space="preserve">, and equity needs to be </w:t>
      </w:r>
      <w:r w:rsidR="00CA63D0">
        <w:t>embedded in</w:t>
      </w:r>
      <w:r w:rsidR="00440BF1">
        <w:t xml:space="preserve"> all aspects of the system</w:t>
      </w:r>
      <w:r w:rsidR="009A22D5">
        <w:t>’</w:t>
      </w:r>
      <w:r w:rsidR="00440BF1">
        <w:t>s accountability framework, from long-term strategic planning to short-term key performance indicators.</w:t>
      </w:r>
    </w:p>
    <w:p w14:paraId="4B8263DD" w14:textId="77777777" w:rsidR="00495F89" w:rsidRDefault="00495F89" w:rsidP="00495F89">
      <w:pPr>
        <w:pStyle w:val="Heading4"/>
        <w:jc w:val="both"/>
      </w:pPr>
      <w:r>
        <w:t>Suggested a</w:t>
      </w:r>
      <w:r w:rsidRPr="00686461">
        <w:t>ctions</w:t>
      </w:r>
    </w:p>
    <w:p w14:paraId="3A2572E7" w14:textId="20074680" w:rsidR="00A01DDC" w:rsidRPr="00A01DDC" w:rsidRDefault="00A01DDC" w:rsidP="005E61C4">
      <w:pPr>
        <w:pStyle w:val="ListParagraph"/>
        <w:numPr>
          <w:ilvl w:val="0"/>
          <w:numId w:val="13"/>
        </w:numPr>
        <w:spacing w:after="0"/>
        <w:rPr>
          <w:sz w:val="22"/>
        </w:rPr>
      </w:pPr>
      <w:r>
        <w:rPr>
          <w:sz w:val="22"/>
        </w:rPr>
        <w:t>E</w:t>
      </w:r>
      <w:r w:rsidRPr="00A01DDC">
        <w:rPr>
          <w:sz w:val="22"/>
        </w:rPr>
        <w:t>mbed Te Tiriti in all documents that make up the primary health system</w:t>
      </w:r>
      <w:r w:rsidR="004F7CFA">
        <w:rPr>
          <w:sz w:val="22"/>
        </w:rPr>
        <w:t xml:space="preserve"> (Wai 2575 finding)</w:t>
      </w:r>
      <w:r w:rsidR="00A06109">
        <w:rPr>
          <w:sz w:val="22"/>
        </w:rPr>
        <w:t>.</w:t>
      </w:r>
    </w:p>
    <w:p w14:paraId="49B5C85B" w14:textId="50282DBD" w:rsidR="00A01DDC" w:rsidRPr="00A01DDC" w:rsidRDefault="00A06109" w:rsidP="005E61C4">
      <w:pPr>
        <w:pStyle w:val="ListParagraph"/>
        <w:numPr>
          <w:ilvl w:val="0"/>
          <w:numId w:val="13"/>
        </w:numPr>
        <w:spacing w:after="0"/>
        <w:rPr>
          <w:sz w:val="22"/>
        </w:rPr>
      </w:pPr>
      <w:r>
        <w:rPr>
          <w:sz w:val="22"/>
        </w:rPr>
        <w:t>E</w:t>
      </w:r>
      <w:r w:rsidR="00A01DDC" w:rsidRPr="00A01DDC">
        <w:rPr>
          <w:sz w:val="22"/>
        </w:rPr>
        <w:t>mbed achieving equitable health outcomes in all documents that make up the primary health and disability system</w:t>
      </w:r>
      <w:r w:rsidR="004F7CFA">
        <w:rPr>
          <w:sz w:val="22"/>
        </w:rPr>
        <w:t xml:space="preserve"> (Wai 2575 finding)</w:t>
      </w:r>
      <w:r>
        <w:rPr>
          <w:sz w:val="22"/>
        </w:rPr>
        <w:t>.</w:t>
      </w:r>
    </w:p>
    <w:p w14:paraId="5DD42CFD" w14:textId="4E402959" w:rsidR="00A01DDC" w:rsidRPr="00A01DDC" w:rsidRDefault="00A06109" w:rsidP="005E61C4">
      <w:pPr>
        <w:pStyle w:val="ListParagraph"/>
        <w:numPr>
          <w:ilvl w:val="0"/>
          <w:numId w:val="13"/>
        </w:numPr>
        <w:spacing w:after="0"/>
        <w:rPr>
          <w:sz w:val="22"/>
        </w:rPr>
      </w:pPr>
      <w:r>
        <w:rPr>
          <w:sz w:val="22"/>
        </w:rPr>
        <w:t>S</w:t>
      </w:r>
      <w:r w:rsidR="00A01DDC" w:rsidRPr="00A01DDC">
        <w:rPr>
          <w:sz w:val="22"/>
        </w:rPr>
        <w:t>trengthen accountability mechanisms and processes which affect Māori in the primary health and disability sector</w:t>
      </w:r>
      <w:r w:rsidR="004F7CFA">
        <w:rPr>
          <w:sz w:val="22"/>
        </w:rPr>
        <w:t xml:space="preserve"> (Wai 2575 finding)</w:t>
      </w:r>
      <w:r>
        <w:rPr>
          <w:sz w:val="22"/>
        </w:rPr>
        <w:t>.</w:t>
      </w:r>
    </w:p>
    <w:p w14:paraId="37E7CDC5" w14:textId="6C22860F" w:rsidR="00495F89" w:rsidRDefault="00A01DDC" w:rsidP="005E61C4">
      <w:pPr>
        <w:pStyle w:val="ListParagraph"/>
        <w:numPr>
          <w:ilvl w:val="0"/>
          <w:numId w:val="13"/>
        </w:numPr>
        <w:spacing w:after="0"/>
        <w:rPr>
          <w:sz w:val="22"/>
        </w:rPr>
      </w:pPr>
      <w:r w:rsidRPr="00A01DDC">
        <w:rPr>
          <w:sz w:val="22"/>
        </w:rPr>
        <w:t>DHBs and PHOs prepare and make available their annual Māori health plans</w:t>
      </w:r>
      <w:r w:rsidR="004F7CFA">
        <w:rPr>
          <w:sz w:val="22"/>
        </w:rPr>
        <w:t xml:space="preserve"> (Wai 2575 finding)</w:t>
      </w:r>
      <w:r>
        <w:rPr>
          <w:sz w:val="22"/>
        </w:rPr>
        <w:t>.</w:t>
      </w:r>
    </w:p>
    <w:p w14:paraId="0912F30F" w14:textId="77777777" w:rsidR="00A01DDC" w:rsidRPr="00A01DDC" w:rsidRDefault="00A01DDC" w:rsidP="00A01DDC">
      <w:pPr>
        <w:spacing w:after="0"/>
      </w:pPr>
    </w:p>
    <w:p w14:paraId="52CDE119" w14:textId="77777777" w:rsidR="00495F89" w:rsidRPr="00686461" w:rsidRDefault="00495F89" w:rsidP="00495F89">
      <w:pPr>
        <w:pStyle w:val="Heading4"/>
        <w:jc w:val="both"/>
      </w:pPr>
      <w:r>
        <w:lastRenderedPageBreak/>
        <w:t xml:space="preserve">Suggested measures </w:t>
      </w:r>
    </w:p>
    <w:p w14:paraId="5E9141A8" w14:textId="491B7021" w:rsidR="00A01DDC" w:rsidRPr="00A01DDC" w:rsidRDefault="00A01DDC" w:rsidP="005E61C4">
      <w:pPr>
        <w:pStyle w:val="ListParagraph"/>
        <w:numPr>
          <w:ilvl w:val="0"/>
          <w:numId w:val="13"/>
        </w:numPr>
        <w:spacing w:after="0"/>
        <w:rPr>
          <w:sz w:val="22"/>
        </w:rPr>
      </w:pPr>
      <w:r w:rsidRPr="00A01DDC">
        <w:rPr>
          <w:sz w:val="22"/>
        </w:rPr>
        <w:t>Numbers of DHBs and Crown entities meeting equity and Treaty commitments in their accountability documents</w:t>
      </w:r>
      <w:r w:rsidR="00A06109">
        <w:rPr>
          <w:sz w:val="22"/>
        </w:rPr>
        <w:t>.</w:t>
      </w:r>
    </w:p>
    <w:p w14:paraId="0590AE24" w14:textId="4575D518" w:rsidR="00A01DDC" w:rsidRPr="00A01DDC" w:rsidRDefault="00A06109" w:rsidP="005E61C4">
      <w:pPr>
        <w:pStyle w:val="ListParagraph"/>
        <w:numPr>
          <w:ilvl w:val="0"/>
          <w:numId w:val="13"/>
        </w:numPr>
        <w:spacing w:after="0"/>
        <w:rPr>
          <w:sz w:val="22"/>
        </w:rPr>
      </w:pPr>
      <w:r>
        <w:rPr>
          <w:sz w:val="22"/>
        </w:rPr>
        <w:t>N</w:t>
      </w:r>
      <w:r w:rsidR="00A01DDC" w:rsidRPr="00A01DDC">
        <w:rPr>
          <w:sz w:val="22"/>
        </w:rPr>
        <w:t>umber of PHOs with published plans to deliver effective services to Māori and reports on progress</w:t>
      </w:r>
      <w:r>
        <w:rPr>
          <w:sz w:val="22"/>
        </w:rPr>
        <w:t>.</w:t>
      </w:r>
    </w:p>
    <w:p w14:paraId="6D0FE158" w14:textId="55B2B0C4" w:rsidR="00A01DDC" w:rsidRDefault="00A01DDC" w:rsidP="005E61C4">
      <w:pPr>
        <w:pStyle w:val="ListParagraph"/>
        <w:numPr>
          <w:ilvl w:val="0"/>
          <w:numId w:val="13"/>
        </w:numPr>
        <w:spacing w:after="0"/>
        <w:rPr>
          <w:sz w:val="22"/>
        </w:rPr>
      </w:pPr>
      <w:r>
        <w:rPr>
          <w:sz w:val="22"/>
        </w:rPr>
        <w:t>(</w:t>
      </w:r>
      <w:r w:rsidR="00A06109">
        <w:rPr>
          <w:sz w:val="22"/>
        </w:rPr>
        <w:t>O</w:t>
      </w:r>
      <w:r>
        <w:rPr>
          <w:sz w:val="22"/>
        </w:rPr>
        <w:t>thers to be determined).</w:t>
      </w:r>
    </w:p>
    <w:p w14:paraId="2AB1D24D" w14:textId="500582E6" w:rsidR="00A01DDC" w:rsidRDefault="00495F89" w:rsidP="00A01DDC">
      <w:pPr>
        <w:pStyle w:val="Heading2"/>
        <w:pageBreakBefore/>
      </w:pPr>
      <w:bookmarkStart w:id="17" w:name="_Toc17195720"/>
      <w:r>
        <w:lastRenderedPageBreak/>
        <w:t xml:space="preserve">Priority area five: </w:t>
      </w:r>
      <w:r w:rsidR="00A01DDC">
        <w:t>Cross</w:t>
      </w:r>
      <w:r w:rsidR="009A22D5">
        <w:t>-</w:t>
      </w:r>
      <w:r w:rsidR="00A01DDC">
        <w:t>sector action</w:t>
      </w:r>
      <w:bookmarkEnd w:id="17"/>
    </w:p>
    <w:p w14:paraId="43160B36" w14:textId="5E360D4F" w:rsidR="00D64CE4" w:rsidRDefault="00A01DDC" w:rsidP="00D64CE4">
      <w:pPr>
        <w:pStyle w:val="Heading4"/>
        <w:jc w:val="both"/>
      </w:pPr>
      <w:r>
        <w:t>Objective</w:t>
      </w:r>
    </w:p>
    <w:p w14:paraId="3FB8DF5F" w14:textId="448CE896" w:rsidR="00D64CE4" w:rsidRDefault="00A01DDC" w:rsidP="00A01DDC">
      <w:pPr>
        <w:spacing w:after="0"/>
      </w:pPr>
      <w:r w:rsidRPr="00A01DDC">
        <w:t>Ensure national, regional and local joint ventures address the social, economic and behavioural determinants of health</w:t>
      </w:r>
      <w:r>
        <w:t>.</w:t>
      </w:r>
    </w:p>
    <w:p w14:paraId="6CC3A146" w14:textId="77777777" w:rsidR="00A01DDC" w:rsidRPr="00761F4E" w:rsidRDefault="00A01DDC" w:rsidP="00A01DDC">
      <w:pPr>
        <w:spacing w:after="0"/>
      </w:pPr>
    </w:p>
    <w:p w14:paraId="6C622E5E" w14:textId="77777777" w:rsidR="00495F89" w:rsidRDefault="00495F89" w:rsidP="00495F89">
      <w:pPr>
        <w:pStyle w:val="Heading4"/>
        <w:jc w:val="both"/>
      </w:pPr>
      <w:r>
        <w:t xml:space="preserve">Rationale </w:t>
      </w:r>
    </w:p>
    <w:p w14:paraId="0D99B0C8" w14:textId="0EC275FA" w:rsidR="00495F89" w:rsidRDefault="00495F89" w:rsidP="00A01DDC">
      <w:pPr>
        <w:spacing w:after="0"/>
      </w:pPr>
      <w:r>
        <w:t>Improvements in Māori health will lead to improvements in other areas of life, and vice</w:t>
      </w:r>
      <w:r w:rsidR="009A22D5">
        <w:t>-</w:t>
      </w:r>
      <w:r>
        <w:t>versa. For example, higher educational achievement and good-quality employment often improve health outcomes. Poor health can also adversely affect people’s education, employment opportunities, and socio-economic status. Currently, Māori experience a lower</w:t>
      </w:r>
      <w:r w:rsidR="009A22D5">
        <w:t>-</w:t>
      </w:r>
      <w:r>
        <w:t>quality of living over a range of measures, as evidenced below.</w:t>
      </w:r>
    </w:p>
    <w:p w14:paraId="5BADC9BE" w14:textId="77777777" w:rsidR="00A01DDC" w:rsidRDefault="00A01DDC" w:rsidP="00A01DDC">
      <w:pPr>
        <w:spacing w:after="0"/>
      </w:pPr>
    </w:p>
    <w:p w14:paraId="5C1F9A08" w14:textId="5C9A9798" w:rsidR="00495F89" w:rsidRDefault="00495F89" w:rsidP="00A01DDC">
      <w:pPr>
        <w:spacing w:after="0"/>
      </w:pPr>
      <w:r w:rsidRPr="00077BDD">
        <w:t xml:space="preserve">Wellbeing measures are used to show how people feel about their lives. </w:t>
      </w:r>
      <w:r>
        <w:t xml:space="preserve">Figure </w:t>
      </w:r>
      <w:r w:rsidR="00A70DF8">
        <w:t>2</w:t>
      </w:r>
      <w:r>
        <w:t xml:space="preserve"> </w:t>
      </w:r>
      <w:r w:rsidRPr="00077BDD">
        <w:t xml:space="preserve">shows that a much lower percentage of Māori have high wellbeing within </w:t>
      </w:r>
      <w:r w:rsidR="00281A2B" w:rsidRPr="00077BDD">
        <w:t>most of</w:t>
      </w:r>
      <w:r w:rsidRPr="00077BDD">
        <w:t xml:space="preserve"> the domains when compared to the entire N</w:t>
      </w:r>
      <w:r>
        <w:t xml:space="preserve">ew </w:t>
      </w:r>
      <w:r w:rsidRPr="00077BDD">
        <w:t>Z</w:t>
      </w:r>
      <w:r>
        <w:t>ealand</w:t>
      </w:r>
      <w:r w:rsidRPr="00077BDD">
        <w:t xml:space="preserve"> population, particularly in areas such as </w:t>
      </w:r>
      <w:r>
        <w:t>h</w:t>
      </w:r>
      <w:r w:rsidRPr="00077BDD">
        <w:t>ousing</w:t>
      </w:r>
      <w:r w:rsidR="009A22D5">
        <w:t>,</w:t>
      </w:r>
      <w:r w:rsidRPr="00077BDD">
        <w:t xml:space="preserve"> </w:t>
      </w:r>
      <w:r>
        <w:t>c</w:t>
      </w:r>
      <w:r w:rsidRPr="00077BDD">
        <w:t>ivic engagement and governance.</w:t>
      </w:r>
    </w:p>
    <w:p w14:paraId="5D7C10B4" w14:textId="77777777" w:rsidR="00A01DDC" w:rsidRDefault="00A01DDC" w:rsidP="00A01DDC">
      <w:pPr>
        <w:spacing w:after="0"/>
      </w:pPr>
    </w:p>
    <w:p w14:paraId="436519A5" w14:textId="16F4A1EF" w:rsidR="00495F89" w:rsidRDefault="00495F89" w:rsidP="00A70DF8">
      <w:pPr>
        <w:jc w:val="center"/>
      </w:pPr>
      <w:r w:rsidRPr="00833CB0">
        <w:rPr>
          <w:b/>
          <w:sz w:val="18"/>
        </w:rPr>
        <w:t xml:space="preserve">Figure </w:t>
      </w:r>
      <w:r w:rsidR="00A70DF8">
        <w:rPr>
          <w:b/>
          <w:noProof/>
          <w:sz w:val="18"/>
        </w:rPr>
        <w:t>2</w:t>
      </w:r>
      <w:r w:rsidRPr="00833CB0">
        <w:rPr>
          <w:b/>
          <w:sz w:val="18"/>
        </w:rPr>
        <w:t>: Difference in probability of having a high score within the Living Standards 9 domains for wellbeing for Māori compared to the NZ Population</w:t>
      </w:r>
      <w:r w:rsidRPr="00833CB0">
        <w:rPr>
          <w:sz w:val="18"/>
        </w:rPr>
        <w:t xml:space="preserve"> </w:t>
      </w:r>
      <w:r>
        <w:rPr>
          <w:noProof/>
          <w:lang w:eastAsia="en-NZ"/>
        </w:rPr>
        <w:drawing>
          <wp:inline distT="0" distB="0" distL="0" distR="0" wp14:anchorId="67D4BC1D" wp14:editId="67419FB7">
            <wp:extent cx="5213985" cy="2077655"/>
            <wp:effectExtent l="0" t="0" r="5715"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95A8A2" w14:textId="4C89B001" w:rsidR="00495F89" w:rsidRDefault="001258CF" w:rsidP="00A01DDC">
      <w:pPr>
        <w:spacing w:after="0"/>
      </w:pPr>
      <w:r>
        <w:t>While health and disability services contribute to health outcomes, f</w:t>
      </w:r>
      <w:r w:rsidR="00495F89">
        <w:t xml:space="preserve">igure </w:t>
      </w:r>
      <w:r w:rsidR="00A70DF8">
        <w:t>2</w:t>
      </w:r>
      <w:r w:rsidR="00495F89">
        <w:t xml:space="preserve"> indicates the need to address the broader determinants of health for Māori and increase the general quality of life. Providing Māori with warm, dry homes would have vast and long-standing effects on Māori health, as it would likely decrease rates of rheumatic fever, respiratory diseases, and other common ailments. Addressing Māori health without addressing the root causes of poor health narrows the capacity of the system to respond to Māori unwellness and limits the effect the </w:t>
      </w:r>
      <w:r w:rsidR="00CA63D0">
        <w:t xml:space="preserve">health and disability system </w:t>
      </w:r>
      <w:r w:rsidR="00495F89">
        <w:t xml:space="preserve">can have in improving heath equity for Māori. </w:t>
      </w:r>
    </w:p>
    <w:p w14:paraId="77CA9AB2" w14:textId="77777777" w:rsidR="00A01DDC" w:rsidRDefault="00A01DDC" w:rsidP="00A01DDC">
      <w:pPr>
        <w:spacing w:after="0"/>
      </w:pPr>
    </w:p>
    <w:p w14:paraId="77B14082" w14:textId="48AB3AFD" w:rsidR="00B217A5" w:rsidRDefault="00B217A5" w:rsidP="00A01DDC">
      <w:pPr>
        <w:spacing w:after="0"/>
      </w:pPr>
      <w:r>
        <w:t>An example of good integrated service delivery</w:t>
      </w:r>
      <w:r w:rsidRPr="00AB3D9B">
        <w:t xml:space="preserve"> includes new approaches to the disability support system, addressed in Enabling Good Lives</w:t>
      </w:r>
      <w:r>
        <w:t>. This initiative</w:t>
      </w:r>
      <w:r w:rsidRPr="00AB3D9B">
        <w:t xml:space="preserve"> will give disabled Māori and their families increased choice and control over the support they receive and </w:t>
      </w:r>
      <w:r w:rsidR="0085012E">
        <w:t>has</w:t>
      </w:r>
      <w:r w:rsidRPr="00AB3D9B">
        <w:t xml:space="preserve"> required </w:t>
      </w:r>
      <w:r w:rsidR="0085012E">
        <w:lastRenderedPageBreak/>
        <w:t>G</w:t>
      </w:r>
      <w:r w:rsidRPr="00AB3D9B">
        <w:t>overnment agencies to work together differently, for example by integrating funding and contracts.</w:t>
      </w:r>
    </w:p>
    <w:p w14:paraId="6DB2F452" w14:textId="77777777" w:rsidR="00A01DDC" w:rsidRDefault="00A01DDC" w:rsidP="00B217A5">
      <w:pPr>
        <w:jc w:val="both"/>
      </w:pPr>
    </w:p>
    <w:p w14:paraId="40731296" w14:textId="77777777" w:rsidR="00495F89" w:rsidRPr="00507FBB" w:rsidRDefault="00495F89" w:rsidP="00495F89">
      <w:pPr>
        <w:pStyle w:val="Heading4"/>
      </w:pPr>
      <w:r>
        <w:t xml:space="preserve">Suggested actions </w:t>
      </w:r>
    </w:p>
    <w:p w14:paraId="39E700FC" w14:textId="2CA29D5A" w:rsidR="00A01DDC" w:rsidRPr="00A01DDC" w:rsidRDefault="00A01DDC" w:rsidP="005E61C4">
      <w:pPr>
        <w:pStyle w:val="ListParagraph"/>
        <w:numPr>
          <w:ilvl w:val="0"/>
          <w:numId w:val="13"/>
        </w:numPr>
        <w:spacing w:after="0"/>
        <w:rPr>
          <w:sz w:val="22"/>
        </w:rPr>
      </w:pPr>
      <w:r w:rsidRPr="00A01DDC">
        <w:rPr>
          <w:sz w:val="22"/>
        </w:rPr>
        <w:t xml:space="preserve">Continue to engage and contribute to </w:t>
      </w:r>
      <w:r w:rsidR="0085012E">
        <w:rPr>
          <w:sz w:val="22"/>
        </w:rPr>
        <w:t>broader Government Priorities requiring cross-agency collaboration, including</w:t>
      </w:r>
      <w:r w:rsidRPr="00A01DDC">
        <w:rPr>
          <w:sz w:val="22"/>
        </w:rPr>
        <w:t xml:space="preserve"> improv</w:t>
      </w:r>
      <w:r w:rsidR="0085012E">
        <w:rPr>
          <w:sz w:val="22"/>
        </w:rPr>
        <w:t>ing</w:t>
      </w:r>
      <w:r w:rsidRPr="00A01DDC">
        <w:rPr>
          <w:sz w:val="22"/>
        </w:rPr>
        <w:t xml:space="preserve"> child </w:t>
      </w:r>
      <w:r w:rsidR="0085012E">
        <w:rPr>
          <w:sz w:val="22"/>
        </w:rPr>
        <w:t xml:space="preserve">and youth </w:t>
      </w:r>
      <w:r w:rsidRPr="00A01DDC">
        <w:rPr>
          <w:sz w:val="22"/>
        </w:rPr>
        <w:t>wellbeing</w:t>
      </w:r>
      <w:r w:rsidR="0085012E">
        <w:rPr>
          <w:sz w:val="22"/>
        </w:rPr>
        <w:t xml:space="preserve"> and </w:t>
      </w:r>
      <w:r w:rsidRPr="00A01DDC">
        <w:rPr>
          <w:sz w:val="22"/>
        </w:rPr>
        <w:t>mental health and wellbeing</w:t>
      </w:r>
      <w:r w:rsidR="001258CF">
        <w:rPr>
          <w:sz w:val="22"/>
        </w:rPr>
        <w:t>.</w:t>
      </w:r>
    </w:p>
    <w:p w14:paraId="6E1D9644" w14:textId="1856158F" w:rsidR="00A01DDC" w:rsidRPr="00A01DDC" w:rsidRDefault="001258CF" w:rsidP="005E61C4">
      <w:pPr>
        <w:pStyle w:val="ListParagraph"/>
        <w:numPr>
          <w:ilvl w:val="0"/>
          <w:numId w:val="13"/>
        </w:numPr>
        <w:spacing w:after="0"/>
        <w:rPr>
          <w:sz w:val="22"/>
        </w:rPr>
      </w:pPr>
      <w:r>
        <w:rPr>
          <w:sz w:val="22"/>
        </w:rPr>
        <w:t>C</w:t>
      </w:r>
      <w:r w:rsidR="00A01DDC" w:rsidRPr="00A01DDC">
        <w:rPr>
          <w:sz w:val="22"/>
        </w:rPr>
        <w:t xml:space="preserve">ontinue to develop local initiatives that bring together iwi, </w:t>
      </w:r>
      <w:r w:rsidR="00582EB5">
        <w:rPr>
          <w:sz w:val="22"/>
        </w:rPr>
        <w:t>hapū</w:t>
      </w:r>
      <w:r w:rsidR="00A01DDC" w:rsidRPr="00A01DDC">
        <w:rPr>
          <w:sz w:val="22"/>
        </w:rPr>
        <w:t>, DHBs and other social agencies and organisations at the local level</w:t>
      </w:r>
      <w:r>
        <w:rPr>
          <w:sz w:val="22"/>
        </w:rPr>
        <w:t>.</w:t>
      </w:r>
    </w:p>
    <w:p w14:paraId="4300C325" w14:textId="441C94EE" w:rsidR="00A01DDC" w:rsidRDefault="001258CF" w:rsidP="005E61C4">
      <w:pPr>
        <w:pStyle w:val="ListParagraph"/>
        <w:numPr>
          <w:ilvl w:val="0"/>
          <w:numId w:val="13"/>
        </w:numPr>
        <w:spacing w:after="0"/>
        <w:rPr>
          <w:sz w:val="22"/>
        </w:rPr>
      </w:pPr>
      <w:r>
        <w:rPr>
          <w:sz w:val="22"/>
        </w:rPr>
        <w:t>W</w:t>
      </w:r>
      <w:r w:rsidR="00A01DDC" w:rsidRPr="00A01DDC">
        <w:rPr>
          <w:sz w:val="22"/>
        </w:rPr>
        <w:t>ork with cross</w:t>
      </w:r>
      <w:r w:rsidR="0085012E">
        <w:rPr>
          <w:sz w:val="22"/>
        </w:rPr>
        <w:t>-</w:t>
      </w:r>
      <w:r w:rsidR="00A01DDC" w:rsidRPr="00A01DDC">
        <w:rPr>
          <w:sz w:val="22"/>
        </w:rPr>
        <w:t>sector experts to use the evidence on the burden of disease for Māori to design and evaluate interventions</w:t>
      </w:r>
      <w:r w:rsidR="00A01DDC">
        <w:rPr>
          <w:sz w:val="22"/>
        </w:rPr>
        <w:t>.</w:t>
      </w:r>
    </w:p>
    <w:p w14:paraId="711F9B1C" w14:textId="77777777" w:rsidR="00A01DDC" w:rsidRPr="00A01DDC" w:rsidRDefault="00A01DDC" w:rsidP="00A01DDC">
      <w:pPr>
        <w:spacing w:after="0"/>
      </w:pPr>
    </w:p>
    <w:p w14:paraId="632D640A" w14:textId="1802EB12" w:rsidR="00495F89" w:rsidRPr="00686461" w:rsidRDefault="00495F89" w:rsidP="00A01DDC">
      <w:pPr>
        <w:pStyle w:val="Heading4"/>
        <w:jc w:val="both"/>
      </w:pPr>
      <w:r>
        <w:t>Suggested measures</w:t>
      </w:r>
    </w:p>
    <w:p w14:paraId="7E045F9A" w14:textId="0A998EB0" w:rsidR="00A01DDC" w:rsidRPr="00A01DDC" w:rsidRDefault="00A01DDC" w:rsidP="005E61C4">
      <w:pPr>
        <w:pStyle w:val="ListParagraph"/>
        <w:numPr>
          <w:ilvl w:val="0"/>
          <w:numId w:val="13"/>
        </w:numPr>
        <w:spacing w:after="0"/>
        <w:rPr>
          <w:sz w:val="22"/>
        </w:rPr>
      </w:pPr>
      <w:r w:rsidRPr="00A01DDC">
        <w:rPr>
          <w:sz w:val="22"/>
        </w:rPr>
        <w:t xml:space="preserve">Number of DHBs </w:t>
      </w:r>
      <w:r w:rsidR="0085012E">
        <w:rPr>
          <w:sz w:val="22"/>
        </w:rPr>
        <w:t xml:space="preserve">that are </w:t>
      </w:r>
      <w:r w:rsidR="00281A2B" w:rsidRPr="00A01DDC">
        <w:rPr>
          <w:sz w:val="22"/>
        </w:rPr>
        <w:t xml:space="preserve">part of local joint ventures with Māori, local government and other </w:t>
      </w:r>
      <w:r w:rsidR="0085012E">
        <w:rPr>
          <w:sz w:val="22"/>
        </w:rPr>
        <w:t>groups</w:t>
      </w:r>
      <w:r w:rsidR="001258CF">
        <w:rPr>
          <w:sz w:val="22"/>
        </w:rPr>
        <w:t>.</w:t>
      </w:r>
    </w:p>
    <w:p w14:paraId="260C44FE" w14:textId="15FD536B" w:rsidR="00495F89" w:rsidRPr="00A01DDC" w:rsidRDefault="00A01DDC" w:rsidP="005E61C4">
      <w:pPr>
        <w:pStyle w:val="ListParagraph"/>
        <w:numPr>
          <w:ilvl w:val="0"/>
          <w:numId w:val="13"/>
        </w:numPr>
        <w:spacing w:after="0"/>
        <w:rPr>
          <w:sz w:val="22"/>
        </w:rPr>
      </w:pPr>
      <w:r w:rsidRPr="00A01DDC">
        <w:rPr>
          <w:sz w:val="22"/>
        </w:rPr>
        <w:t>(</w:t>
      </w:r>
      <w:r w:rsidR="001258CF">
        <w:rPr>
          <w:sz w:val="22"/>
        </w:rPr>
        <w:t>O</w:t>
      </w:r>
      <w:r w:rsidRPr="00A01DDC">
        <w:rPr>
          <w:sz w:val="22"/>
        </w:rPr>
        <w:t>thers to be determined).</w:t>
      </w:r>
    </w:p>
    <w:p w14:paraId="3FBF963F" w14:textId="77777777" w:rsidR="00495F89" w:rsidRPr="00A01DDC" w:rsidRDefault="00495F89" w:rsidP="00A01DDC">
      <w:pPr>
        <w:jc w:val="both"/>
      </w:pPr>
    </w:p>
    <w:p w14:paraId="4A0B24C7" w14:textId="77777777" w:rsidR="008D05DA" w:rsidRDefault="008D05DA" w:rsidP="008D05DA">
      <w:pPr>
        <w:pStyle w:val="Heading2"/>
        <w:pageBreakBefore/>
      </w:pPr>
      <w:bookmarkStart w:id="18" w:name="_Toc17195721"/>
      <w:r>
        <w:lastRenderedPageBreak/>
        <w:t>Priority area six: Workforce</w:t>
      </w:r>
      <w:bookmarkEnd w:id="18"/>
    </w:p>
    <w:p w14:paraId="288EB08C" w14:textId="77777777" w:rsidR="008D05DA" w:rsidRPr="007A0D2E" w:rsidRDefault="008D05DA" w:rsidP="008D05DA">
      <w:pPr>
        <w:pStyle w:val="Heading4"/>
        <w:jc w:val="both"/>
      </w:pPr>
      <w:r>
        <w:t>Objective</w:t>
      </w:r>
    </w:p>
    <w:p w14:paraId="0517C4ED" w14:textId="13F6B707" w:rsidR="008D05DA" w:rsidRDefault="008D05DA" w:rsidP="008D05DA">
      <w:pPr>
        <w:spacing w:after="0"/>
      </w:pPr>
      <w:r w:rsidRPr="00A01DDC">
        <w:t>Enable a hauora</w:t>
      </w:r>
      <w:r w:rsidR="0085012E">
        <w:t>-</w:t>
      </w:r>
      <w:r w:rsidRPr="00A01DDC">
        <w:t>competent workforce along with more Māori in the health and disability workforce</w:t>
      </w:r>
      <w:r>
        <w:t>.</w:t>
      </w:r>
    </w:p>
    <w:p w14:paraId="7BEA784F" w14:textId="77777777" w:rsidR="008D05DA" w:rsidRPr="007A0D2E" w:rsidRDefault="008D05DA" w:rsidP="008D05DA">
      <w:pPr>
        <w:spacing w:after="0"/>
      </w:pPr>
    </w:p>
    <w:p w14:paraId="6D166216" w14:textId="77777777" w:rsidR="008D05DA" w:rsidRDefault="008D05DA" w:rsidP="008D05DA">
      <w:pPr>
        <w:pStyle w:val="Heading4"/>
        <w:jc w:val="both"/>
      </w:pPr>
      <w:r>
        <w:t xml:space="preserve">Rationale </w:t>
      </w:r>
    </w:p>
    <w:p w14:paraId="0EBDDBB5" w14:textId="19794387" w:rsidR="008D05DA" w:rsidRDefault="008D05DA" w:rsidP="008D05DA">
      <w:pPr>
        <w:spacing w:after="0"/>
      </w:pPr>
      <w:r w:rsidRPr="00BC0CF7">
        <w:t>Over the past few decades, significant efforts have been made to build the Māori health workforce. These efforts have involved establishing scholarships and leadership programme</w:t>
      </w:r>
      <w:r>
        <w:t>s</w:t>
      </w:r>
      <w:r w:rsidRPr="00BC0CF7">
        <w:t xml:space="preserve">, as well as </w:t>
      </w:r>
      <w:r w:rsidR="00CA63D0" w:rsidRPr="00BC0CF7">
        <w:t>several</w:t>
      </w:r>
      <w:r w:rsidRPr="00BC0CF7">
        <w:t xml:space="preserve"> Māori workforce development organi</w:t>
      </w:r>
      <w:r>
        <w:t>s</w:t>
      </w:r>
      <w:r w:rsidRPr="00BC0CF7">
        <w:t xml:space="preserve">ations. </w:t>
      </w:r>
    </w:p>
    <w:p w14:paraId="24A27005" w14:textId="77777777" w:rsidR="008D05DA" w:rsidRPr="00BC0CF7" w:rsidRDefault="008D05DA" w:rsidP="008D05DA">
      <w:pPr>
        <w:spacing w:after="0"/>
      </w:pPr>
    </w:p>
    <w:p w14:paraId="06B02B50" w14:textId="7AD8540B" w:rsidR="008D05DA" w:rsidRDefault="008D05DA" w:rsidP="008D05DA">
      <w:pPr>
        <w:spacing w:after="0"/>
      </w:pPr>
      <w:r w:rsidRPr="009F2251">
        <w:t>The Māori health workforce has grown steadily. Despite this gradual increase</w:t>
      </w:r>
      <w:r w:rsidR="0085012E">
        <w:t>,</w:t>
      </w:r>
      <w:r w:rsidRPr="009F2251">
        <w:t xml:space="preserve"> there is a long way to go to achieve population parity. Recent data published by the Health Quality and Safety Commission, using DHB employed workforce data</w:t>
      </w:r>
      <w:r w:rsidR="00CA63D0">
        <w:t>,</w:t>
      </w:r>
      <w:r w:rsidRPr="009F2251">
        <w:t xml:space="preserve"> shows this gap across professions and </w:t>
      </w:r>
      <w:r>
        <w:t xml:space="preserve">across </w:t>
      </w:r>
      <w:r w:rsidRPr="009F2251">
        <w:t>DHBs</w:t>
      </w:r>
      <w:r w:rsidR="004F6B9D">
        <w:t xml:space="preserve"> (HQSC 2019)</w:t>
      </w:r>
      <w:r>
        <w:t>.</w:t>
      </w:r>
    </w:p>
    <w:p w14:paraId="2F7A5815" w14:textId="77777777" w:rsidR="008D05DA" w:rsidRDefault="008D05DA" w:rsidP="008D05DA">
      <w:pPr>
        <w:spacing w:after="0"/>
      </w:pPr>
    </w:p>
    <w:p w14:paraId="0391E411" w14:textId="77777777" w:rsidR="008D05DA" w:rsidRDefault="008D05DA" w:rsidP="008D05DA">
      <w:pPr>
        <w:spacing w:after="0"/>
      </w:pPr>
      <w:r w:rsidRPr="009F2251">
        <w:rPr>
          <w:noProof/>
        </w:rPr>
        <w:drawing>
          <wp:inline distT="0" distB="0" distL="0" distR="0" wp14:anchorId="6F8DF449" wp14:editId="41CFC63E">
            <wp:extent cx="6154914" cy="260421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60316" cy="2606498"/>
                    </a:xfrm>
                    <a:prstGeom prst="rect">
                      <a:avLst/>
                    </a:prstGeom>
                  </pic:spPr>
                </pic:pic>
              </a:graphicData>
            </a:graphic>
          </wp:inline>
        </w:drawing>
      </w:r>
    </w:p>
    <w:p w14:paraId="0EE709C4" w14:textId="77777777" w:rsidR="008D05DA" w:rsidRPr="00BC0CF7" w:rsidRDefault="008D05DA" w:rsidP="008D05DA">
      <w:pPr>
        <w:spacing w:after="0"/>
      </w:pPr>
    </w:p>
    <w:p w14:paraId="506E5069" w14:textId="6EC6BC47" w:rsidR="008D05DA" w:rsidRDefault="008D05DA" w:rsidP="008D05DA">
      <w:pPr>
        <w:spacing w:after="0"/>
      </w:pPr>
      <w:r w:rsidRPr="00BC0CF7">
        <w:t>Addressing the under-representation of indigenous health professionals is recogni</w:t>
      </w:r>
      <w:r w:rsidR="0085012E">
        <w:t>s</w:t>
      </w:r>
      <w:r w:rsidRPr="00BC0CF7">
        <w:t>ed internationally as being an integral component of the overall response to addressing indigenous health inequities</w:t>
      </w:r>
      <w:r w:rsidR="004F6B9D">
        <w:t xml:space="preserve"> (Curtis, </w:t>
      </w:r>
      <w:proofErr w:type="spellStart"/>
      <w:r w:rsidR="004F6B9D">
        <w:t>Wikaire</w:t>
      </w:r>
      <w:proofErr w:type="spellEnd"/>
      <w:r w:rsidR="004F6B9D">
        <w:t>, Stokes and Reid 2012)</w:t>
      </w:r>
      <w:r w:rsidRPr="00BC0CF7">
        <w:t>.</w:t>
      </w:r>
    </w:p>
    <w:p w14:paraId="330FAC6E" w14:textId="77777777" w:rsidR="008D05DA" w:rsidRPr="00BC0CF7" w:rsidRDefault="008D05DA" w:rsidP="008D05DA">
      <w:pPr>
        <w:spacing w:after="0"/>
      </w:pPr>
    </w:p>
    <w:p w14:paraId="7B56BB18" w14:textId="285E025D" w:rsidR="008D05DA" w:rsidRDefault="008D05DA" w:rsidP="008D05DA">
      <w:pPr>
        <w:spacing w:after="0"/>
      </w:pPr>
      <w:r w:rsidRPr="00BC0CF7">
        <w:t xml:space="preserve">The Māori population is projected to increase at a faster rate than the non-Māori population. Sustained efforts to grow the Māori health workforce are needed to ensure it </w:t>
      </w:r>
      <w:r w:rsidR="00CA63D0" w:rsidRPr="00BC0CF7">
        <w:t>can</w:t>
      </w:r>
      <w:r w:rsidRPr="00BC0CF7">
        <w:t xml:space="preserve"> meet the higher demand from a larger Māori population.</w:t>
      </w:r>
    </w:p>
    <w:p w14:paraId="49547E54" w14:textId="7C8C2F81" w:rsidR="008D05DA" w:rsidRDefault="008D05DA" w:rsidP="008D05DA">
      <w:pPr>
        <w:spacing w:after="0"/>
      </w:pPr>
    </w:p>
    <w:p w14:paraId="191C895C" w14:textId="6B947E2C" w:rsidR="00CA63D0" w:rsidRDefault="00CA63D0" w:rsidP="00CA63D0">
      <w:pPr>
        <w:spacing w:after="0"/>
      </w:pPr>
      <w:r>
        <w:t>Equally important is the need to build a culturally</w:t>
      </w:r>
      <w:r w:rsidR="0085012E">
        <w:t>-</w:t>
      </w:r>
      <w:r>
        <w:t>competent and culturally safe health and disability workforce. This necessitates assessing racism and discrimination in all its forms. Moving from cultural competence to achieving cultural safety is fundamentally about eliminating racism and discrimination.</w:t>
      </w:r>
    </w:p>
    <w:p w14:paraId="29075389" w14:textId="77777777" w:rsidR="00CA63D0" w:rsidRPr="00BC0CF7" w:rsidRDefault="00CA63D0" w:rsidP="008D05DA">
      <w:pPr>
        <w:spacing w:after="0"/>
      </w:pPr>
    </w:p>
    <w:p w14:paraId="5F61E39E" w14:textId="11848F5E" w:rsidR="00CA63D0" w:rsidRDefault="0043158A" w:rsidP="00CA63D0">
      <w:pPr>
        <w:spacing w:after="0"/>
      </w:pPr>
      <w:r>
        <w:lastRenderedPageBreak/>
        <w:t>E</w:t>
      </w:r>
      <w:r w:rsidRPr="0043158A">
        <w:t xml:space="preserve">vidence </w:t>
      </w:r>
      <w:r>
        <w:t xml:space="preserve">suggests that </w:t>
      </w:r>
      <w:r w:rsidR="0085012E">
        <w:t xml:space="preserve">treatment is differentiated </w:t>
      </w:r>
      <w:r>
        <w:t>when Māori access services.</w:t>
      </w:r>
      <w:r w:rsidRPr="0043158A">
        <w:t xml:space="preserve"> </w:t>
      </w:r>
      <w:r w:rsidR="00A668F0">
        <w:t xml:space="preserve">For example, </w:t>
      </w:r>
      <w:r w:rsidRPr="0043158A">
        <w:t>Māori children receive sub-optimal asthma control, which is clear from the higher levels of prescriptions for reliever medications, without any preventer prescribed, which may contribute to the 30 percent higher rate of hospitalisation for asthma for Māori children compared with non-Māori children</w:t>
      </w:r>
      <w:r>
        <w:t>.</w:t>
      </w:r>
      <w:r w:rsidRPr="0043158A">
        <w:t xml:space="preserve"> Communication is another key issue. Compared with non-Māori, Māori adults consistently respond less</w:t>
      </w:r>
      <w:r w:rsidR="0085012E">
        <w:t>-</w:t>
      </w:r>
      <w:r w:rsidRPr="0043158A">
        <w:t>positively to questions about the experience of communication with hospital staff and doctors</w:t>
      </w:r>
      <w:r>
        <w:t>.</w:t>
      </w:r>
      <w:r w:rsidR="00542515">
        <w:t xml:space="preserve"> </w:t>
      </w:r>
    </w:p>
    <w:p w14:paraId="69C2F13A" w14:textId="77777777" w:rsidR="00CA63D0" w:rsidRDefault="00CA63D0" w:rsidP="00CA63D0">
      <w:pPr>
        <w:spacing w:after="0"/>
      </w:pPr>
    </w:p>
    <w:p w14:paraId="4767DB57" w14:textId="7C92FA19" w:rsidR="008D05DA" w:rsidRDefault="00542515" w:rsidP="00CA63D0">
      <w:pPr>
        <w:spacing w:after="0"/>
      </w:pPr>
      <w:r>
        <w:t xml:space="preserve">Creating a culturally safe and competent health and disability workforce is the responsibility </w:t>
      </w:r>
      <w:r w:rsidR="0085012E">
        <w:t xml:space="preserve">of, </w:t>
      </w:r>
      <w:r w:rsidR="00CA63D0">
        <w:t>and a priority for</w:t>
      </w:r>
      <w:r w:rsidR="0085012E">
        <w:t>,</w:t>
      </w:r>
      <w:r w:rsidR="00CA63D0">
        <w:t xml:space="preserve"> </w:t>
      </w:r>
      <w:r>
        <w:t xml:space="preserve">the entire </w:t>
      </w:r>
      <w:r w:rsidR="00CA63D0">
        <w:t>health and disability system</w:t>
      </w:r>
      <w:r>
        <w:t>.</w:t>
      </w:r>
    </w:p>
    <w:p w14:paraId="7FCAFC2F" w14:textId="77777777" w:rsidR="00CA63D0" w:rsidRDefault="00CA63D0" w:rsidP="00CA63D0">
      <w:pPr>
        <w:spacing w:after="0"/>
      </w:pPr>
    </w:p>
    <w:p w14:paraId="76567DD5" w14:textId="77777777" w:rsidR="008D05DA" w:rsidRDefault="008D05DA" w:rsidP="008D05DA">
      <w:pPr>
        <w:pStyle w:val="Heading4"/>
        <w:jc w:val="both"/>
      </w:pPr>
      <w:r>
        <w:t>Suggested actions</w:t>
      </w:r>
    </w:p>
    <w:p w14:paraId="6F263D6D" w14:textId="77699818" w:rsidR="008D05DA" w:rsidRPr="00A01DDC" w:rsidRDefault="008D05DA" w:rsidP="008D05DA">
      <w:pPr>
        <w:pStyle w:val="ListParagraph"/>
        <w:numPr>
          <w:ilvl w:val="0"/>
          <w:numId w:val="13"/>
        </w:numPr>
        <w:spacing w:after="0"/>
        <w:rPr>
          <w:sz w:val="22"/>
        </w:rPr>
      </w:pPr>
      <w:r w:rsidRPr="00A01DDC">
        <w:rPr>
          <w:sz w:val="22"/>
        </w:rPr>
        <w:t>Implement the Budget 2019 Māori Health Workforce Development Package</w:t>
      </w:r>
      <w:r w:rsidR="00A668F0">
        <w:rPr>
          <w:sz w:val="22"/>
        </w:rPr>
        <w:t>.</w:t>
      </w:r>
    </w:p>
    <w:p w14:paraId="290F71EA" w14:textId="71870671" w:rsidR="008D05DA" w:rsidRPr="00A01DDC" w:rsidRDefault="00A668F0" w:rsidP="008D05DA">
      <w:pPr>
        <w:pStyle w:val="ListParagraph"/>
        <w:numPr>
          <w:ilvl w:val="0"/>
          <w:numId w:val="13"/>
        </w:numPr>
        <w:spacing w:after="0"/>
        <w:rPr>
          <w:sz w:val="22"/>
        </w:rPr>
      </w:pPr>
      <w:r>
        <w:rPr>
          <w:sz w:val="22"/>
        </w:rPr>
        <w:t>E</w:t>
      </w:r>
      <w:r w:rsidR="008D05DA" w:rsidRPr="00A01DDC">
        <w:rPr>
          <w:sz w:val="22"/>
        </w:rPr>
        <w:t>mbed cultural safety within training and continuing professional education requirements for clinicians</w:t>
      </w:r>
      <w:r>
        <w:rPr>
          <w:sz w:val="22"/>
        </w:rPr>
        <w:t>.</w:t>
      </w:r>
    </w:p>
    <w:p w14:paraId="5091E676" w14:textId="020C032A" w:rsidR="008D05DA" w:rsidRPr="00A01DDC" w:rsidRDefault="00A668F0" w:rsidP="008D05DA">
      <w:pPr>
        <w:pStyle w:val="ListParagraph"/>
        <w:numPr>
          <w:ilvl w:val="0"/>
          <w:numId w:val="13"/>
        </w:numPr>
        <w:spacing w:after="0"/>
        <w:rPr>
          <w:sz w:val="22"/>
        </w:rPr>
      </w:pPr>
      <w:r>
        <w:rPr>
          <w:sz w:val="22"/>
        </w:rPr>
        <w:t>C</w:t>
      </w:r>
      <w:r w:rsidR="008D05DA" w:rsidRPr="00A01DDC">
        <w:rPr>
          <w:sz w:val="22"/>
        </w:rPr>
        <w:t>onduct research to measure Māori experience of working in the health and disability sector</w:t>
      </w:r>
      <w:r>
        <w:rPr>
          <w:sz w:val="22"/>
        </w:rPr>
        <w:t>.</w:t>
      </w:r>
    </w:p>
    <w:p w14:paraId="08432F83" w14:textId="749C09C5" w:rsidR="008D05DA" w:rsidRPr="00A01DDC" w:rsidRDefault="00A668F0" w:rsidP="008D05DA">
      <w:pPr>
        <w:pStyle w:val="ListParagraph"/>
        <w:numPr>
          <w:ilvl w:val="0"/>
          <w:numId w:val="13"/>
        </w:numPr>
        <w:spacing w:after="0"/>
        <w:rPr>
          <w:sz w:val="22"/>
        </w:rPr>
      </w:pPr>
      <w:r>
        <w:rPr>
          <w:sz w:val="22"/>
        </w:rPr>
        <w:t>F</w:t>
      </w:r>
      <w:r w:rsidR="008D05DA" w:rsidRPr="00A01DDC">
        <w:rPr>
          <w:sz w:val="22"/>
        </w:rPr>
        <w:t>ocus on Māori promotion and retention</w:t>
      </w:r>
      <w:r>
        <w:rPr>
          <w:sz w:val="22"/>
        </w:rPr>
        <w:t>.</w:t>
      </w:r>
    </w:p>
    <w:p w14:paraId="1482649F" w14:textId="4DA1A2C9" w:rsidR="008D05DA" w:rsidRPr="00A01DDC" w:rsidRDefault="00A668F0" w:rsidP="008D05DA">
      <w:pPr>
        <w:pStyle w:val="ListParagraph"/>
        <w:numPr>
          <w:ilvl w:val="0"/>
          <w:numId w:val="13"/>
        </w:numPr>
        <w:spacing w:after="0"/>
        <w:rPr>
          <w:sz w:val="22"/>
        </w:rPr>
      </w:pPr>
      <w:r>
        <w:rPr>
          <w:sz w:val="22"/>
        </w:rPr>
        <w:t>P</w:t>
      </w:r>
      <w:r w:rsidR="008D05DA" w:rsidRPr="00A01DDC">
        <w:rPr>
          <w:sz w:val="22"/>
        </w:rPr>
        <w:t xml:space="preserve">rovide developmental opportunities in tikanga and te </w:t>
      </w:r>
      <w:proofErr w:type="spellStart"/>
      <w:r w:rsidR="008D05DA" w:rsidRPr="00A01DDC">
        <w:rPr>
          <w:sz w:val="22"/>
        </w:rPr>
        <w:t>reo</w:t>
      </w:r>
      <w:proofErr w:type="spellEnd"/>
      <w:r w:rsidR="008D05DA" w:rsidRPr="00A01DDC">
        <w:rPr>
          <w:sz w:val="22"/>
        </w:rPr>
        <w:t xml:space="preserve"> Māori</w:t>
      </w:r>
      <w:r>
        <w:rPr>
          <w:sz w:val="22"/>
        </w:rPr>
        <w:t>.</w:t>
      </w:r>
    </w:p>
    <w:p w14:paraId="695AEBCB" w14:textId="17EEF722" w:rsidR="008D05DA" w:rsidRDefault="00F01E8D" w:rsidP="008D05DA">
      <w:pPr>
        <w:pStyle w:val="ListParagraph"/>
        <w:numPr>
          <w:ilvl w:val="0"/>
          <w:numId w:val="13"/>
        </w:numPr>
        <w:spacing w:after="0"/>
        <w:rPr>
          <w:sz w:val="22"/>
        </w:rPr>
      </w:pPr>
      <w:r w:rsidRPr="00F01E8D">
        <w:rPr>
          <w:sz w:val="22"/>
        </w:rPr>
        <w:t>Establish policies across DHBs that strengthen cultural safety for all staff</w:t>
      </w:r>
      <w:r w:rsidR="008D05DA">
        <w:rPr>
          <w:sz w:val="22"/>
        </w:rPr>
        <w:t>.</w:t>
      </w:r>
    </w:p>
    <w:p w14:paraId="6014C840" w14:textId="77777777" w:rsidR="008D05DA" w:rsidRPr="00BC0CF7" w:rsidRDefault="008D05DA" w:rsidP="008D05DA">
      <w:pPr>
        <w:spacing w:after="0"/>
      </w:pPr>
    </w:p>
    <w:p w14:paraId="1853229C" w14:textId="77777777" w:rsidR="008D05DA" w:rsidRPr="00BC0CF7" w:rsidRDefault="008D05DA" w:rsidP="008D05DA">
      <w:pPr>
        <w:pStyle w:val="Heading4"/>
      </w:pPr>
      <w:r w:rsidRPr="00BC0CF7">
        <w:t>Suggested measures</w:t>
      </w:r>
    </w:p>
    <w:p w14:paraId="4863689A" w14:textId="4CEEC752" w:rsidR="008D05DA" w:rsidRPr="00BC0CF7" w:rsidRDefault="008D05DA" w:rsidP="008D05DA">
      <w:pPr>
        <w:pStyle w:val="ListParagraph"/>
        <w:numPr>
          <w:ilvl w:val="0"/>
          <w:numId w:val="13"/>
        </w:numPr>
        <w:spacing w:after="0"/>
        <w:rPr>
          <w:sz w:val="22"/>
        </w:rPr>
      </w:pPr>
      <w:r w:rsidRPr="00BC0CF7">
        <w:rPr>
          <w:sz w:val="22"/>
        </w:rPr>
        <w:t>The number and percentage of Māori across health and disability workforce groups</w:t>
      </w:r>
      <w:r w:rsidR="00A668F0">
        <w:rPr>
          <w:sz w:val="22"/>
        </w:rPr>
        <w:t>.</w:t>
      </w:r>
    </w:p>
    <w:p w14:paraId="28B0C30C" w14:textId="0AFEFAC0" w:rsidR="008D05DA" w:rsidRPr="00BC0CF7" w:rsidRDefault="00A668F0" w:rsidP="008D05DA">
      <w:pPr>
        <w:pStyle w:val="ListParagraph"/>
        <w:numPr>
          <w:ilvl w:val="0"/>
          <w:numId w:val="13"/>
        </w:numPr>
        <w:spacing w:after="0"/>
        <w:rPr>
          <w:sz w:val="22"/>
        </w:rPr>
      </w:pPr>
      <w:r>
        <w:rPr>
          <w:sz w:val="22"/>
        </w:rPr>
        <w:t>T</w:t>
      </w:r>
      <w:r w:rsidR="008D05DA" w:rsidRPr="00BC0CF7">
        <w:rPr>
          <w:sz w:val="22"/>
        </w:rPr>
        <w:t>he number and percentage of Māori in professional leadership and management roles</w:t>
      </w:r>
      <w:r>
        <w:rPr>
          <w:sz w:val="22"/>
        </w:rPr>
        <w:t>.</w:t>
      </w:r>
    </w:p>
    <w:p w14:paraId="20377ACE" w14:textId="0F951839" w:rsidR="008D05DA" w:rsidRPr="00BC0CF7" w:rsidRDefault="00A668F0" w:rsidP="008D05DA">
      <w:pPr>
        <w:pStyle w:val="ListParagraph"/>
        <w:numPr>
          <w:ilvl w:val="0"/>
          <w:numId w:val="13"/>
        </w:numPr>
        <w:spacing w:after="0"/>
        <w:rPr>
          <w:sz w:val="22"/>
        </w:rPr>
      </w:pPr>
      <w:r>
        <w:rPr>
          <w:sz w:val="22"/>
        </w:rPr>
        <w:t>I</w:t>
      </w:r>
      <w:r w:rsidR="008D05DA" w:rsidRPr="00BC0CF7">
        <w:rPr>
          <w:sz w:val="22"/>
        </w:rPr>
        <w:t>ncreased levels of Māori workforce satisfaction</w:t>
      </w:r>
      <w:r>
        <w:rPr>
          <w:sz w:val="22"/>
        </w:rPr>
        <w:t>.</w:t>
      </w:r>
    </w:p>
    <w:p w14:paraId="0B6EE357" w14:textId="536D70B7" w:rsidR="008D05DA" w:rsidRPr="00BC0CF7" w:rsidRDefault="008D05DA" w:rsidP="008D05DA">
      <w:pPr>
        <w:pStyle w:val="ListParagraph"/>
        <w:numPr>
          <w:ilvl w:val="0"/>
          <w:numId w:val="13"/>
        </w:numPr>
        <w:spacing w:after="0"/>
        <w:rPr>
          <w:sz w:val="22"/>
        </w:rPr>
      </w:pPr>
      <w:r w:rsidRPr="00BC0CF7">
        <w:rPr>
          <w:sz w:val="22"/>
        </w:rPr>
        <w:t>DHBs with implemented cultural competence policies</w:t>
      </w:r>
      <w:r w:rsidR="00A668F0">
        <w:rPr>
          <w:sz w:val="22"/>
        </w:rPr>
        <w:t>.</w:t>
      </w:r>
    </w:p>
    <w:p w14:paraId="3814446B" w14:textId="2CBBEF0A" w:rsidR="008D05DA" w:rsidRPr="00BC0CF7" w:rsidRDefault="00A668F0" w:rsidP="008D05DA">
      <w:pPr>
        <w:pStyle w:val="ListParagraph"/>
        <w:numPr>
          <w:ilvl w:val="0"/>
          <w:numId w:val="13"/>
        </w:numPr>
        <w:spacing w:after="0"/>
        <w:rPr>
          <w:sz w:val="22"/>
        </w:rPr>
      </w:pPr>
      <w:r>
        <w:rPr>
          <w:sz w:val="22"/>
        </w:rPr>
        <w:t>N</w:t>
      </w:r>
      <w:r w:rsidR="008D05DA" w:rsidRPr="00BC0CF7">
        <w:rPr>
          <w:sz w:val="22"/>
        </w:rPr>
        <w:t xml:space="preserve">umber of health workforce </w:t>
      </w:r>
      <w:r w:rsidR="0085012E">
        <w:rPr>
          <w:sz w:val="22"/>
        </w:rPr>
        <w:t xml:space="preserve">members </w:t>
      </w:r>
      <w:r w:rsidR="008D05DA" w:rsidRPr="00BC0CF7">
        <w:rPr>
          <w:sz w:val="22"/>
        </w:rPr>
        <w:t xml:space="preserve">who are te </w:t>
      </w:r>
      <w:proofErr w:type="spellStart"/>
      <w:r w:rsidR="008D05DA" w:rsidRPr="00BC0CF7">
        <w:rPr>
          <w:sz w:val="22"/>
        </w:rPr>
        <w:t>reo</w:t>
      </w:r>
      <w:proofErr w:type="spellEnd"/>
      <w:r w:rsidR="008D05DA" w:rsidRPr="00BC0CF7">
        <w:rPr>
          <w:sz w:val="22"/>
        </w:rPr>
        <w:t xml:space="preserve"> Māori speakers</w:t>
      </w:r>
      <w:r>
        <w:rPr>
          <w:sz w:val="22"/>
        </w:rPr>
        <w:t>.</w:t>
      </w:r>
    </w:p>
    <w:p w14:paraId="7C917F1B" w14:textId="60D23508" w:rsidR="008D05DA" w:rsidRDefault="008D05DA" w:rsidP="008D05DA">
      <w:pPr>
        <w:pStyle w:val="ListParagraph"/>
        <w:numPr>
          <w:ilvl w:val="0"/>
          <w:numId w:val="13"/>
        </w:numPr>
        <w:spacing w:after="0"/>
        <w:rPr>
          <w:sz w:val="22"/>
        </w:rPr>
      </w:pPr>
      <w:r w:rsidRPr="00A01DDC">
        <w:rPr>
          <w:sz w:val="22"/>
        </w:rPr>
        <w:t>(</w:t>
      </w:r>
      <w:r w:rsidR="00A668F0">
        <w:rPr>
          <w:sz w:val="22"/>
        </w:rPr>
        <w:t>O</w:t>
      </w:r>
      <w:r w:rsidRPr="00A01DDC">
        <w:rPr>
          <w:sz w:val="22"/>
        </w:rPr>
        <w:t>thers to be determined).</w:t>
      </w:r>
    </w:p>
    <w:p w14:paraId="74C61E86" w14:textId="77777777" w:rsidR="008D05DA" w:rsidRPr="00BC0CF7" w:rsidRDefault="008D05DA" w:rsidP="008D05DA">
      <w:pPr>
        <w:spacing w:after="0"/>
      </w:pPr>
    </w:p>
    <w:p w14:paraId="125D3CE7" w14:textId="4D1417AF" w:rsidR="00BC0CF7" w:rsidRDefault="00495F89" w:rsidP="00BC0CF7">
      <w:pPr>
        <w:pStyle w:val="Heading2"/>
        <w:pageBreakBefore/>
      </w:pPr>
      <w:bookmarkStart w:id="19" w:name="_Toc17195722"/>
      <w:r>
        <w:lastRenderedPageBreak/>
        <w:t xml:space="preserve">Priority area </w:t>
      </w:r>
      <w:r w:rsidR="004171E8">
        <w:t>seven</w:t>
      </w:r>
      <w:r>
        <w:t xml:space="preserve">: </w:t>
      </w:r>
      <w:r w:rsidR="00BC0CF7">
        <w:t>Quality systems reflect good practice</w:t>
      </w:r>
      <w:bookmarkEnd w:id="19"/>
    </w:p>
    <w:p w14:paraId="62212ACB" w14:textId="60D6BB5E" w:rsidR="00D64CE4" w:rsidRDefault="00BC0CF7" w:rsidP="00D64CE4">
      <w:pPr>
        <w:pStyle w:val="Heading4"/>
      </w:pPr>
      <w:r>
        <w:t>Objective</w:t>
      </w:r>
    </w:p>
    <w:p w14:paraId="7EA334BA" w14:textId="40CE28F3" w:rsidR="00BC0CF7" w:rsidRDefault="00542515" w:rsidP="00BC0CF7">
      <w:pPr>
        <w:spacing w:after="0"/>
      </w:pPr>
      <w:r>
        <w:t>E</w:t>
      </w:r>
      <w:r w:rsidRPr="00542515">
        <w:t>nhance quality and safety standards and frameworks across the health and disability sector to build capacity and capability to deliver improved health outcomes for Māori</w:t>
      </w:r>
      <w:r w:rsidR="0085012E">
        <w:t>.</w:t>
      </w:r>
    </w:p>
    <w:p w14:paraId="48067057" w14:textId="77777777" w:rsidR="00542515" w:rsidRDefault="00542515" w:rsidP="00BC0CF7">
      <w:pPr>
        <w:spacing w:after="0"/>
      </w:pPr>
    </w:p>
    <w:p w14:paraId="715A3472" w14:textId="6FCA1149" w:rsidR="00495F89" w:rsidRDefault="00495F89" w:rsidP="00495F89">
      <w:pPr>
        <w:pStyle w:val="Heading4"/>
        <w:jc w:val="both"/>
      </w:pPr>
      <w:r>
        <w:t xml:space="preserve">Rationale </w:t>
      </w:r>
    </w:p>
    <w:p w14:paraId="3F83A8FE" w14:textId="6D5BB46B" w:rsidR="007D03C4" w:rsidRDefault="007D03C4" w:rsidP="007D03C4">
      <w:pPr>
        <w:spacing w:after="0"/>
      </w:pPr>
      <w:r>
        <w:t>The health system needs to improve its quality and safety standards and frameworks to better guide the sector and workforce to achieve health equity for Māori and deliver whānau</w:t>
      </w:r>
      <w:r w:rsidR="0085012E">
        <w:t>-</w:t>
      </w:r>
      <w:r>
        <w:t xml:space="preserve">centred care. It is the Ministry’s responsibility </w:t>
      </w:r>
      <w:r w:rsidR="00A668F0">
        <w:t>(</w:t>
      </w:r>
      <w:r>
        <w:t>supported by Health Quality and Safety Commission and the Health Disability Commissioner</w:t>
      </w:r>
      <w:r w:rsidR="00A668F0">
        <w:t>)</w:t>
      </w:r>
      <w:r>
        <w:t xml:space="preserve"> to support the sector to promote the safe provision of health and disability services, enable the establishment of consistent and reasonable standards for providing services</w:t>
      </w:r>
      <w:r w:rsidR="0085012E">
        <w:t>,</w:t>
      </w:r>
      <w:r>
        <w:t xml:space="preserve"> and encourage providers to take responsibility for providing culturally</w:t>
      </w:r>
      <w:r w:rsidR="0085012E">
        <w:t>-</w:t>
      </w:r>
      <w:r>
        <w:t>responsive and appropriate services for Māori.</w:t>
      </w:r>
    </w:p>
    <w:p w14:paraId="04A4E352" w14:textId="77777777" w:rsidR="007D03C4" w:rsidRDefault="007D03C4" w:rsidP="007D03C4">
      <w:pPr>
        <w:spacing w:after="0"/>
      </w:pPr>
    </w:p>
    <w:p w14:paraId="2C9ADB0C" w14:textId="722568CD" w:rsidR="00495F89" w:rsidRDefault="00495F89" w:rsidP="007D03C4">
      <w:pPr>
        <w:spacing w:after="0"/>
      </w:pPr>
      <w:r>
        <w:t>Māori are engaging far less frequently with the health system than their non-Māori counterparts, and their engagements are often shorter and do not adequately address the issues at hand. This is evidenced by the higher reported level of unmet need for primary care and pharmaceuticals reported in the New Zealand Health Survey</w:t>
      </w:r>
      <w:r w:rsidR="004F6B9D">
        <w:t xml:space="preserve"> (Ministry of Health 2019c)</w:t>
      </w:r>
      <w:r>
        <w:t>, higher rates of ambulatory sensitive hospitalisations</w:t>
      </w:r>
      <w:r w:rsidR="001F53CB">
        <w:t xml:space="preserve"> (Ministry of Health 2019d)</w:t>
      </w:r>
      <w:r w:rsidR="0085012E">
        <w:t>,</w:t>
      </w:r>
      <w:r>
        <w:t xml:space="preserve"> and inequitable differences in cancer survivability</w:t>
      </w:r>
      <w:r w:rsidR="001F53CB">
        <w:t xml:space="preserve"> (Teng et. al. 2016)</w:t>
      </w:r>
      <w:r>
        <w:t>.</w:t>
      </w:r>
    </w:p>
    <w:p w14:paraId="557CC9E7" w14:textId="77777777" w:rsidR="00BC0CF7" w:rsidRDefault="00BC0CF7" w:rsidP="00BC0CF7">
      <w:pPr>
        <w:spacing w:after="0"/>
      </w:pPr>
    </w:p>
    <w:p w14:paraId="56AC3727" w14:textId="494363D7" w:rsidR="00BE016C" w:rsidRDefault="00BE016C" w:rsidP="00BC0CF7">
      <w:pPr>
        <w:spacing w:after="0"/>
      </w:pPr>
      <w:r>
        <w:t>Encouraging a quality and culturally</w:t>
      </w:r>
      <w:r w:rsidR="0085012E">
        <w:t>-</w:t>
      </w:r>
      <w:r>
        <w:t>safe system will ensure the sector is aligning with the priorities of He Korowai Oranga, through supporting the Māori and Crown aspirations for Māori health. This will, in turn, create a more effective health and disability system that is responsive to the needs of Māori.</w:t>
      </w:r>
    </w:p>
    <w:p w14:paraId="4105E6E5" w14:textId="77777777" w:rsidR="00BC0CF7" w:rsidRDefault="00BC0CF7" w:rsidP="00BC0CF7">
      <w:pPr>
        <w:spacing w:after="0"/>
      </w:pPr>
    </w:p>
    <w:p w14:paraId="58784C68" w14:textId="77777777" w:rsidR="00495F89" w:rsidRDefault="00495F89" w:rsidP="00495F89">
      <w:pPr>
        <w:pStyle w:val="Heading4"/>
        <w:jc w:val="both"/>
      </w:pPr>
      <w:r>
        <w:t xml:space="preserve">Suggested actions </w:t>
      </w:r>
    </w:p>
    <w:p w14:paraId="25B30EE5" w14:textId="7AA80821" w:rsidR="00A72289" w:rsidRPr="00A72289" w:rsidRDefault="00A72289" w:rsidP="005E61C4">
      <w:pPr>
        <w:pStyle w:val="ListParagraph"/>
        <w:numPr>
          <w:ilvl w:val="0"/>
          <w:numId w:val="13"/>
        </w:numPr>
        <w:spacing w:after="0"/>
        <w:rPr>
          <w:sz w:val="22"/>
        </w:rPr>
      </w:pPr>
      <w:r w:rsidRPr="00A72289">
        <w:rPr>
          <w:sz w:val="22"/>
        </w:rPr>
        <w:t>Support work underway that has implications for improving the sector's responsiveness to Māori, such as the review of Health and Disability Services Standards</w:t>
      </w:r>
      <w:r w:rsidR="00A668F0">
        <w:rPr>
          <w:sz w:val="22"/>
        </w:rPr>
        <w:t>.</w:t>
      </w:r>
    </w:p>
    <w:p w14:paraId="614F2B60" w14:textId="1B4CE01D" w:rsidR="00A72289" w:rsidRPr="00A72289" w:rsidRDefault="00A668F0" w:rsidP="005E61C4">
      <w:pPr>
        <w:pStyle w:val="ListParagraph"/>
        <w:numPr>
          <w:ilvl w:val="0"/>
          <w:numId w:val="13"/>
        </w:numPr>
        <w:spacing w:after="0"/>
        <w:rPr>
          <w:sz w:val="22"/>
        </w:rPr>
      </w:pPr>
      <w:r>
        <w:rPr>
          <w:sz w:val="22"/>
        </w:rPr>
        <w:t>E</w:t>
      </w:r>
      <w:r w:rsidR="00A72289" w:rsidRPr="00A72289">
        <w:rPr>
          <w:sz w:val="22"/>
        </w:rPr>
        <w:t>stablish an approach to address racism and discrimination and long-term system planning to address its impact on core quality and safety policy, systems and frameworks</w:t>
      </w:r>
      <w:r>
        <w:rPr>
          <w:sz w:val="22"/>
        </w:rPr>
        <w:t>.</w:t>
      </w:r>
    </w:p>
    <w:p w14:paraId="353FE6F4" w14:textId="38C7B37B" w:rsidR="00A72289" w:rsidRPr="00A72289" w:rsidRDefault="00A668F0" w:rsidP="005E61C4">
      <w:pPr>
        <w:pStyle w:val="ListParagraph"/>
        <w:numPr>
          <w:ilvl w:val="0"/>
          <w:numId w:val="13"/>
        </w:numPr>
        <w:spacing w:after="0"/>
        <w:rPr>
          <w:sz w:val="22"/>
        </w:rPr>
      </w:pPr>
      <w:r>
        <w:rPr>
          <w:sz w:val="22"/>
        </w:rPr>
        <w:t>S</w:t>
      </w:r>
      <w:r w:rsidR="00A72289" w:rsidRPr="00A72289">
        <w:rPr>
          <w:sz w:val="22"/>
        </w:rPr>
        <w:t>upport the adoption of holistic whānau</w:t>
      </w:r>
      <w:r w:rsidR="0085012E">
        <w:rPr>
          <w:sz w:val="22"/>
        </w:rPr>
        <w:t>-c</w:t>
      </w:r>
      <w:r w:rsidR="00A72289" w:rsidRPr="00A72289">
        <w:rPr>
          <w:sz w:val="22"/>
        </w:rPr>
        <w:t>entred approaches across the health and disability system</w:t>
      </w:r>
      <w:r>
        <w:rPr>
          <w:sz w:val="22"/>
        </w:rPr>
        <w:t>.</w:t>
      </w:r>
    </w:p>
    <w:p w14:paraId="6F8BF9C0" w14:textId="0548B452" w:rsidR="00A72289" w:rsidRPr="00A72289" w:rsidRDefault="00A668F0" w:rsidP="005E61C4">
      <w:pPr>
        <w:pStyle w:val="ListParagraph"/>
        <w:numPr>
          <w:ilvl w:val="0"/>
          <w:numId w:val="13"/>
        </w:numPr>
        <w:spacing w:after="0"/>
        <w:rPr>
          <w:sz w:val="22"/>
        </w:rPr>
      </w:pPr>
      <w:r>
        <w:rPr>
          <w:sz w:val="22"/>
        </w:rPr>
        <w:t>A</w:t>
      </w:r>
      <w:r w:rsidR="00A72289" w:rsidRPr="00A72289">
        <w:rPr>
          <w:sz w:val="22"/>
        </w:rPr>
        <w:t>s policies, standards and frameworks come up for review, ensure that they are updated and reflective of the health and disability system's obligations to Māori</w:t>
      </w:r>
      <w:r>
        <w:rPr>
          <w:sz w:val="22"/>
        </w:rPr>
        <w:t>.</w:t>
      </w:r>
    </w:p>
    <w:p w14:paraId="1F0E8034" w14:textId="49E1922E" w:rsidR="00495F89" w:rsidRDefault="00A668F0" w:rsidP="005E61C4">
      <w:pPr>
        <w:pStyle w:val="ListParagraph"/>
        <w:numPr>
          <w:ilvl w:val="0"/>
          <w:numId w:val="13"/>
        </w:numPr>
        <w:spacing w:after="0"/>
        <w:rPr>
          <w:sz w:val="22"/>
        </w:rPr>
      </w:pPr>
      <w:r>
        <w:rPr>
          <w:sz w:val="22"/>
        </w:rPr>
        <w:t>E</w:t>
      </w:r>
      <w:r w:rsidR="00A72289" w:rsidRPr="00A72289">
        <w:rPr>
          <w:sz w:val="22"/>
        </w:rPr>
        <w:t>stablish more comprehensive measurements of Māori trust and engagement with the system</w:t>
      </w:r>
      <w:r w:rsidR="00495F89">
        <w:rPr>
          <w:sz w:val="22"/>
        </w:rPr>
        <w:t>.</w:t>
      </w:r>
    </w:p>
    <w:p w14:paraId="3FE8BD94" w14:textId="77777777" w:rsidR="00BC0CF7" w:rsidRPr="00BC0CF7" w:rsidRDefault="00BC0CF7" w:rsidP="00BC0CF7">
      <w:pPr>
        <w:spacing w:after="0"/>
      </w:pPr>
    </w:p>
    <w:p w14:paraId="0A590AA9" w14:textId="77777777" w:rsidR="00495F89" w:rsidRDefault="00495F89" w:rsidP="00495F89">
      <w:pPr>
        <w:pStyle w:val="Heading4"/>
        <w:jc w:val="both"/>
      </w:pPr>
      <w:r>
        <w:lastRenderedPageBreak/>
        <w:t>Suggested measures</w:t>
      </w:r>
    </w:p>
    <w:p w14:paraId="0C3153A1" w14:textId="460BB263" w:rsidR="00A72289" w:rsidRPr="00A72289" w:rsidRDefault="00A72289" w:rsidP="005E61C4">
      <w:pPr>
        <w:pStyle w:val="ListParagraph"/>
        <w:numPr>
          <w:ilvl w:val="0"/>
          <w:numId w:val="13"/>
        </w:numPr>
        <w:spacing w:after="0"/>
        <w:rPr>
          <w:sz w:val="22"/>
        </w:rPr>
      </w:pPr>
      <w:r w:rsidRPr="00A72289">
        <w:rPr>
          <w:sz w:val="22"/>
        </w:rPr>
        <w:t>Number of regulated providers meeting standards for providing health and disability services to Māori</w:t>
      </w:r>
      <w:r w:rsidR="00A668F0">
        <w:rPr>
          <w:sz w:val="22"/>
        </w:rPr>
        <w:t>.</w:t>
      </w:r>
    </w:p>
    <w:p w14:paraId="5B6202AE" w14:textId="513A5640" w:rsidR="00A72289" w:rsidRDefault="00A668F0" w:rsidP="005E61C4">
      <w:pPr>
        <w:pStyle w:val="ListParagraph"/>
        <w:numPr>
          <w:ilvl w:val="0"/>
          <w:numId w:val="13"/>
        </w:numPr>
        <w:spacing w:after="0"/>
        <w:rPr>
          <w:sz w:val="22"/>
        </w:rPr>
      </w:pPr>
      <w:r>
        <w:rPr>
          <w:sz w:val="22"/>
        </w:rPr>
        <w:t>I</w:t>
      </w:r>
      <w:r w:rsidR="00A72289" w:rsidRPr="00A72289">
        <w:rPr>
          <w:sz w:val="22"/>
        </w:rPr>
        <w:t>ncreased trust and confidence by Māori in the system</w:t>
      </w:r>
      <w:r>
        <w:rPr>
          <w:sz w:val="22"/>
        </w:rPr>
        <w:t>.</w:t>
      </w:r>
    </w:p>
    <w:p w14:paraId="251FB94F" w14:textId="31E3A549" w:rsidR="00A72289" w:rsidRDefault="00A72289" w:rsidP="005E61C4">
      <w:pPr>
        <w:pStyle w:val="ListParagraph"/>
        <w:numPr>
          <w:ilvl w:val="0"/>
          <w:numId w:val="13"/>
        </w:numPr>
        <w:spacing w:after="0"/>
        <w:rPr>
          <w:sz w:val="22"/>
        </w:rPr>
      </w:pPr>
      <w:r w:rsidRPr="00A01DDC">
        <w:rPr>
          <w:sz w:val="22"/>
        </w:rPr>
        <w:t>(</w:t>
      </w:r>
      <w:r w:rsidR="00A668F0">
        <w:rPr>
          <w:sz w:val="22"/>
        </w:rPr>
        <w:t>O</w:t>
      </w:r>
      <w:r w:rsidRPr="00A01DDC">
        <w:rPr>
          <w:sz w:val="22"/>
        </w:rPr>
        <w:t>thers to be determined).</w:t>
      </w:r>
    </w:p>
    <w:p w14:paraId="75895ADB" w14:textId="77777777" w:rsidR="00A72289" w:rsidRPr="00A72289" w:rsidRDefault="00A72289" w:rsidP="00A72289">
      <w:pPr>
        <w:spacing w:after="0"/>
      </w:pPr>
    </w:p>
    <w:p w14:paraId="0269CC6C" w14:textId="2340C9F9" w:rsidR="00A72289" w:rsidRDefault="004171E8" w:rsidP="00A72289">
      <w:pPr>
        <w:pStyle w:val="Heading2"/>
        <w:pageBreakBefore/>
      </w:pPr>
      <w:bookmarkStart w:id="20" w:name="_Toc17195723"/>
      <w:r>
        <w:lastRenderedPageBreak/>
        <w:t xml:space="preserve">Priority area eight: </w:t>
      </w:r>
      <w:r w:rsidR="00FA2670">
        <w:t>Clear evidence of performance</w:t>
      </w:r>
      <w:bookmarkEnd w:id="20"/>
    </w:p>
    <w:p w14:paraId="7D7936EA" w14:textId="444C757F" w:rsidR="00D64CE4" w:rsidRDefault="00A72289" w:rsidP="00D64CE4">
      <w:pPr>
        <w:pStyle w:val="Heading4"/>
      </w:pPr>
      <w:r>
        <w:t>Objective</w:t>
      </w:r>
    </w:p>
    <w:p w14:paraId="2E3CA0D3" w14:textId="22333CC2" w:rsidR="00D64CE4" w:rsidRDefault="00542515" w:rsidP="00A72289">
      <w:pPr>
        <w:spacing w:after="0"/>
      </w:pPr>
      <w:r w:rsidRPr="00542515">
        <w:t>Aligned measures and monitoring approaches with increased access to powerful insights to understand the differences in Māori outcomes and the progress being made</w:t>
      </w:r>
      <w:r w:rsidR="00D64CE4">
        <w:t>.</w:t>
      </w:r>
    </w:p>
    <w:p w14:paraId="005E716A" w14:textId="77777777" w:rsidR="00A72289" w:rsidRPr="00267A40" w:rsidRDefault="00A72289" w:rsidP="00A72289">
      <w:pPr>
        <w:spacing w:after="0"/>
      </w:pPr>
    </w:p>
    <w:p w14:paraId="2BE69B49" w14:textId="77777777" w:rsidR="004171E8" w:rsidRDefault="004171E8" w:rsidP="00A72289">
      <w:pPr>
        <w:pStyle w:val="Heading4"/>
      </w:pPr>
      <w:r w:rsidRPr="00267A40">
        <w:t>Rationale</w:t>
      </w:r>
    </w:p>
    <w:p w14:paraId="06DF6968" w14:textId="3A86D9B3" w:rsidR="00116C06" w:rsidRDefault="00781138" w:rsidP="00A72289">
      <w:pPr>
        <w:spacing w:after="0"/>
      </w:pPr>
      <w:r>
        <w:t>Quality health data is a key</w:t>
      </w:r>
      <w:r w:rsidRPr="00686461">
        <w:t xml:space="preserve"> asset for Māori development</w:t>
      </w:r>
      <w:r>
        <w:t>. This will e</w:t>
      </w:r>
      <w:r w:rsidRPr="00F9351D">
        <w:t xml:space="preserve">nable Māori individuals, whānau, </w:t>
      </w:r>
      <w:r w:rsidR="00582EB5">
        <w:t>hapū</w:t>
      </w:r>
      <w:r w:rsidR="0085012E">
        <w:t xml:space="preserve"> and</w:t>
      </w:r>
      <w:r w:rsidRPr="00F9351D">
        <w:t xml:space="preserve"> iwi to make the best decisions to support their communities in the ways that meet their development needs and aspirations.</w:t>
      </w:r>
      <w:r>
        <w:t xml:space="preserve"> Progress towards </w:t>
      </w:r>
      <w:proofErr w:type="spellStart"/>
      <w:r>
        <w:t>pae</w:t>
      </w:r>
      <w:proofErr w:type="spellEnd"/>
      <w:r>
        <w:t xml:space="preserve"> </w:t>
      </w:r>
      <w:proofErr w:type="spellStart"/>
      <w:r>
        <w:t>ora</w:t>
      </w:r>
      <w:proofErr w:type="spellEnd"/>
      <w:r>
        <w:t xml:space="preserve"> will require enabling Māori to have</w:t>
      </w:r>
      <w:r w:rsidRPr="00686461">
        <w:t xml:space="preserve"> greater access, governance and </w:t>
      </w:r>
      <w:r>
        <w:t xml:space="preserve">capability </w:t>
      </w:r>
      <w:r w:rsidRPr="00686461">
        <w:t>to better use data that is relevant</w:t>
      </w:r>
      <w:r>
        <w:t>.</w:t>
      </w:r>
    </w:p>
    <w:p w14:paraId="52BA5BD0" w14:textId="77777777" w:rsidR="00116C06" w:rsidRDefault="00116C06" w:rsidP="00A72289">
      <w:pPr>
        <w:spacing w:after="0"/>
      </w:pPr>
    </w:p>
    <w:p w14:paraId="48E00F9E" w14:textId="43DB64E4" w:rsidR="004171E8" w:rsidRDefault="00781138" w:rsidP="00A72289">
      <w:pPr>
        <w:spacing w:after="0"/>
      </w:pPr>
      <w:r>
        <w:t xml:space="preserve">Data must also be better collected, analysed, and utilised by the Ministry, DHBs, providers, and across wider sectors, to respond to inequities for </w:t>
      </w:r>
      <w:r w:rsidR="00281A2B">
        <w:t>Māori.</w:t>
      </w:r>
      <w:r w:rsidR="00281A2B" w:rsidRPr="00686461">
        <w:t xml:space="preserve"> Indigenous</w:t>
      </w:r>
      <w:r w:rsidR="004171E8" w:rsidRPr="00686461">
        <w:t xml:space="preserve"> data sovereignty is supported by international policy</w:t>
      </w:r>
      <w:r w:rsidR="004171E8">
        <w:t xml:space="preserve">, including the </w:t>
      </w:r>
      <w:r w:rsidR="004171E8" w:rsidRPr="00686461">
        <w:t>United Nations Declaration on th</w:t>
      </w:r>
      <w:r w:rsidR="004171E8">
        <w:t xml:space="preserve">e Rights of Indigenous Peoples, and the </w:t>
      </w:r>
      <w:r w:rsidR="004171E8" w:rsidRPr="00686461">
        <w:t>WHO Commission on th</w:t>
      </w:r>
      <w:r w:rsidR="004171E8">
        <w:t>e Social Determinants of Health.</w:t>
      </w:r>
    </w:p>
    <w:p w14:paraId="20CF99BC" w14:textId="57499810" w:rsidR="00116C06" w:rsidRDefault="00116C06" w:rsidP="00A72289">
      <w:pPr>
        <w:spacing w:after="0"/>
      </w:pPr>
    </w:p>
    <w:p w14:paraId="3D5B84B1" w14:textId="0B737EE1" w:rsidR="00116C06" w:rsidRDefault="00116C06" w:rsidP="00A72289">
      <w:pPr>
        <w:spacing w:after="0"/>
      </w:pPr>
      <w:r w:rsidRPr="00116C06">
        <w:t xml:space="preserve">In considering the challenges posed in achieving equitable health outcomes </w:t>
      </w:r>
      <w:r>
        <w:t>for Māori</w:t>
      </w:r>
      <w:r w:rsidRPr="00116C06">
        <w:t xml:space="preserve">, it is essential to understand where equity gaps exist and along what dimensions. </w:t>
      </w:r>
      <w:r>
        <w:t>D</w:t>
      </w:r>
      <w:r w:rsidRPr="00116C06">
        <w:t xml:space="preserve">etailed, disaggregated and reliable data and analytics </w:t>
      </w:r>
      <w:r>
        <w:t xml:space="preserve">over time </w:t>
      </w:r>
      <w:r w:rsidRPr="00116C06">
        <w:t>are critical</w:t>
      </w:r>
      <w:r>
        <w:t xml:space="preserve"> for policy development, service design and monitoring progress</w:t>
      </w:r>
      <w:r w:rsidRPr="00116C06">
        <w:t>. Aggregated data can hide variability and can lead to decisions that, while improving overall average performance, leave significant disparities between individuals and groups.</w:t>
      </w:r>
    </w:p>
    <w:p w14:paraId="14C45AB9" w14:textId="4BD93563" w:rsidR="00116C06" w:rsidRDefault="00116C06" w:rsidP="00A72289">
      <w:pPr>
        <w:spacing w:after="0"/>
      </w:pPr>
    </w:p>
    <w:p w14:paraId="1E05CABF" w14:textId="1AD70B3E" w:rsidR="00116C06" w:rsidRDefault="00116C06" w:rsidP="00116C06">
      <w:pPr>
        <w:spacing w:after="0"/>
      </w:pPr>
      <w:r>
        <w:t>Currently, service utilisation analytics is the most prolific and up</w:t>
      </w:r>
      <w:r w:rsidR="0085012E">
        <w:t>-</w:t>
      </w:r>
      <w:r>
        <w:t>to</w:t>
      </w:r>
      <w:r w:rsidR="0085012E">
        <w:t>-</w:t>
      </w:r>
      <w:r>
        <w:t xml:space="preserve">date in the health and disability system. Data focusing on outcomes or at family/community level is rarer and often takes </w:t>
      </w:r>
      <w:r w:rsidR="0085012E">
        <w:t xml:space="preserve">longer </w:t>
      </w:r>
      <w:r>
        <w:t>to become available.</w:t>
      </w:r>
    </w:p>
    <w:p w14:paraId="22143286" w14:textId="77777777" w:rsidR="00A72289" w:rsidRDefault="00A72289" w:rsidP="00A72289">
      <w:pPr>
        <w:spacing w:after="0"/>
      </w:pPr>
    </w:p>
    <w:p w14:paraId="3C0D0557" w14:textId="77777777" w:rsidR="004171E8" w:rsidRPr="00686461" w:rsidRDefault="004171E8" w:rsidP="004171E8">
      <w:pPr>
        <w:pStyle w:val="Heading4"/>
        <w:jc w:val="both"/>
      </w:pPr>
      <w:r>
        <w:t>Suggested</w:t>
      </w:r>
      <w:r w:rsidRPr="00686461">
        <w:t xml:space="preserve"> </w:t>
      </w:r>
      <w:r>
        <w:t>a</w:t>
      </w:r>
      <w:r w:rsidRPr="00686461">
        <w:t>ctions</w:t>
      </w:r>
    </w:p>
    <w:p w14:paraId="4D5F450D" w14:textId="457F55A3" w:rsidR="00A72289" w:rsidRPr="00A72289" w:rsidRDefault="00A72289" w:rsidP="005E61C4">
      <w:pPr>
        <w:pStyle w:val="ListParagraph"/>
        <w:numPr>
          <w:ilvl w:val="0"/>
          <w:numId w:val="13"/>
        </w:numPr>
        <w:spacing w:after="0"/>
        <w:rPr>
          <w:sz w:val="22"/>
        </w:rPr>
      </w:pPr>
      <w:r w:rsidRPr="00A72289">
        <w:rPr>
          <w:sz w:val="22"/>
        </w:rPr>
        <w:t>Implement the 2017 Ethnicity Data Protocols</w:t>
      </w:r>
      <w:r w:rsidR="00A668F0">
        <w:rPr>
          <w:sz w:val="22"/>
        </w:rPr>
        <w:t>.</w:t>
      </w:r>
    </w:p>
    <w:p w14:paraId="5AE8EE1F" w14:textId="410528A7" w:rsidR="00A72289" w:rsidRPr="00A72289" w:rsidRDefault="00A72289" w:rsidP="005E61C4">
      <w:pPr>
        <w:pStyle w:val="ListParagraph"/>
        <w:numPr>
          <w:ilvl w:val="0"/>
          <w:numId w:val="13"/>
        </w:numPr>
        <w:spacing w:after="0"/>
        <w:rPr>
          <w:sz w:val="22"/>
        </w:rPr>
      </w:pPr>
      <w:r w:rsidRPr="00A72289">
        <w:rPr>
          <w:sz w:val="22"/>
        </w:rPr>
        <w:t>Collect Iwi data as part of the National Health Index</w:t>
      </w:r>
      <w:r w:rsidR="00A668F0">
        <w:rPr>
          <w:sz w:val="22"/>
        </w:rPr>
        <w:t>.</w:t>
      </w:r>
    </w:p>
    <w:p w14:paraId="3503F268" w14:textId="7DF571B8" w:rsidR="00A72289" w:rsidRPr="00A72289" w:rsidRDefault="00A72289" w:rsidP="005E61C4">
      <w:pPr>
        <w:pStyle w:val="ListParagraph"/>
        <w:numPr>
          <w:ilvl w:val="0"/>
          <w:numId w:val="13"/>
        </w:numPr>
        <w:spacing w:after="0"/>
        <w:rPr>
          <w:sz w:val="22"/>
        </w:rPr>
      </w:pPr>
      <w:r w:rsidRPr="00A72289">
        <w:rPr>
          <w:sz w:val="22"/>
        </w:rPr>
        <w:t xml:space="preserve">Support the work of </w:t>
      </w:r>
      <w:proofErr w:type="spellStart"/>
      <w:r w:rsidRPr="00A72289">
        <w:rPr>
          <w:sz w:val="22"/>
        </w:rPr>
        <w:t>StatsNZ</w:t>
      </w:r>
      <w:proofErr w:type="spellEnd"/>
      <w:r w:rsidRPr="00A72289">
        <w:rPr>
          <w:sz w:val="22"/>
        </w:rPr>
        <w:t xml:space="preserve"> to create a comprehensive view of wellbeing, and to design a Treaty-based Māori approach to data governance across the official data system</w:t>
      </w:r>
      <w:r w:rsidR="00A668F0">
        <w:rPr>
          <w:sz w:val="22"/>
        </w:rPr>
        <w:t>.</w:t>
      </w:r>
    </w:p>
    <w:p w14:paraId="73773CC5" w14:textId="4C18A4FE" w:rsidR="00A72289" w:rsidRPr="00A72289" w:rsidRDefault="00A668F0" w:rsidP="005E61C4">
      <w:pPr>
        <w:pStyle w:val="ListParagraph"/>
        <w:numPr>
          <w:ilvl w:val="0"/>
          <w:numId w:val="13"/>
        </w:numPr>
        <w:spacing w:after="0"/>
        <w:rPr>
          <w:sz w:val="22"/>
        </w:rPr>
      </w:pPr>
      <w:r>
        <w:rPr>
          <w:sz w:val="22"/>
        </w:rPr>
        <w:t>D</w:t>
      </w:r>
      <w:r w:rsidR="00A72289" w:rsidRPr="00A72289">
        <w:rPr>
          <w:sz w:val="22"/>
        </w:rPr>
        <w:t xml:space="preserve">esign a primary health research agenda with Māori experts </w:t>
      </w:r>
      <w:r>
        <w:rPr>
          <w:sz w:val="22"/>
        </w:rPr>
        <w:t>(</w:t>
      </w:r>
      <w:r w:rsidR="00A72289" w:rsidRPr="00A72289">
        <w:rPr>
          <w:sz w:val="22"/>
        </w:rPr>
        <w:t>Wai 2575</w:t>
      </w:r>
      <w:r>
        <w:rPr>
          <w:sz w:val="22"/>
        </w:rPr>
        <w:t xml:space="preserve"> finding).</w:t>
      </w:r>
    </w:p>
    <w:p w14:paraId="40634C39" w14:textId="42DCA1D7" w:rsidR="00A72289" w:rsidRPr="00A72289" w:rsidRDefault="00A72289" w:rsidP="005E61C4">
      <w:pPr>
        <w:pStyle w:val="ListParagraph"/>
        <w:numPr>
          <w:ilvl w:val="0"/>
          <w:numId w:val="13"/>
        </w:numPr>
        <w:spacing w:after="0"/>
        <w:rPr>
          <w:sz w:val="22"/>
        </w:rPr>
      </w:pPr>
      <w:r w:rsidRPr="00A72289">
        <w:rPr>
          <w:sz w:val="22"/>
        </w:rPr>
        <w:t>Collect, report</w:t>
      </w:r>
      <w:r w:rsidR="0085012E">
        <w:rPr>
          <w:sz w:val="22"/>
        </w:rPr>
        <w:t>-</w:t>
      </w:r>
      <w:r w:rsidRPr="00A72289">
        <w:rPr>
          <w:sz w:val="22"/>
        </w:rPr>
        <w:t xml:space="preserve">on and make available robust quantitative and qualitative primary care data and information relevant to Māori health outcomes </w:t>
      </w:r>
      <w:r w:rsidR="00A668F0">
        <w:rPr>
          <w:sz w:val="22"/>
        </w:rPr>
        <w:t>(</w:t>
      </w:r>
      <w:r w:rsidR="00A668F0" w:rsidRPr="00A72289">
        <w:rPr>
          <w:sz w:val="22"/>
        </w:rPr>
        <w:t>Wai 2575</w:t>
      </w:r>
      <w:r w:rsidR="00A668F0">
        <w:rPr>
          <w:sz w:val="22"/>
        </w:rPr>
        <w:t xml:space="preserve"> finding).</w:t>
      </w:r>
    </w:p>
    <w:p w14:paraId="3C700DE2" w14:textId="2E445388" w:rsidR="00A72289" w:rsidRPr="00A72289" w:rsidRDefault="00A72289" w:rsidP="005E61C4">
      <w:pPr>
        <w:pStyle w:val="ListParagraph"/>
        <w:numPr>
          <w:ilvl w:val="0"/>
          <w:numId w:val="13"/>
        </w:numPr>
        <w:spacing w:after="0"/>
        <w:rPr>
          <w:sz w:val="22"/>
        </w:rPr>
      </w:pPr>
      <w:r w:rsidRPr="00A72289">
        <w:rPr>
          <w:sz w:val="22"/>
        </w:rPr>
        <w:t>Publicly report</w:t>
      </w:r>
      <w:r w:rsidR="0085012E">
        <w:rPr>
          <w:sz w:val="22"/>
        </w:rPr>
        <w:t>-</w:t>
      </w:r>
      <w:r w:rsidRPr="00A72289">
        <w:rPr>
          <w:sz w:val="22"/>
        </w:rPr>
        <w:t xml:space="preserve">against measures specific to Māori health outcomes </w:t>
      </w:r>
      <w:r w:rsidR="00A668F0">
        <w:rPr>
          <w:sz w:val="22"/>
        </w:rPr>
        <w:t>(</w:t>
      </w:r>
      <w:r w:rsidR="00A668F0" w:rsidRPr="00A72289">
        <w:rPr>
          <w:sz w:val="22"/>
        </w:rPr>
        <w:t>Wai 2575</w:t>
      </w:r>
      <w:r w:rsidR="00A668F0">
        <w:rPr>
          <w:sz w:val="22"/>
        </w:rPr>
        <w:t xml:space="preserve"> finding).</w:t>
      </w:r>
    </w:p>
    <w:p w14:paraId="31D17583" w14:textId="5188D31B" w:rsidR="00A72289" w:rsidRPr="00A72289" w:rsidRDefault="00A72289" w:rsidP="005E61C4">
      <w:pPr>
        <w:pStyle w:val="ListParagraph"/>
        <w:numPr>
          <w:ilvl w:val="0"/>
          <w:numId w:val="13"/>
        </w:numPr>
        <w:spacing w:after="0"/>
        <w:rPr>
          <w:sz w:val="22"/>
        </w:rPr>
      </w:pPr>
      <w:r w:rsidRPr="00A72289">
        <w:rPr>
          <w:sz w:val="22"/>
        </w:rPr>
        <w:t xml:space="preserve">Develop a plan for enabling individual, whānau, </w:t>
      </w:r>
      <w:r w:rsidR="00582EB5">
        <w:rPr>
          <w:sz w:val="22"/>
        </w:rPr>
        <w:t>hapū</w:t>
      </w:r>
      <w:r w:rsidRPr="00A72289">
        <w:rPr>
          <w:sz w:val="22"/>
        </w:rPr>
        <w:t>, iwi, and community access to their health and disability data</w:t>
      </w:r>
      <w:r w:rsidR="00A668F0">
        <w:rPr>
          <w:sz w:val="22"/>
        </w:rPr>
        <w:t>.</w:t>
      </w:r>
    </w:p>
    <w:p w14:paraId="34060DBF" w14:textId="4B581FF0" w:rsidR="00A72289" w:rsidRPr="00A72289" w:rsidRDefault="00A72289" w:rsidP="005E61C4">
      <w:pPr>
        <w:pStyle w:val="ListParagraph"/>
        <w:numPr>
          <w:ilvl w:val="0"/>
          <w:numId w:val="13"/>
        </w:numPr>
        <w:spacing w:after="0"/>
        <w:rPr>
          <w:sz w:val="22"/>
        </w:rPr>
      </w:pPr>
      <w:r w:rsidRPr="00A72289">
        <w:rPr>
          <w:sz w:val="22"/>
        </w:rPr>
        <w:lastRenderedPageBreak/>
        <w:t>Continue to invest in the development of Māori health provider analytical capability</w:t>
      </w:r>
      <w:r>
        <w:rPr>
          <w:sz w:val="22"/>
        </w:rPr>
        <w:t>.</w:t>
      </w:r>
    </w:p>
    <w:p w14:paraId="460EC035" w14:textId="77777777" w:rsidR="00A72289" w:rsidRDefault="00A72289" w:rsidP="00A72289">
      <w:pPr>
        <w:spacing w:after="0"/>
      </w:pPr>
    </w:p>
    <w:p w14:paraId="372B0868" w14:textId="3C528D97" w:rsidR="004171E8" w:rsidRPr="00686461" w:rsidRDefault="004171E8" w:rsidP="00A72289">
      <w:pPr>
        <w:pStyle w:val="Heading4"/>
      </w:pPr>
      <w:r w:rsidRPr="00A72289">
        <w:t>Suggested</w:t>
      </w:r>
      <w:r>
        <w:t xml:space="preserve"> measures </w:t>
      </w:r>
    </w:p>
    <w:p w14:paraId="6F82F8E1" w14:textId="6AD7074E" w:rsidR="00A72289" w:rsidRPr="00A72289" w:rsidRDefault="00A72289" w:rsidP="005E61C4">
      <w:pPr>
        <w:pStyle w:val="ListParagraph"/>
        <w:numPr>
          <w:ilvl w:val="0"/>
          <w:numId w:val="13"/>
        </w:numPr>
        <w:spacing w:after="0"/>
        <w:rPr>
          <w:sz w:val="22"/>
        </w:rPr>
      </w:pPr>
      <w:r w:rsidRPr="00A72289">
        <w:rPr>
          <w:sz w:val="22"/>
        </w:rPr>
        <w:t>Māori with access to their own health data through online patient portals</w:t>
      </w:r>
      <w:r w:rsidR="00A668F0">
        <w:rPr>
          <w:sz w:val="22"/>
        </w:rPr>
        <w:t>.</w:t>
      </w:r>
    </w:p>
    <w:p w14:paraId="0E92C9BA" w14:textId="56403684" w:rsidR="00A72289" w:rsidRPr="00A72289" w:rsidRDefault="00A72289" w:rsidP="005E61C4">
      <w:pPr>
        <w:pStyle w:val="ListParagraph"/>
        <w:numPr>
          <w:ilvl w:val="0"/>
          <w:numId w:val="13"/>
        </w:numPr>
        <w:spacing w:after="0"/>
        <w:rPr>
          <w:sz w:val="22"/>
        </w:rPr>
      </w:pPr>
      <w:r w:rsidRPr="00A72289">
        <w:rPr>
          <w:sz w:val="22"/>
        </w:rPr>
        <w:t>Māori providers with access to analytical tools to analyse their own data and data held nationally</w:t>
      </w:r>
      <w:r w:rsidR="00A668F0">
        <w:rPr>
          <w:sz w:val="22"/>
        </w:rPr>
        <w:t>.</w:t>
      </w:r>
    </w:p>
    <w:p w14:paraId="30518CF5" w14:textId="78785777" w:rsidR="00A72289" w:rsidRPr="00A72289" w:rsidRDefault="00A72289" w:rsidP="005E61C4">
      <w:pPr>
        <w:pStyle w:val="ListParagraph"/>
        <w:numPr>
          <w:ilvl w:val="0"/>
          <w:numId w:val="13"/>
        </w:numPr>
        <w:spacing w:after="0"/>
        <w:rPr>
          <w:sz w:val="22"/>
        </w:rPr>
      </w:pPr>
      <w:r w:rsidRPr="00A72289">
        <w:rPr>
          <w:sz w:val="22"/>
        </w:rPr>
        <w:t>Māori provider satisfaction with access to data held nationally</w:t>
      </w:r>
      <w:r w:rsidR="00A668F0">
        <w:rPr>
          <w:sz w:val="22"/>
        </w:rPr>
        <w:t>.</w:t>
      </w:r>
    </w:p>
    <w:p w14:paraId="59E40BF1" w14:textId="61B737DC" w:rsidR="00495F89" w:rsidRPr="00A72289" w:rsidRDefault="00A72289" w:rsidP="005E61C4">
      <w:pPr>
        <w:pStyle w:val="ListParagraph"/>
        <w:numPr>
          <w:ilvl w:val="0"/>
          <w:numId w:val="13"/>
        </w:numPr>
        <w:spacing w:after="0"/>
        <w:rPr>
          <w:sz w:val="22"/>
        </w:rPr>
      </w:pPr>
      <w:r w:rsidRPr="00A72289">
        <w:rPr>
          <w:sz w:val="22"/>
        </w:rPr>
        <w:t>(</w:t>
      </w:r>
      <w:r w:rsidR="00A668F0">
        <w:rPr>
          <w:sz w:val="22"/>
        </w:rPr>
        <w:t>O</w:t>
      </w:r>
      <w:r w:rsidRPr="00A72289">
        <w:rPr>
          <w:sz w:val="22"/>
        </w:rPr>
        <w:t>thers to be determined).</w:t>
      </w:r>
    </w:p>
    <w:p w14:paraId="1631F689" w14:textId="573D8113" w:rsidR="006A16D3" w:rsidRPr="00686461" w:rsidRDefault="00792C52" w:rsidP="00A72289">
      <w:pPr>
        <w:pStyle w:val="Heading1"/>
        <w:pageBreakBefore/>
        <w:rPr>
          <w:rFonts w:cs="Segoe UI"/>
          <w:b/>
        </w:rPr>
      </w:pPr>
      <w:bookmarkStart w:id="21" w:name="_Toc17195724"/>
      <w:r>
        <w:rPr>
          <w:rFonts w:cs="Segoe UI"/>
          <w:b/>
        </w:rPr>
        <w:lastRenderedPageBreak/>
        <w:t>N</w:t>
      </w:r>
      <w:r w:rsidR="006A16D3" w:rsidRPr="00686461">
        <w:rPr>
          <w:rFonts w:cs="Segoe UI"/>
          <w:b/>
        </w:rPr>
        <w:t>ext steps</w:t>
      </w:r>
      <w:bookmarkEnd w:id="21"/>
    </w:p>
    <w:p w14:paraId="034AB0DE" w14:textId="59DABA5A" w:rsidR="007A6355" w:rsidRDefault="007A6355" w:rsidP="00731C0D">
      <w:pPr>
        <w:spacing w:after="0"/>
      </w:pPr>
      <w:bookmarkStart w:id="22" w:name="_Hlk16588542"/>
      <w:r w:rsidRPr="00731C0D">
        <w:t>Following engagement, the Ministry will synthesise the information and insights collected through the wānanga</w:t>
      </w:r>
      <w:r w:rsidR="00731C0D">
        <w:t xml:space="preserve">, the </w:t>
      </w:r>
      <w:r w:rsidRPr="00731C0D">
        <w:t>online survey</w:t>
      </w:r>
      <w:r w:rsidR="00731C0D">
        <w:t xml:space="preserve"> and the email address</w:t>
      </w:r>
      <w:r w:rsidRPr="00731C0D">
        <w:t xml:space="preserve">. </w:t>
      </w:r>
      <w:r w:rsidR="0085012E">
        <w:t>F</w:t>
      </w:r>
      <w:r w:rsidRPr="00731C0D">
        <w:t xml:space="preserve">eedback captured during engagement will shape what the </w:t>
      </w:r>
      <w:r w:rsidR="00731C0D">
        <w:t xml:space="preserve">final </w:t>
      </w:r>
      <w:r w:rsidRPr="00731C0D">
        <w:t xml:space="preserve">Action </w:t>
      </w:r>
      <w:r w:rsidR="00B90588">
        <w:t>P</w:t>
      </w:r>
      <w:r w:rsidRPr="00731C0D">
        <w:t xml:space="preserve">lan looks like. The Ministry will continue to work alongside the Expert Advisory Group </w:t>
      </w:r>
      <w:r w:rsidR="00A45D26">
        <w:t xml:space="preserve">and engage with Māori and the health and disability sector </w:t>
      </w:r>
      <w:r w:rsidRPr="00731C0D">
        <w:t xml:space="preserve">to develop the Action </w:t>
      </w:r>
      <w:r w:rsidR="00B90588">
        <w:t>P</w:t>
      </w:r>
      <w:r w:rsidRPr="00731C0D">
        <w:t>lan, before Cabinet consideration and release in November 2019.</w:t>
      </w:r>
    </w:p>
    <w:p w14:paraId="4FDC08D8" w14:textId="77777777" w:rsidR="00731C0D" w:rsidRPr="00731C0D" w:rsidRDefault="00731C0D" w:rsidP="00731C0D">
      <w:pPr>
        <w:spacing w:after="0"/>
      </w:pPr>
    </w:p>
    <w:p w14:paraId="636FE6C6" w14:textId="0788DFA3" w:rsidR="007A6355" w:rsidRDefault="00731C0D" w:rsidP="00731C0D">
      <w:pPr>
        <w:spacing w:after="0"/>
      </w:pPr>
      <w:r>
        <w:t xml:space="preserve">The </w:t>
      </w:r>
      <w:r w:rsidR="007A6355" w:rsidRPr="00731C0D">
        <w:t xml:space="preserve">online hub on the Ministry’s website </w:t>
      </w:r>
      <w:r>
        <w:t xml:space="preserve">will be </w:t>
      </w:r>
      <w:r w:rsidR="007A6355" w:rsidRPr="00731C0D">
        <w:t xml:space="preserve">a central point for stakeholders and </w:t>
      </w:r>
      <w:r>
        <w:t xml:space="preserve">the </w:t>
      </w:r>
      <w:r w:rsidR="007A6355" w:rsidRPr="00731C0D">
        <w:t xml:space="preserve">general public </w:t>
      </w:r>
      <w:r>
        <w:t xml:space="preserve">to access </w:t>
      </w:r>
      <w:r w:rsidR="007A6355" w:rsidRPr="00731C0D">
        <w:t xml:space="preserve">information about this process. The website will act as a hub for documents before, between, and following health sector wānanga, ensuring stakeholders have oversight of our process. </w:t>
      </w:r>
    </w:p>
    <w:p w14:paraId="28F831DB" w14:textId="77777777" w:rsidR="00731C0D" w:rsidRPr="00731C0D" w:rsidRDefault="00731C0D" w:rsidP="00731C0D">
      <w:pPr>
        <w:spacing w:after="0"/>
      </w:pPr>
    </w:p>
    <w:p w14:paraId="25226C62" w14:textId="77777777" w:rsidR="00731C0D" w:rsidRDefault="007A6355" w:rsidP="00731C0D">
      <w:pPr>
        <w:spacing w:after="0"/>
      </w:pPr>
      <w:r w:rsidRPr="00731C0D">
        <w:t>The online hub can be found at</w:t>
      </w:r>
      <w:r w:rsidR="00731C0D">
        <w:t>:</w:t>
      </w:r>
    </w:p>
    <w:p w14:paraId="3E5531B9" w14:textId="77777777" w:rsidR="00731C0D" w:rsidRDefault="00731C0D" w:rsidP="00731C0D">
      <w:pPr>
        <w:spacing w:after="0"/>
      </w:pPr>
    </w:p>
    <w:p w14:paraId="56F527A0" w14:textId="62904F8C" w:rsidR="007A6355" w:rsidRDefault="00117749" w:rsidP="00731C0D">
      <w:pPr>
        <w:spacing w:after="0"/>
      </w:pPr>
      <w:hyperlink r:id="rId14" w:history="1">
        <w:r w:rsidR="00731C0D" w:rsidRPr="001C3087">
          <w:rPr>
            <w:rStyle w:val="Hyperlink"/>
          </w:rPr>
          <w:t>www.health.govt.nz/mhap</w:t>
        </w:r>
      </w:hyperlink>
    </w:p>
    <w:bookmarkEnd w:id="22"/>
    <w:p w14:paraId="02D2D9CD" w14:textId="22096258" w:rsidR="00512A7B" w:rsidRDefault="00512A7B" w:rsidP="00731C0D">
      <w:pPr>
        <w:spacing w:after="0"/>
      </w:pPr>
    </w:p>
    <w:p w14:paraId="66A04A2B" w14:textId="7A0EAF72" w:rsidR="00731C0D" w:rsidRDefault="00731C0D" w:rsidP="00731C0D">
      <w:pPr>
        <w:spacing w:after="0"/>
      </w:pPr>
    </w:p>
    <w:p w14:paraId="6E0F3DDB" w14:textId="77777777" w:rsidR="00731C0D" w:rsidRDefault="00731C0D" w:rsidP="00731C0D">
      <w:pPr>
        <w:spacing w:after="0"/>
        <w:sectPr w:rsidR="00731C0D" w:rsidSect="009E1C3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pPr>
    </w:p>
    <w:p w14:paraId="206DB31C" w14:textId="795CED31" w:rsidR="00731C0D" w:rsidRPr="00731C0D" w:rsidRDefault="00117749" w:rsidP="00731C0D">
      <w:pPr>
        <w:pStyle w:val="Heading1"/>
        <w:spacing w:before="0" w:after="0"/>
        <w:rPr>
          <w:b/>
        </w:rPr>
      </w:pPr>
      <w:bookmarkStart w:id="23" w:name="_Toc17195725"/>
      <w:r>
        <w:rPr>
          <w:noProof/>
        </w:rPr>
        <w:lastRenderedPageBreak/>
        <w:object w:dxaOrig="1440" w:dyaOrig="1440" w14:anchorId="4AD5C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pt;margin-top:3pt;width:1037.5pt;height:717.55pt;z-index:251669504;mso-position-horizontal-relative:text;mso-position-vertical-relative:text">
            <v:imagedata r:id="rId21" o:title=""/>
          </v:shape>
          <o:OLEObject Type="Embed" ProgID="Visio.Drawing.15" ShapeID="_x0000_s1033" DrawAspect="Content" ObjectID="_1628341102" r:id="rId22"/>
        </w:object>
      </w:r>
      <w:r w:rsidR="00731C0D" w:rsidRPr="00731C0D">
        <w:rPr>
          <w:b/>
          <w:color w:val="FFFFFF" w:themeColor="background1"/>
        </w:rPr>
        <w:t>Appendix one: Māori Health Action Plan Framework</w:t>
      </w:r>
      <w:bookmarkEnd w:id="23"/>
    </w:p>
    <w:p w14:paraId="5E7EF5CA" w14:textId="297E9D15" w:rsidR="00731C0D" w:rsidRDefault="00731C0D" w:rsidP="0060064A">
      <w:pPr>
        <w:spacing w:after="0"/>
      </w:pPr>
    </w:p>
    <w:p w14:paraId="3529D1CE" w14:textId="77777777" w:rsidR="003C0B65" w:rsidRDefault="003C0B65" w:rsidP="0060064A">
      <w:pPr>
        <w:spacing w:after="0"/>
      </w:pPr>
    </w:p>
    <w:p w14:paraId="50EB5FFE" w14:textId="77777777" w:rsidR="00731C0D" w:rsidRDefault="00731C0D" w:rsidP="00731C0D">
      <w:pPr>
        <w:spacing w:after="0"/>
        <w:sectPr w:rsidR="00731C0D" w:rsidSect="00731C0D">
          <w:headerReference w:type="even" r:id="rId23"/>
          <w:headerReference w:type="default" r:id="rId24"/>
          <w:headerReference w:type="first" r:id="rId25"/>
          <w:pgSz w:w="23811" w:h="16838" w:orient="landscape" w:code="8"/>
          <w:pgMar w:top="1134" w:right="1134" w:bottom="1134" w:left="1134" w:header="709" w:footer="709" w:gutter="0"/>
          <w:cols w:space="708"/>
          <w:docGrid w:linePitch="360"/>
        </w:sectPr>
      </w:pPr>
    </w:p>
    <w:p w14:paraId="433F62B7" w14:textId="3BBC5932" w:rsidR="00731C0D" w:rsidRDefault="00117749" w:rsidP="00731C0D">
      <w:pPr>
        <w:spacing w:after="0"/>
      </w:pPr>
      <w:r>
        <w:rPr>
          <w:noProof/>
        </w:rPr>
        <w:lastRenderedPageBreak/>
        <w:object w:dxaOrig="1440" w:dyaOrig="1440" w14:anchorId="5B55CAAB">
          <v:shape id="_x0000_s1032" type="#_x0000_t75" style="position:absolute;margin-left:5.55pt;margin-top:.3pt;width:1044.55pt;height:727.5pt;z-index:251667456;mso-position-horizontal-relative:text;mso-position-vertical-relative:text">
            <v:imagedata r:id="rId26" o:title=""/>
          </v:shape>
          <o:OLEObject Type="Embed" ProgID="Visio.Drawing.15" ShapeID="_x0000_s1032" DrawAspect="Content" ObjectID="_1628341103" r:id="rId27"/>
        </w:object>
      </w:r>
    </w:p>
    <w:p w14:paraId="55D34511" w14:textId="250D797D" w:rsidR="005E61C4" w:rsidRDefault="005E61C4" w:rsidP="00731C0D">
      <w:pPr>
        <w:spacing w:after="0"/>
      </w:pPr>
    </w:p>
    <w:p w14:paraId="498E055F" w14:textId="77777777" w:rsidR="005E61C4" w:rsidRDefault="005E61C4" w:rsidP="00731C0D">
      <w:pPr>
        <w:spacing w:after="0"/>
        <w:sectPr w:rsidR="005E61C4" w:rsidSect="00731C0D">
          <w:pgSz w:w="23811" w:h="16838" w:orient="landscape" w:code="8"/>
          <w:pgMar w:top="1134" w:right="1134" w:bottom="1134" w:left="1134" w:header="709" w:footer="709" w:gutter="0"/>
          <w:cols w:space="708"/>
          <w:docGrid w:linePitch="360"/>
        </w:sectPr>
      </w:pPr>
    </w:p>
    <w:p w14:paraId="13B5A29B" w14:textId="31B10B75" w:rsidR="0046307E" w:rsidRPr="00FD716E" w:rsidRDefault="0046307E" w:rsidP="005D0054">
      <w:pPr>
        <w:pStyle w:val="Heading1"/>
        <w:rPr>
          <w:rFonts w:cs="Segoe UI"/>
          <w:b/>
        </w:rPr>
      </w:pPr>
      <w:bookmarkStart w:id="24" w:name="_Toc17195726"/>
      <w:r w:rsidRPr="00686461">
        <w:rPr>
          <w:rFonts w:cs="Segoe UI"/>
          <w:b/>
        </w:rPr>
        <w:lastRenderedPageBreak/>
        <w:t xml:space="preserve">Appendix </w:t>
      </w:r>
      <w:r w:rsidR="005E61C4">
        <w:rPr>
          <w:rFonts w:cs="Segoe UI"/>
          <w:b/>
        </w:rPr>
        <w:t>two</w:t>
      </w:r>
      <w:r w:rsidRPr="00686461">
        <w:rPr>
          <w:rFonts w:cs="Segoe UI"/>
          <w:b/>
        </w:rPr>
        <w:t xml:space="preserve">: </w:t>
      </w:r>
      <w:r w:rsidRPr="00686461">
        <w:rPr>
          <w:rFonts w:cs="Segoe UI"/>
          <w:b/>
          <w:szCs w:val="24"/>
        </w:rPr>
        <w:t xml:space="preserve">Summary of issues and priorities raised by Māori through </w:t>
      </w:r>
      <w:r w:rsidR="005E61C4">
        <w:rPr>
          <w:rFonts w:cs="Segoe UI"/>
          <w:b/>
          <w:szCs w:val="24"/>
        </w:rPr>
        <w:t>recent Government public engagement</w:t>
      </w:r>
      <w:bookmarkEnd w:id="24"/>
    </w:p>
    <w:tbl>
      <w:tblPr>
        <w:tblStyle w:val="GridTable4-Accent5"/>
        <w:tblW w:w="5114" w:type="pct"/>
        <w:tblLayout w:type="fixed"/>
        <w:tblLook w:val="04A0" w:firstRow="1" w:lastRow="0" w:firstColumn="1" w:lastColumn="0" w:noHBand="0" w:noVBand="1"/>
      </w:tblPr>
      <w:tblGrid>
        <w:gridCol w:w="5251"/>
        <w:gridCol w:w="5264"/>
        <w:gridCol w:w="5268"/>
        <w:gridCol w:w="5615"/>
      </w:tblGrid>
      <w:tr w:rsidR="0046307E" w:rsidRPr="00686461" w14:paraId="05B53AE4" w14:textId="77777777" w:rsidTr="009421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1F3864" w:themeFill="accent5" w:themeFillShade="80"/>
          </w:tcPr>
          <w:p w14:paraId="3A2BD62C" w14:textId="77777777" w:rsidR="0046307E" w:rsidRPr="00686461" w:rsidRDefault="0046307E" w:rsidP="002E6175">
            <w:pPr>
              <w:ind w:left="312" w:hanging="284"/>
              <w:jc w:val="center"/>
              <w:rPr>
                <w:rFonts w:asciiTheme="majorHAnsi" w:hAnsiTheme="majorHAnsi" w:cs="Segoe UI"/>
                <w:b w:val="0"/>
                <w:sz w:val="32"/>
                <w:szCs w:val="24"/>
              </w:rPr>
            </w:pPr>
            <w:r w:rsidRPr="00686461">
              <w:rPr>
                <w:rFonts w:asciiTheme="majorHAnsi" w:hAnsiTheme="majorHAnsi" w:cs="Segoe UI"/>
                <w:sz w:val="32"/>
                <w:szCs w:val="24"/>
              </w:rPr>
              <w:t>Te Tiriti o Waitangi</w:t>
            </w:r>
          </w:p>
          <w:p w14:paraId="3EC422DC" w14:textId="43C0C580" w:rsidR="0046307E" w:rsidRPr="00686461" w:rsidRDefault="0046307E" w:rsidP="005E61C4">
            <w:pPr>
              <w:pStyle w:val="ListParagraph"/>
              <w:numPr>
                <w:ilvl w:val="0"/>
                <w:numId w:val="3"/>
              </w:numPr>
              <w:ind w:left="312" w:hanging="284"/>
              <w:jc w:val="center"/>
              <w:rPr>
                <w:rFonts w:asciiTheme="majorHAnsi" w:hAnsiTheme="majorHAnsi" w:cs="Segoe UI"/>
                <w:szCs w:val="24"/>
              </w:rPr>
            </w:pPr>
            <w:r w:rsidRPr="00686461">
              <w:rPr>
                <w:rFonts w:asciiTheme="majorHAnsi" w:hAnsiTheme="majorHAnsi" w:cs="Segoe UI"/>
                <w:szCs w:val="24"/>
              </w:rPr>
              <w:t xml:space="preserve">Te Tiriti o Waitangi should be the foundation for </w:t>
            </w:r>
            <w:proofErr w:type="gramStart"/>
            <w:r w:rsidRPr="00686461">
              <w:rPr>
                <w:rFonts w:asciiTheme="majorHAnsi" w:hAnsiTheme="majorHAnsi" w:cs="Segoe UI"/>
                <w:szCs w:val="24"/>
              </w:rPr>
              <w:t>all of</w:t>
            </w:r>
            <w:proofErr w:type="gramEnd"/>
            <w:r w:rsidRPr="00686461">
              <w:rPr>
                <w:rFonts w:asciiTheme="majorHAnsi" w:hAnsiTheme="majorHAnsi" w:cs="Segoe UI"/>
                <w:szCs w:val="24"/>
              </w:rPr>
              <w:t xml:space="preserve"> our work</w:t>
            </w:r>
          </w:p>
          <w:p w14:paraId="057A39B4" w14:textId="556599DD" w:rsidR="0046307E" w:rsidRPr="00686461" w:rsidRDefault="0046307E" w:rsidP="005E61C4">
            <w:pPr>
              <w:pStyle w:val="ListParagraph"/>
              <w:numPr>
                <w:ilvl w:val="0"/>
                <w:numId w:val="3"/>
              </w:numPr>
              <w:ind w:left="312" w:hanging="284"/>
              <w:jc w:val="center"/>
              <w:rPr>
                <w:rFonts w:asciiTheme="majorHAnsi" w:hAnsiTheme="majorHAnsi" w:cs="Segoe UI"/>
                <w:b w:val="0"/>
                <w:szCs w:val="24"/>
              </w:rPr>
            </w:pPr>
            <w:r w:rsidRPr="00686461">
              <w:rPr>
                <w:rFonts w:asciiTheme="majorHAnsi" w:hAnsiTheme="majorHAnsi" w:cs="Segoe UI"/>
                <w:szCs w:val="24"/>
              </w:rPr>
              <w:t xml:space="preserve">Recognise Māori </w:t>
            </w:r>
            <w:r w:rsidRPr="00686461">
              <w:rPr>
                <w:rFonts w:asciiTheme="majorHAnsi" w:eastAsia="Times New Roman" w:hAnsiTheme="majorHAnsi" w:cs="Segoe UI"/>
                <w:szCs w:val="24"/>
                <w:lang w:eastAsia="en-NZ"/>
              </w:rPr>
              <w:t>indigeneity</w:t>
            </w:r>
            <w:r w:rsidRPr="00686461">
              <w:rPr>
                <w:rFonts w:asciiTheme="majorHAnsi" w:hAnsiTheme="majorHAnsi" w:cs="Segoe UI"/>
                <w:szCs w:val="24"/>
              </w:rPr>
              <w:t xml:space="preserve"> and affirm indigenous rights</w:t>
            </w:r>
          </w:p>
          <w:p w14:paraId="3D045175" w14:textId="35CC8F5F" w:rsidR="0046307E" w:rsidRPr="00686461" w:rsidRDefault="0046307E" w:rsidP="005E61C4">
            <w:pPr>
              <w:pStyle w:val="ListParagraph"/>
              <w:numPr>
                <w:ilvl w:val="0"/>
                <w:numId w:val="3"/>
              </w:numPr>
              <w:ind w:left="312" w:hanging="284"/>
              <w:jc w:val="center"/>
              <w:rPr>
                <w:rFonts w:asciiTheme="majorHAnsi" w:hAnsiTheme="majorHAnsi" w:cs="Segoe UI"/>
                <w:szCs w:val="24"/>
              </w:rPr>
            </w:pPr>
            <w:r w:rsidRPr="00686461">
              <w:rPr>
                <w:rFonts w:asciiTheme="majorHAnsi" w:hAnsiTheme="majorHAnsi" w:cs="Segoe UI"/>
                <w:szCs w:val="24"/>
              </w:rPr>
              <w:t>Adopt tikanga Māori frameworks to reflect the practical commitment to Te Tiriti o Waitangi</w:t>
            </w:r>
          </w:p>
          <w:p w14:paraId="69B5CFA4" w14:textId="03A5126C" w:rsidR="0046307E" w:rsidRPr="00686461" w:rsidRDefault="0046307E" w:rsidP="005E61C4">
            <w:pPr>
              <w:pStyle w:val="ListParagraph"/>
              <w:numPr>
                <w:ilvl w:val="0"/>
                <w:numId w:val="3"/>
              </w:numPr>
              <w:ind w:left="312" w:hanging="284"/>
              <w:jc w:val="center"/>
              <w:rPr>
                <w:rFonts w:asciiTheme="majorHAnsi" w:hAnsiTheme="majorHAnsi" w:cs="Segoe UI"/>
                <w:szCs w:val="24"/>
              </w:rPr>
            </w:pPr>
            <w:r w:rsidRPr="00686461">
              <w:rPr>
                <w:rFonts w:asciiTheme="majorHAnsi" w:hAnsiTheme="majorHAnsi" w:cs="Segoe UI"/>
                <w:szCs w:val="24"/>
              </w:rPr>
              <w:t>The New Zealand Public Health and Disability Act 2000 is not strong enough to ensure that te Tiriti principles are met</w:t>
            </w:r>
          </w:p>
          <w:p w14:paraId="7EEBB41F" w14:textId="6EC063B7" w:rsidR="0046307E" w:rsidRPr="00686461" w:rsidRDefault="0046307E" w:rsidP="005E61C4">
            <w:pPr>
              <w:pStyle w:val="ListParagraph"/>
              <w:numPr>
                <w:ilvl w:val="0"/>
                <w:numId w:val="3"/>
              </w:numPr>
              <w:ind w:left="312" w:hanging="284"/>
              <w:jc w:val="center"/>
              <w:rPr>
                <w:rFonts w:asciiTheme="majorHAnsi" w:hAnsiTheme="majorHAnsi" w:cs="Segoe UI"/>
                <w:szCs w:val="24"/>
              </w:rPr>
            </w:pPr>
            <w:r w:rsidRPr="00686461">
              <w:rPr>
                <w:rFonts w:asciiTheme="majorHAnsi" w:hAnsiTheme="majorHAnsi" w:cs="Segoe UI"/>
                <w:szCs w:val="24"/>
              </w:rPr>
              <w:t>Terminology used in the health sector needs to better reflect current understandings and implementation of te Tiriti</w:t>
            </w:r>
          </w:p>
          <w:p w14:paraId="4FF4C6A5" w14:textId="6B1FB290" w:rsidR="0046307E" w:rsidRPr="00C466B8" w:rsidRDefault="0046307E" w:rsidP="00C466B8">
            <w:pPr>
              <w:pStyle w:val="ListParagraph"/>
              <w:numPr>
                <w:ilvl w:val="0"/>
                <w:numId w:val="3"/>
              </w:numPr>
              <w:ind w:left="312" w:hanging="284"/>
              <w:jc w:val="center"/>
              <w:rPr>
                <w:rFonts w:asciiTheme="majorHAnsi" w:hAnsiTheme="majorHAnsi" w:cs="Segoe UI"/>
                <w:b w:val="0"/>
                <w:szCs w:val="24"/>
              </w:rPr>
            </w:pPr>
            <w:r w:rsidRPr="00686461">
              <w:rPr>
                <w:rFonts w:asciiTheme="majorHAnsi" w:hAnsiTheme="majorHAnsi" w:cs="Segoe UI"/>
                <w:szCs w:val="24"/>
              </w:rPr>
              <w:t>Many Māori have expressed a preference to use an articles</w:t>
            </w:r>
            <w:r w:rsidR="0019202B">
              <w:rPr>
                <w:rFonts w:asciiTheme="majorHAnsi" w:hAnsiTheme="majorHAnsi" w:cs="Segoe UI"/>
                <w:szCs w:val="24"/>
              </w:rPr>
              <w:t>-</w:t>
            </w:r>
            <w:r w:rsidRPr="00686461">
              <w:rPr>
                <w:rFonts w:asciiTheme="majorHAnsi" w:hAnsiTheme="majorHAnsi" w:cs="Segoe UI"/>
                <w:szCs w:val="24"/>
              </w:rPr>
              <w:t xml:space="preserve">based vs. </w:t>
            </w:r>
            <w:proofErr w:type="gramStart"/>
            <w:r w:rsidRPr="00686461">
              <w:rPr>
                <w:rFonts w:asciiTheme="majorHAnsi" w:hAnsiTheme="majorHAnsi" w:cs="Segoe UI"/>
                <w:szCs w:val="24"/>
              </w:rPr>
              <w:t>principle based</w:t>
            </w:r>
            <w:proofErr w:type="gramEnd"/>
            <w:r w:rsidRPr="00686461">
              <w:rPr>
                <w:rFonts w:asciiTheme="majorHAnsi" w:hAnsiTheme="majorHAnsi" w:cs="Segoe UI"/>
                <w:szCs w:val="24"/>
              </w:rPr>
              <w:t xml:space="preserve"> approach to te Tiriti</w:t>
            </w:r>
          </w:p>
          <w:p w14:paraId="03704935" w14:textId="2C944A57" w:rsidR="00C466B8" w:rsidRPr="00C466B8" w:rsidRDefault="00C466B8" w:rsidP="00C466B8">
            <w:pPr>
              <w:ind w:left="28"/>
              <w:rPr>
                <w:rFonts w:asciiTheme="majorHAnsi" w:hAnsiTheme="majorHAnsi" w:cs="Segoe UI"/>
                <w:szCs w:val="24"/>
              </w:rPr>
            </w:pPr>
          </w:p>
        </w:tc>
      </w:tr>
      <w:tr w:rsidR="0046307E" w:rsidRPr="00686461" w14:paraId="2A994819" w14:textId="77777777" w:rsidTr="00942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Pr>
          <w:p w14:paraId="14A0FEFE" w14:textId="77777777" w:rsidR="0046307E" w:rsidRPr="00686461" w:rsidRDefault="0046307E" w:rsidP="002E6175">
            <w:pPr>
              <w:ind w:left="312" w:hanging="284"/>
              <w:jc w:val="center"/>
              <w:rPr>
                <w:rFonts w:asciiTheme="majorHAnsi" w:hAnsiTheme="majorHAnsi" w:cs="Segoe UI"/>
                <w:sz w:val="24"/>
                <w:szCs w:val="24"/>
              </w:rPr>
            </w:pPr>
            <w:r w:rsidRPr="00686461">
              <w:rPr>
                <w:rFonts w:asciiTheme="majorHAnsi" w:hAnsiTheme="majorHAnsi" w:cs="Segoe UI"/>
                <w:sz w:val="24"/>
                <w:szCs w:val="24"/>
              </w:rPr>
              <w:t xml:space="preserve">Article 1 (Ko te </w:t>
            </w:r>
            <w:proofErr w:type="spellStart"/>
            <w:r w:rsidRPr="00686461">
              <w:rPr>
                <w:rFonts w:asciiTheme="majorHAnsi" w:hAnsiTheme="majorHAnsi" w:cs="Segoe UI"/>
                <w:sz w:val="24"/>
                <w:szCs w:val="24"/>
              </w:rPr>
              <w:t>Tuatahi</w:t>
            </w:r>
            <w:proofErr w:type="spellEnd"/>
            <w:r w:rsidRPr="00686461">
              <w:rPr>
                <w:rFonts w:asciiTheme="majorHAnsi" w:hAnsiTheme="majorHAnsi" w:cs="Segoe UI"/>
                <w:sz w:val="24"/>
                <w:szCs w:val="24"/>
              </w:rPr>
              <w:t xml:space="preserve"> </w:t>
            </w:r>
            <w:proofErr w:type="spellStart"/>
            <w:r w:rsidRPr="00686461">
              <w:rPr>
                <w:rFonts w:asciiTheme="majorHAnsi" w:hAnsiTheme="majorHAnsi" w:cs="Segoe UI"/>
                <w:sz w:val="24"/>
                <w:szCs w:val="24"/>
              </w:rPr>
              <w:t>Kāwanatanga</w:t>
            </w:r>
            <w:proofErr w:type="spellEnd"/>
            <w:r w:rsidRPr="00686461">
              <w:rPr>
                <w:rFonts w:asciiTheme="majorHAnsi" w:hAnsiTheme="majorHAnsi" w:cs="Segoe UI"/>
                <w:sz w:val="24"/>
                <w:szCs w:val="24"/>
              </w:rPr>
              <w:t>)</w:t>
            </w:r>
          </w:p>
          <w:p w14:paraId="7F6318A8" w14:textId="77777777" w:rsidR="0046307E" w:rsidRPr="00686461" w:rsidRDefault="0046307E" w:rsidP="002E6175">
            <w:pPr>
              <w:ind w:left="312" w:hanging="284"/>
              <w:jc w:val="center"/>
              <w:rPr>
                <w:rFonts w:asciiTheme="majorHAnsi" w:hAnsiTheme="majorHAnsi" w:cs="Segoe UI"/>
                <w:b w:val="0"/>
                <w:sz w:val="24"/>
                <w:szCs w:val="24"/>
              </w:rPr>
            </w:pPr>
            <w:r w:rsidRPr="00686461">
              <w:rPr>
                <w:rFonts w:asciiTheme="majorHAnsi" w:hAnsiTheme="majorHAnsi" w:cs="Segoe UI"/>
                <w:b w:val="0"/>
                <w:i/>
                <w:szCs w:val="24"/>
              </w:rPr>
              <w:t xml:space="preserve">Requires a stewardship or </w:t>
            </w:r>
            <w:proofErr w:type="spellStart"/>
            <w:r w:rsidRPr="00686461">
              <w:rPr>
                <w:rFonts w:asciiTheme="majorHAnsi" w:hAnsiTheme="majorHAnsi" w:cs="Segoe UI"/>
                <w:b w:val="0"/>
                <w:i/>
                <w:szCs w:val="24"/>
              </w:rPr>
              <w:t>kaitiakitanga</w:t>
            </w:r>
            <w:proofErr w:type="spellEnd"/>
            <w:r w:rsidRPr="00686461">
              <w:rPr>
                <w:rFonts w:asciiTheme="majorHAnsi" w:hAnsiTheme="majorHAnsi" w:cs="Segoe UI"/>
                <w:b w:val="0"/>
                <w:i/>
                <w:szCs w:val="24"/>
              </w:rPr>
              <w:t xml:space="preserve"> approach informed by morals, values and ethics</w:t>
            </w:r>
          </w:p>
        </w:tc>
        <w:tc>
          <w:tcPr>
            <w:tcW w:w="1230" w:type="pct"/>
          </w:tcPr>
          <w:p w14:paraId="17B5E2B0" w14:textId="77777777" w:rsidR="0046307E" w:rsidRPr="00686461" w:rsidRDefault="0046307E" w:rsidP="002E6175">
            <w:pPr>
              <w:ind w:left="312" w:hanging="284"/>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Segoe UI"/>
                <w:b/>
                <w:sz w:val="24"/>
                <w:szCs w:val="24"/>
              </w:rPr>
            </w:pPr>
            <w:r w:rsidRPr="00686461">
              <w:rPr>
                <w:rFonts w:asciiTheme="majorHAnsi" w:hAnsiTheme="majorHAnsi" w:cs="Segoe UI"/>
                <w:b/>
                <w:sz w:val="24"/>
                <w:szCs w:val="24"/>
              </w:rPr>
              <w:t xml:space="preserve">Article 2 (Ko te </w:t>
            </w:r>
            <w:proofErr w:type="spellStart"/>
            <w:r w:rsidRPr="00686461">
              <w:rPr>
                <w:rFonts w:asciiTheme="majorHAnsi" w:hAnsiTheme="majorHAnsi" w:cs="Segoe UI"/>
                <w:b/>
                <w:sz w:val="24"/>
                <w:szCs w:val="24"/>
              </w:rPr>
              <w:t>Tuarua</w:t>
            </w:r>
            <w:proofErr w:type="spellEnd"/>
            <w:r w:rsidRPr="00686461">
              <w:rPr>
                <w:rFonts w:asciiTheme="majorHAnsi" w:hAnsiTheme="majorHAnsi" w:cs="Segoe UI"/>
                <w:b/>
                <w:sz w:val="24"/>
                <w:szCs w:val="24"/>
              </w:rPr>
              <w:t xml:space="preserve"> Tino Rangatiratanga)</w:t>
            </w:r>
          </w:p>
          <w:p w14:paraId="37C644F1" w14:textId="77777777" w:rsidR="0046307E" w:rsidRPr="00686461" w:rsidRDefault="0046307E" w:rsidP="002E6175">
            <w:pPr>
              <w:ind w:left="312" w:hanging="284"/>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Segoe UI"/>
                <w:b/>
                <w:sz w:val="24"/>
                <w:szCs w:val="24"/>
              </w:rPr>
            </w:pPr>
            <w:r w:rsidRPr="00686461">
              <w:rPr>
                <w:rFonts w:asciiTheme="majorHAnsi" w:hAnsiTheme="majorHAnsi" w:cs="Segoe UI"/>
                <w:i/>
                <w:szCs w:val="24"/>
              </w:rPr>
              <w:t>Provides the right for Māori to live on Māori terms &amp; according to Māori philosophies, practices and values</w:t>
            </w:r>
          </w:p>
        </w:tc>
        <w:tc>
          <w:tcPr>
            <w:tcW w:w="1231" w:type="pct"/>
          </w:tcPr>
          <w:p w14:paraId="4C4FA492" w14:textId="77777777" w:rsidR="0046307E" w:rsidRPr="00686461" w:rsidRDefault="0046307E" w:rsidP="002E6175">
            <w:pPr>
              <w:ind w:left="312" w:hanging="284"/>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Segoe UI"/>
                <w:b/>
                <w:sz w:val="24"/>
                <w:szCs w:val="24"/>
              </w:rPr>
            </w:pPr>
            <w:r w:rsidRPr="00686461">
              <w:rPr>
                <w:rFonts w:asciiTheme="majorHAnsi" w:hAnsiTheme="majorHAnsi" w:cs="Segoe UI"/>
                <w:b/>
                <w:sz w:val="24"/>
                <w:szCs w:val="24"/>
              </w:rPr>
              <w:t xml:space="preserve">Article 3 (Ko te </w:t>
            </w:r>
            <w:proofErr w:type="spellStart"/>
            <w:r w:rsidRPr="00686461">
              <w:rPr>
                <w:rFonts w:asciiTheme="majorHAnsi" w:hAnsiTheme="majorHAnsi" w:cs="Segoe UI"/>
                <w:b/>
                <w:sz w:val="24"/>
                <w:szCs w:val="24"/>
              </w:rPr>
              <w:t>Tuatoru</w:t>
            </w:r>
            <w:proofErr w:type="spellEnd"/>
            <w:r w:rsidRPr="00686461">
              <w:rPr>
                <w:rFonts w:asciiTheme="majorHAnsi" w:hAnsiTheme="majorHAnsi" w:cs="Segoe UI"/>
                <w:b/>
                <w:sz w:val="24"/>
                <w:szCs w:val="24"/>
              </w:rPr>
              <w:t xml:space="preserve"> </w:t>
            </w:r>
            <w:proofErr w:type="spellStart"/>
            <w:r w:rsidRPr="00686461">
              <w:rPr>
                <w:rFonts w:asciiTheme="majorHAnsi" w:hAnsiTheme="majorHAnsi" w:cs="Segoe UI"/>
                <w:b/>
                <w:sz w:val="24"/>
                <w:szCs w:val="24"/>
              </w:rPr>
              <w:t>Ōritetanga</w:t>
            </w:r>
            <w:proofErr w:type="spellEnd"/>
            <w:r w:rsidRPr="00686461">
              <w:rPr>
                <w:rFonts w:asciiTheme="majorHAnsi" w:hAnsiTheme="majorHAnsi" w:cs="Segoe UI"/>
                <w:b/>
                <w:sz w:val="24"/>
                <w:szCs w:val="24"/>
              </w:rPr>
              <w:t>)</w:t>
            </w:r>
          </w:p>
          <w:p w14:paraId="266958C5" w14:textId="77777777" w:rsidR="0046307E" w:rsidRPr="00686461" w:rsidRDefault="0046307E" w:rsidP="002E6175">
            <w:pPr>
              <w:ind w:left="312" w:hanging="284"/>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Segoe UI"/>
                <w:i/>
                <w:sz w:val="24"/>
                <w:szCs w:val="24"/>
              </w:rPr>
            </w:pPr>
            <w:r w:rsidRPr="00686461">
              <w:rPr>
                <w:rFonts w:asciiTheme="majorHAnsi" w:hAnsiTheme="majorHAnsi" w:cs="Segoe UI"/>
                <w:i/>
                <w:szCs w:val="24"/>
              </w:rPr>
              <w:t>Provides for the same rights and privileges of citizenship</w:t>
            </w:r>
          </w:p>
        </w:tc>
        <w:tc>
          <w:tcPr>
            <w:tcW w:w="1312" w:type="pct"/>
          </w:tcPr>
          <w:p w14:paraId="327F4E57" w14:textId="77777777" w:rsidR="0046307E" w:rsidRPr="00686461" w:rsidRDefault="0046307E" w:rsidP="002E6175">
            <w:pPr>
              <w:ind w:left="312" w:hanging="284"/>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Segoe UI"/>
                <w:b/>
                <w:sz w:val="24"/>
                <w:szCs w:val="24"/>
              </w:rPr>
            </w:pPr>
            <w:r w:rsidRPr="00686461">
              <w:rPr>
                <w:rFonts w:asciiTheme="majorHAnsi" w:hAnsiTheme="majorHAnsi" w:cs="Segoe UI"/>
                <w:b/>
                <w:sz w:val="24"/>
                <w:szCs w:val="24"/>
              </w:rPr>
              <w:t xml:space="preserve">Declaration – </w:t>
            </w:r>
            <w:proofErr w:type="spellStart"/>
            <w:r w:rsidRPr="00686461">
              <w:rPr>
                <w:rFonts w:asciiTheme="majorHAnsi" w:hAnsiTheme="majorHAnsi" w:cs="Segoe UI"/>
                <w:b/>
                <w:sz w:val="24"/>
                <w:szCs w:val="24"/>
              </w:rPr>
              <w:t>Whakapuakitanga</w:t>
            </w:r>
            <w:proofErr w:type="spellEnd"/>
            <w:r w:rsidRPr="00686461">
              <w:rPr>
                <w:rFonts w:asciiTheme="majorHAnsi" w:hAnsiTheme="majorHAnsi" w:cs="Segoe UI"/>
                <w:b/>
                <w:sz w:val="24"/>
                <w:szCs w:val="24"/>
              </w:rPr>
              <w:t xml:space="preserve"> </w:t>
            </w:r>
            <w:proofErr w:type="spellStart"/>
            <w:r w:rsidRPr="00686461">
              <w:rPr>
                <w:rFonts w:asciiTheme="majorHAnsi" w:hAnsiTheme="majorHAnsi" w:cs="Segoe UI"/>
                <w:b/>
                <w:sz w:val="24"/>
                <w:szCs w:val="24"/>
              </w:rPr>
              <w:t>Rītenga</w:t>
            </w:r>
            <w:proofErr w:type="spellEnd"/>
            <w:r w:rsidRPr="00686461">
              <w:rPr>
                <w:rFonts w:asciiTheme="majorHAnsi" w:hAnsiTheme="majorHAnsi" w:cs="Segoe UI"/>
                <w:b/>
                <w:sz w:val="24"/>
                <w:szCs w:val="24"/>
              </w:rPr>
              <w:t xml:space="preserve"> Māori</w:t>
            </w:r>
          </w:p>
          <w:p w14:paraId="248E33E6" w14:textId="77777777" w:rsidR="0046307E" w:rsidRDefault="0046307E" w:rsidP="00C466B8">
            <w:pPr>
              <w:ind w:left="312" w:hanging="284"/>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Segoe UI"/>
                <w:i/>
                <w:szCs w:val="24"/>
              </w:rPr>
            </w:pPr>
            <w:proofErr w:type="spellStart"/>
            <w:r w:rsidRPr="00686461">
              <w:rPr>
                <w:rFonts w:asciiTheme="majorHAnsi" w:hAnsiTheme="majorHAnsi" w:cs="Segoe UI"/>
                <w:i/>
                <w:szCs w:val="24"/>
              </w:rPr>
              <w:t>Ritenga</w:t>
            </w:r>
            <w:proofErr w:type="spellEnd"/>
            <w:r w:rsidRPr="00686461">
              <w:rPr>
                <w:rFonts w:asciiTheme="majorHAnsi" w:hAnsiTheme="majorHAnsi" w:cs="Segoe UI"/>
                <w:i/>
                <w:szCs w:val="24"/>
              </w:rPr>
              <w:t xml:space="preserve"> Māori are framed by te </w:t>
            </w:r>
            <w:proofErr w:type="spellStart"/>
            <w:r w:rsidRPr="00686461">
              <w:rPr>
                <w:rFonts w:asciiTheme="majorHAnsi" w:hAnsiTheme="majorHAnsi" w:cs="Segoe UI"/>
                <w:i/>
                <w:szCs w:val="24"/>
              </w:rPr>
              <w:t>ao</w:t>
            </w:r>
            <w:proofErr w:type="spellEnd"/>
            <w:r w:rsidRPr="00686461">
              <w:rPr>
                <w:rFonts w:asciiTheme="majorHAnsi" w:hAnsiTheme="majorHAnsi" w:cs="Segoe UI"/>
                <w:i/>
                <w:szCs w:val="24"/>
              </w:rPr>
              <w:t xml:space="preserve"> Māori, enacted through tikanga and encapsulated within </w:t>
            </w:r>
            <w:proofErr w:type="spellStart"/>
            <w:r w:rsidRPr="00686461">
              <w:rPr>
                <w:rFonts w:asciiTheme="majorHAnsi" w:hAnsiTheme="majorHAnsi" w:cs="Segoe UI"/>
                <w:i/>
                <w:szCs w:val="24"/>
              </w:rPr>
              <w:t>mātauranga</w:t>
            </w:r>
            <w:proofErr w:type="spellEnd"/>
            <w:r w:rsidRPr="00686461">
              <w:rPr>
                <w:rFonts w:asciiTheme="majorHAnsi" w:hAnsiTheme="majorHAnsi" w:cs="Segoe UI"/>
                <w:i/>
                <w:szCs w:val="24"/>
              </w:rPr>
              <w:t xml:space="preserve"> Māori</w:t>
            </w:r>
          </w:p>
          <w:p w14:paraId="1EA7E8C3" w14:textId="7BF9430D" w:rsidR="00C466B8" w:rsidRPr="00686461" w:rsidRDefault="00C466B8" w:rsidP="00C466B8">
            <w:pPr>
              <w:ind w:left="312" w:hanging="284"/>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Segoe UI"/>
                <w:b/>
                <w:sz w:val="24"/>
                <w:szCs w:val="24"/>
              </w:rPr>
            </w:pPr>
          </w:p>
        </w:tc>
      </w:tr>
      <w:tr w:rsidR="0046307E" w:rsidRPr="00686461" w14:paraId="6C7BB2C4" w14:textId="77777777" w:rsidTr="009421F5">
        <w:tc>
          <w:tcPr>
            <w:cnfStyle w:val="001000000000" w:firstRow="0" w:lastRow="0" w:firstColumn="1" w:lastColumn="0" w:oddVBand="0" w:evenVBand="0" w:oddHBand="0" w:evenHBand="0" w:firstRowFirstColumn="0" w:firstRowLastColumn="0" w:lastRowFirstColumn="0" w:lastRowLastColumn="0"/>
            <w:tcW w:w="1227" w:type="pct"/>
            <w:shd w:val="clear" w:color="auto" w:fill="auto"/>
          </w:tcPr>
          <w:p w14:paraId="556FB6F4" w14:textId="77777777" w:rsidR="0046307E" w:rsidRPr="00686461" w:rsidRDefault="0046307E" w:rsidP="002E6175">
            <w:pPr>
              <w:ind w:left="312" w:hanging="284"/>
              <w:rPr>
                <w:rFonts w:asciiTheme="majorHAnsi" w:hAnsiTheme="majorHAnsi" w:cs="Segoe UI"/>
                <w:sz w:val="24"/>
                <w:szCs w:val="24"/>
              </w:rPr>
            </w:pPr>
            <w:r w:rsidRPr="00686461">
              <w:rPr>
                <w:rFonts w:asciiTheme="majorHAnsi" w:hAnsiTheme="majorHAnsi" w:cs="Segoe UI"/>
                <w:sz w:val="24"/>
                <w:szCs w:val="24"/>
              </w:rPr>
              <w:t xml:space="preserve">Māori in Governance and Leadership </w:t>
            </w:r>
          </w:p>
          <w:p w14:paraId="39CAA09B" w14:textId="77777777" w:rsidR="0046307E" w:rsidRPr="00686461" w:rsidRDefault="0046307E" w:rsidP="005E61C4">
            <w:pPr>
              <w:pStyle w:val="ListParagraph"/>
              <w:numPr>
                <w:ilvl w:val="0"/>
                <w:numId w:val="1"/>
              </w:numPr>
              <w:ind w:left="312" w:hanging="284"/>
              <w:rPr>
                <w:rFonts w:asciiTheme="majorHAnsi" w:hAnsiTheme="majorHAnsi" w:cs="Segoe UI"/>
                <w:b w:val="0"/>
                <w:szCs w:val="24"/>
              </w:rPr>
            </w:pPr>
            <w:r w:rsidRPr="00686461">
              <w:rPr>
                <w:rFonts w:asciiTheme="majorHAnsi" w:hAnsiTheme="majorHAnsi" w:cs="Segoe UI"/>
                <w:b w:val="0"/>
                <w:szCs w:val="24"/>
              </w:rPr>
              <w:t>Lack of genuine partnership under the articles of te Tiriti.</w:t>
            </w:r>
          </w:p>
          <w:p w14:paraId="2D803EB7" w14:textId="77777777" w:rsidR="0046307E" w:rsidRPr="00686461" w:rsidRDefault="0046307E" w:rsidP="005E61C4">
            <w:pPr>
              <w:pStyle w:val="ListParagraph"/>
              <w:numPr>
                <w:ilvl w:val="0"/>
                <w:numId w:val="1"/>
              </w:numPr>
              <w:ind w:left="312" w:hanging="284"/>
              <w:rPr>
                <w:rFonts w:asciiTheme="majorHAnsi" w:hAnsiTheme="majorHAnsi" w:cs="Segoe UI"/>
                <w:b w:val="0"/>
                <w:szCs w:val="24"/>
              </w:rPr>
            </w:pPr>
            <w:r w:rsidRPr="00686461">
              <w:rPr>
                <w:rFonts w:asciiTheme="majorHAnsi" w:hAnsiTheme="majorHAnsi" w:cs="Segoe UI"/>
                <w:b w:val="0"/>
                <w:szCs w:val="24"/>
              </w:rPr>
              <w:t>The Crown does not adequately partner with Māori (in the health sector, and more broadly).</w:t>
            </w:r>
          </w:p>
          <w:p w14:paraId="2BF2B53E" w14:textId="77777777" w:rsidR="0046307E" w:rsidRPr="00686461" w:rsidRDefault="0046307E" w:rsidP="005E61C4">
            <w:pPr>
              <w:pStyle w:val="ListParagraph"/>
              <w:numPr>
                <w:ilvl w:val="0"/>
                <w:numId w:val="1"/>
              </w:numPr>
              <w:ind w:left="312" w:hanging="284"/>
              <w:rPr>
                <w:rFonts w:asciiTheme="majorHAnsi" w:hAnsiTheme="majorHAnsi" w:cs="Segoe UI"/>
                <w:b w:val="0"/>
                <w:szCs w:val="24"/>
              </w:rPr>
            </w:pPr>
            <w:r w:rsidRPr="00686461">
              <w:rPr>
                <w:rFonts w:asciiTheme="majorHAnsi" w:hAnsiTheme="majorHAnsi" w:cs="Segoe UI"/>
                <w:b w:val="0"/>
                <w:szCs w:val="24"/>
              </w:rPr>
              <w:t>There has not been adequate attention paid to Māori interests in the design and implementation of health services.</w:t>
            </w:r>
          </w:p>
          <w:p w14:paraId="191FDF4C" w14:textId="77777777" w:rsidR="0046307E" w:rsidRPr="00686461" w:rsidRDefault="0046307E" w:rsidP="005E61C4">
            <w:pPr>
              <w:pStyle w:val="ListParagraph"/>
              <w:numPr>
                <w:ilvl w:val="0"/>
                <w:numId w:val="1"/>
              </w:numPr>
              <w:ind w:left="312" w:hanging="284"/>
              <w:rPr>
                <w:rFonts w:asciiTheme="majorHAnsi" w:hAnsiTheme="majorHAnsi" w:cs="Segoe UI"/>
                <w:b w:val="0"/>
                <w:szCs w:val="24"/>
              </w:rPr>
            </w:pPr>
            <w:r w:rsidRPr="00686461">
              <w:rPr>
                <w:rFonts w:asciiTheme="majorHAnsi" w:hAnsiTheme="majorHAnsi" w:cs="Segoe UI"/>
                <w:b w:val="0"/>
                <w:szCs w:val="24"/>
              </w:rPr>
              <w:t>Give Māori a seat at the table to determine how services are designed, commissioned, delivered and evaluated.</w:t>
            </w:r>
          </w:p>
          <w:p w14:paraId="76C61CEE" w14:textId="77777777" w:rsidR="0046307E" w:rsidRPr="00686461" w:rsidRDefault="0046307E" w:rsidP="005E61C4">
            <w:pPr>
              <w:pStyle w:val="ListParagraph"/>
              <w:numPr>
                <w:ilvl w:val="0"/>
                <w:numId w:val="1"/>
              </w:numPr>
              <w:ind w:left="312" w:hanging="284"/>
              <w:rPr>
                <w:rFonts w:asciiTheme="majorHAnsi" w:hAnsiTheme="majorHAnsi" w:cs="Segoe UI"/>
                <w:b w:val="0"/>
                <w:szCs w:val="24"/>
              </w:rPr>
            </w:pPr>
            <w:r w:rsidRPr="00686461">
              <w:rPr>
                <w:rFonts w:asciiTheme="majorHAnsi" w:hAnsiTheme="majorHAnsi" w:cs="Segoe UI"/>
                <w:b w:val="0"/>
                <w:szCs w:val="24"/>
              </w:rPr>
              <w:t xml:space="preserve">Improve and develop Māori participation and representation across the sector at a governance level. This includes shared power and decision-making between the Crown and Māori and the influence of funding and contracting arrangements on the distribution of decision-making power. </w:t>
            </w:r>
          </w:p>
          <w:p w14:paraId="2950CAC0" w14:textId="77777777" w:rsidR="0046307E" w:rsidRPr="00686461" w:rsidRDefault="0046307E" w:rsidP="005E61C4">
            <w:pPr>
              <w:pStyle w:val="ListParagraph"/>
              <w:numPr>
                <w:ilvl w:val="0"/>
                <w:numId w:val="1"/>
              </w:numPr>
              <w:ind w:left="312" w:hanging="284"/>
              <w:rPr>
                <w:rFonts w:asciiTheme="majorHAnsi" w:hAnsiTheme="majorHAnsi" w:cs="Segoe UI"/>
                <w:b w:val="0"/>
                <w:szCs w:val="24"/>
              </w:rPr>
            </w:pPr>
            <w:r w:rsidRPr="00686461">
              <w:rPr>
                <w:rFonts w:asciiTheme="majorHAnsi" w:hAnsiTheme="majorHAnsi" w:cs="Segoe UI"/>
                <w:b w:val="0"/>
                <w:szCs w:val="24"/>
              </w:rPr>
              <w:t>Develop stronger iwi / Māori partnerships with DHBs.</w:t>
            </w:r>
          </w:p>
          <w:p w14:paraId="71E2D5BB" w14:textId="5E958B3B" w:rsidR="0046307E" w:rsidRPr="00686461" w:rsidRDefault="0046307E" w:rsidP="009421F5">
            <w:pPr>
              <w:pStyle w:val="ListParagraph"/>
              <w:numPr>
                <w:ilvl w:val="0"/>
                <w:numId w:val="1"/>
              </w:numPr>
              <w:ind w:left="312" w:hanging="284"/>
              <w:rPr>
                <w:rFonts w:asciiTheme="majorHAnsi" w:hAnsiTheme="majorHAnsi" w:cs="Segoe UI"/>
                <w:szCs w:val="24"/>
              </w:rPr>
            </w:pPr>
            <w:r w:rsidRPr="00686461">
              <w:rPr>
                <w:rFonts w:asciiTheme="majorHAnsi" w:hAnsiTheme="majorHAnsi" w:cs="Segoe UI"/>
                <w:b w:val="0"/>
                <w:szCs w:val="24"/>
              </w:rPr>
              <w:t>Support Māori leadership development.</w:t>
            </w:r>
          </w:p>
        </w:tc>
        <w:tc>
          <w:tcPr>
            <w:tcW w:w="1230" w:type="pct"/>
            <w:shd w:val="clear" w:color="auto" w:fill="auto"/>
          </w:tcPr>
          <w:p w14:paraId="262E6CAF" w14:textId="77777777" w:rsidR="0046307E" w:rsidRPr="00686461" w:rsidRDefault="0046307E" w:rsidP="002E6175">
            <w:p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b/>
                <w:sz w:val="24"/>
                <w:szCs w:val="24"/>
              </w:rPr>
            </w:pPr>
            <w:r w:rsidRPr="00686461">
              <w:rPr>
                <w:rFonts w:asciiTheme="majorHAnsi" w:hAnsiTheme="majorHAnsi" w:cs="Segoe UI"/>
                <w:b/>
                <w:sz w:val="24"/>
                <w:szCs w:val="24"/>
              </w:rPr>
              <w:t>Rangatiratanga and mana motuhake</w:t>
            </w:r>
          </w:p>
          <w:p w14:paraId="5E0C31E4" w14:textId="18D8557D" w:rsidR="0046307E" w:rsidRPr="00686461" w:rsidRDefault="0046307E" w:rsidP="005E61C4">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 xml:space="preserve">Māori whānau, </w:t>
            </w:r>
            <w:r w:rsidR="00582EB5">
              <w:rPr>
                <w:rFonts w:asciiTheme="majorHAnsi" w:hAnsiTheme="majorHAnsi" w:cs="Segoe UI"/>
                <w:szCs w:val="24"/>
              </w:rPr>
              <w:t>hapū</w:t>
            </w:r>
            <w:r w:rsidRPr="00686461">
              <w:rPr>
                <w:rFonts w:asciiTheme="majorHAnsi" w:hAnsiTheme="majorHAnsi" w:cs="Segoe UI"/>
                <w:szCs w:val="24"/>
              </w:rPr>
              <w:t xml:space="preserve"> and iwi want to exercise tino rangatiratanga and mana motuhake.</w:t>
            </w:r>
          </w:p>
          <w:p w14:paraId="14E2DA23" w14:textId="77777777" w:rsidR="0046307E" w:rsidRPr="00686461" w:rsidRDefault="0046307E" w:rsidP="005E61C4">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Māori want shared decision-making power.</w:t>
            </w:r>
          </w:p>
          <w:p w14:paraId="5DD7302D" w14:textId="77777777" w:rsidR="0046307E" w:rsidRPr="00686461" w:rsidRDefault="0046307E" w:rsidP="005E61C4">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Trust Māori in their ability to know and to deliver what works for Māori.</w:t>
            </w:r>
          </w:p>
          <w:p w14:paraId="236028C8" w14:textId="77777777" w:rsidR="0046307E" w:rsidRPr="00686461" w:rsidRDefault="0046307E" w:rsidP="005E61C4">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Improved outcomes for Māori must be driven and delivered by Māori.</w:t>
            </w:r>
          </w:p>
          <w:p w14:paraId="3B0952DA" w14:textId="3A1228C9" w:rsidR="0046307E" w:rsidRPr="00686461" w:rsidRDefault="0046307E" w:rsidP="005E61C4">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Involve Māori communities at all stages of policy design and implementation.</w:t>
            </w:r>
          </w:p>
          <w:p w14:paraId="6FBC58FF" w14:textId="7863ED52" w:rsidR="0046307E" w:rsidRPr="00686461" w:rsidRDefault="0046307E" w:rsidP="005E61C4">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 xml:space="preserve">All Māori, including </w:t>
            </w:r>
            <w:proofErr w:type="spellStart"/>
            <w:r w:rsidRPr="00686461">
              <w:rPr>
                <w:rFonts w:asciiTheme="majorHAnsi" w:hAnsiTheme="majorHAnsi" w:cs="Segoe UI"/>
                <w:szCs w:val="24"/>
              </w:rPr>
              <w:t>tamariki</w:t>
            </w:r>
            <w:proofErr w:type="spellEnd"/>
            <w:r w:rsidRPr="00686461">
              <w:rPr>
                <w:rFonts w:asciiTheme="majorHAnsi" w:hAnsiTheme="majorHAnsi" w:cs="Segoe UI"/>
                <w:szCs w:val="24"/>
              </w:rPr>
              <w:t xml:space="preserve"> and </w:t>
            </w:r>
            <w:proofErr w:type="spellStart"/>
            <w:r w:rsidRPr="00686461">
              <w:rPr>
                <w:rFonts w:asciiTheme="majorHAnsi" w:hAnsiTheme="majorHAnsi" w:cs="Segoe UI"/>
                <w:szCs w:val="24"/>
              </w:rPr>
              <w:t>rangatahi</w:t>
            </w:r>
            <w:proofErr w:type="spellEnd"/>
            <w:r w:rsidRPr="00686461">
              <w:rPr>
                <w:rFonts w:asciiTheme="majorHAnsi" w:hAnsiTheme="majorHAnsi" w:cs="Segoe UI"/>
                <w:szCs w:val="24"/>
              </w:rPr>
              <w:t xml:space="preserve">, have a right to be included in the </w:t>
            </w:r>
            <w:r w:rsidR="00C466B8" w:rsidRPr="00686461">
              <w:rPr>
                <w:rFonts w:asciiTheme="majorHAnsi" w:hAnsiTheme="majorHAnsi" w:cs="Segoe UI"/>
                <w:szCs w:val="24"/>
              </w:rPr>
              <w:t>decision-making</w:t>
            </w:r>
            <w:r w:rsidRPr="00686461">
              <w:rPr>
                <w:rFonts w:asciiTheme="majorHAnsi" w:hAnsiTheme="majorHAnsi" w:cs="Segoe UI"/>
                <w:szCs w:val="24"/>
              </w:rPr>
              <w:t xml:space="preserve"> process. </w:t>
            </w:r>
          </w:p>
          <w:p w14:paraId="0654437A" w14:textId="6F4253CB" w:rsidR="0046307E" w:rsidRPr="00686461" w:rsidRDefault="0046307E" w:rsidP="009421F5">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 xml:space="preserve">Tamariki and </w:t>
            </w:r>
            <w:proofErr w:type="spellStart"/>
            <w:r w:rsidRPr="00686461">
              <w:rPr>
                <w:rFonts w:asciiTheme="majorHAnsi" w:hAnsiTheme="majorHAnsi" w:cs="Segoe UI"/>
                <w:szCs w:val="24"/>
              </w:rPr>
              <w:t>rangatahi</w:t>
            </w:r>
            <w:proofErr w:type="spellEnd"/>
            <w:r w:rsidRPr="00686461">
              <w:rPr>
                <w:rFonts w:asciiTheme="majorHAnsi" w:hAnsiTheme="majorHAnsi" w:cs="Segoe UI"/>
                <w:szCs w:val="24"/>
              </w:rPr>
              <w:t xml:space="preserve"> are the leaders of today and the future – they are the champions of </w:t>
            </w:r>
            <w:proofErr w:type="spellStart"/>
            <w:r w:rsidRPr="00686461">
              <w:rPr>
                <w:rFonts w:asciiTheme="majorHAnsi" w:hAnsiTheme="majorHAnsi" w:cs="Segoe UI"/>
                <w:szCs w:val="24"/>
              </w:rPr>
              <w:t>Pae</w:t>
            </w:r>
            <w:proofErr w:type="spellEnd"/>
            <w:r w:rsidRPr="00686461">
              <w:rPr>
                <w:rFonts w:asciiTheme="majorHAnsi" w:hAnsiTheme="majorHAnsi" w:cs="Segoe UI"/>
                <w:szCs w:val="24"/>
              </w:rPr>
              <w:t xml:space="preserve"> Ora. We need to invest in their development and value their voice. </w:t>
            </w:r>
          </w:p>
        </w:tc>
        <w:tc>
          <w:tcPr>
            <w:tcW w:w="1231" w:type="pct"/>
            <w:shd w:val="clear" w:color="auto" w:fill="auto"/>
          </w:tcPr>
          <w:p w14:paraId="69AD599D" w14:textId="77777777" w:rsidR="0046307E" w:rsidRPr="00686461" w:rsidRDefault="0046307E" w:rsidP="002E6175">
            <w:pPr>
              <w:pStyle w:val="NoSpacing"/>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686461">
              <w:rPr>
                <w:rFonts w:asciiTheme="majorHAnsi" w:hAnsiTheme="majorHAnsi" w:cs="Segoe UI"/>
                <w:b/>
                <w:sz w:val="24"/>
                <w:szCs w:val="24"/>
              </w:rPr>
              <w:t>Equity of access to services and equity of health outcome</w:t>
            </w:r>
          </w:p>
          <w:p w14:paraId="3A53C203" w14:textId="77777777" w:rsidR="0046307E" w:rsidRPr="00686461" w:rsidRDefault="0046307E" w:rsidP="005E61C4">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There is tension between universal and community approaches to the provision of services.</w:t>
            </w:r>
          </w:p>
          <w:p w14:paraId="3A46CF19" w14:textId="77777777" w:rsidR="0046307E" w:rsidRPr="00686461" w:rsidRDefault="0046307E" w:rsidP="005E61C4">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There is a lack of flexibility in the current system to meet the diverse health needs of Māori.</w:t>
            </w:r>
          </w:p>
          <w:p w14:paraId="4983BC09" w14:textId="77777777" w:rsidR="0046307E" w:rsidRPr="00686461" w:rsidRDefault="0046307E" w:rsidP="005E61C4">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Health professionals should act within the system to connect people to the services available to them.</w:t>
            </w:r>
          </w:p>
          <w:p w14:paraId="5DD189D2" w14:textId="77777777" w:rsidR="0046307E" w:rsidRPr="00686461" w:rsidRDefault="0046307E" w:rsidP="005E61C4">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Cost of GP services acts as a barrier to Māori accessing primary care.</w:t>
            </w:r>
          </w:p>
          <w:p w14:paraId="4AA1345A" w14:textId="77777777" w:rsidR="0046307E" w:rsidRPr="00686461" w:rsidRDefault="0046307E" w:rsidP="005E61C4">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There is strong evidence that Māori do not always receive optimal quality of care and that this impacts on health outcomes.</w:t>
            </w:r>
          </w:p>
          <w:p w14:paraId="25622C3A" w14:textId="77777777" w:rsidR="0046307E" w:rsidRPr="00686461" w:rsidRDefault="0046307E" w:rsidP="005E61C4">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More adult Māori wait longer than three months for an appointment to see a specialist compared to non-Māori.</w:t>
            </w:r>
          </w:p>
          <w:p w14:paraId="3A18D4F9" w14:textId="77777777" w:rsidR="0046307E" w:rsidRPr="00C466B8" w:rsidRDefault="0046307E" w:rsidP="009421F5">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b/>
                <w:szCs w:val="24"/>
              </w:rPr>
            </w:pPr>
            <w:r w:rsidRPr="00686461">
              <w:rPr>
                <w:rFonts w:asciiTheme="majorHAnsi" w:hAnsiTheme="majorHAnsi" w:cs="Segoe UI"/>
                <w:szCs w:val="24"/>
              </w:rPr>
              <w:t xml:space="preserve">Racism has been identified as a factor in the quality of care Māori receive and as a broader determinant of health. </w:t>
            </w:r>
          </w:p>
          <w:p w14:paraId="47D9A653" w14:textId="7E69C0DD" w:rsidR="00C466B8" w:rsidRPr="00C466B8" w:rsidRDefault="00C466B8" w:rsidP="00C466B8">
            <w:pPr>
              <w:ind w:left="28"/>
              <w:cnfStyle w:val="000000000000" w:firstRow="0" w:lastRow="0" w:firstColumn="0" w:lastColumn="0" w:oddVBand="0" w:evenVBand="0" w:oddHBand="0" w:evenHBand="0" w:firstRowFirstColumn="0" w:firstRowLastColumn="0" w:lastRowFirstColumn="0" w:lastRowLastColumn="0"/>
              <w:rPr>
                <w:rFonts w:asciiTheme="majorHAnsi" w:hAnsiTheme="majorHAnsi" w:cs="Segoe UI"/>
                <w:b/>
                <w:szCs w:val="24"/>
              </w:rPr>
            </w:pPr>
          </w:p>
        </w:tc>
        <w:tc>
          <w:tcPr>
            <w:tcW w:w="1312" w:type="pct"/>
            <w:shd w:val="clear" w:color="auto" w:fill="auto"/>
          </w:tcPr>
          <w:p w14:paraId="03CE918D" w14:textId="77777777" w:rsidR="0046307E" w:rsidRPr="00686461" w:rsidRDefault="0046307E" w:rsidP="002E6175">
            <w:p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b/>
                <w:sz w:val="24"/>
                <w:szCs w:val="24"/>
              </w:rPr>
            </w:pPr>
            <w:r w:rsidRPr="00686461">
              <w:rPr>
                <w:rFonts w:asciiTheme="majorHAnsi" w:hAnsiTheme="majorHAnsi" w:cs="Segoe UI"/>
                <w:b/>
                <w:sz w:val="24"/>
                <w:szCs w:val="24"/>
              </w:rPr>
              <w:t xml:space="preserve">Mana Māori </w:t>
            </w:r>
          </w:p>
          <w:p w14:paraId="26B28812" w14:textId="77777777" w:rsidR="0046307E" w:rsidRPr="00686461" w:rsidRDefault="0046307E" w:rsidP="005E61C4">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Segoe UI"/>
                <w:szCs w:val="24"/>
                <w:lang w:eastAsia="en-NZ"/>
              </w:rPr>
            </w:pPr>
            <w:r w:rsidRPr="00686461">
              <w:rPr>
                <w:rFonts w:asciiTheme="majorHAnsi" w:eastAsia="Times New Roman" w:hAnsiTheme="majorHAnsi" w:cs="Segoe UI"/>
                <w:szCs w:val="24"/>
                <w:lang w:eastAsia="en-NZ"/>
              </w:rPr>
              <w:t xml:space="preserve">Affirm </w:t>
            </w:r>
            <w:r w:rsidRPr="00686461">
              <w:rPr>
                <w:rFonts w:asciiTheme="majorHAnsi" w:hAnsiTheme="majorHAnsi" w:cs="Segoe UI"/>
                <w:szCs w:val="24"/>
              </w:rPr>
              <w:t>indigeneity</w:t>
            </w:r>
            <w:r w:rsidRPr="00686461">
              <w:rPr>
                <w:rFonts w:asciiTheme="majorHAnsi" w:eastAsia="Times New Roman" w:hAnsiTheme="majorHAnsi" w:cs="Segoe UI"/>
                <w:szCs w:val="24"/>
                <w:lang w:eastAsia="en-NZ"/>
              </w:rPr>
              <w:t xml:space="preserve"> and the importance of Māori culture.</w:t>
            </w:r>
          </w:p>
          <w:p w14:paraId="2A1AD6B5" w14:textId="77777777" w:rsidR="0046307E" w:rsidRPr="00686461" w:rsidRDefault="0046307E" w:rsidP="005E61C4">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 xml:space="preserve">Incorporate core Māori values, such as </w:t>
            </w:r>
            <w:proofErr w:type="spellStart"/>
            <w:r w:rsidRPr="00686461">
              <w:rPr>
                <w:rFonts w:asciiTheme="majorHAnsi" w:hAnsiTheme="majorHAnsi" w:cs="Segoe UI"/>
                <w:szCs w:val="24"/>
              </w:rPr>
              <w:t>manākitanga</w:t>
            </w:r>
            <w:proofErr w:type="spellEnd"/>
            <w:r w:rsidRPr="00686461">
              <w:rPr>
                <w:rFonts w:asciiTheme="majorHAnsi" w:hAnsiTheme="majorHAnsi" w:cs="Segoe UI"/>
                <w:szCs w:val="24"/>
              </w:rPr>
              <w:t xml:space="preserve">, </w:t>
            </w:r>
            <w:proofErr w:type="spellStart"/>
            <w:r w:rsidR="00D64479">
              <w:rPr>
                <w:rFonts w:asciiTheme="majorHAnsi" w:hAnsiTheme="majorHAnsi" w:cs="Segoe UI"/>
                <w:szCs w:val="24"/>
              </w:rPr>
              <w:t>whānau</w:t>
            </w:r>
            <w:r w:rsidRPr="00686461">
              <w:rPr>
                <w:rFonts w:asciiTheme="majorHAnsi" w:hAnsiTheme="majorHAnsi" w:cs="Segoe UI"/>
                <w:szCs w:val="24"/>
              </w:rPr>
              <w:t>ngatanga</w:t>
            </w:r>
            <w:proofErr w:type="spellEnd"/>
            <w:r w:rsidRPr="00686461">
              <w:rPr>
                <w:rFonts w:asciiTheme="majorHAnsi" w:hAnsiTheme="majorHAnsi" w:cs="Segoe UI"/>
                <w:szCs w:val="24"/>
              </w:rPr>
              <w:t xml:space="preserve">, and </w:t>
            </w:r>
            <w:proofErr w:type="spellStart"/>
            <w:r w:rsidRPr="00686461">
              <w:rPr>
                <w:rFonts w:asciiTheme="majorHAnsi" w:hAnsiTheme="majorHAnsi" w:cs="Segoe UI"/>
                <w:szCs w:val="24"/>
              </w:rPr>
              <w:t>kaitiakitanga</w:t>
            </w:r>
            <w:proofErr w:type="spellEnd"/>
            <w:r w:rsidRPr="00686461">
              <w:rPr>
                <w:rFonts w:asciiTheme="majorHAnsi" w:hAnsiTheme="majorHAnsi" w:cs="Segoe UI"/>
                <w:szCs w:val="24"/>
              </w:rPr>
              <w:t xml:space="preserve"> into the way the system operates.</w:t>
            </w:r>
          </w:p>
          <w:p w14:paraId="62ABB21F" w14:textId="330A0218" w:rsidR="0046307E" w:rsidRPr="00686461" w:rsidRDefault="0046307E" w:rsidP="005E61C4">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 xml:space="preserve">Align </w:t>
            </w:r>
            <w:r w:rsidR="0019202B">
              <w:rPr>
                <w:rFonts w:asciiTheme="majorHAnsi" w:hAnsiTheme="majorHAnsi" w:cs="Segoe UI"/>
                <w:szCs w:val="24"/>
              </w:rPr>
              <w:t>G</w:t>
            </w:r>
            <w:r w:rsidRPr="00686461">
              <w:rPr>
                <w:rFonts w:asciiTheme="majorHAnsi" w:hAnsiTheme="majorHAnsi" w:cs="Segoe UI"/>
                <w:szCs w:val="24"/>
              </w:rPr>
              <w:t>overnment policy with tikanga Māori.</w:t>
            </w:r>
          </w:p>
          <w:p w14:paraId="1586B934" w14:textId="0ABAB9EF" w:rsidR="0046307E" w:rsidRPr="00686461" w:rsidRDefault="0046307E" w:rsidP="009421F5">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b/>
                <w:szCs w:val="24"/>
              </w:rPr>
            </w:pPr>
            <w:r w:rsidRPr="00686461">
              <w:rPr>
                <w:rFonts w:asciiTheme="majorHAnsi" w:hAnsiTheme="majorHAnsi" w:cs="Segoe UI"/>
                <w:szCs w:val="24"/>
              </w:rPr>
              <w:t xml:space="preserve">Allow for </w:t>
            </w:r>
            <w:proofErr w:type="spellStart"/>
            <w:r w:rsidRPr="00686461">
              <w:rPr>
                <w:rFonts w:asciiTheme="majorHAnsi" w:hAnsiTheme="majorHAnsi" w:cs="Segoe UI"/>
                <w:szCs w:val="24"/>
              </w:rPr>
              <w:t>whaka</w:t>
            </w:r>
            <w:r w:rsidR="00D64479">
              <w:rPr>
                <w:rFonts w:asciiTheme="majorHAnsi" w:hAnsiTheme="majorHAnsi" w:cs="Segoe UI"/>
                <w:szCs w:val="24"/>
              </w:rPr>
              <w:t>whānau</w:t>
            </w:r>
            <w:r w:rsidRPr="00686461">
              <w:rPr>
                <w:rFonts w:asciiTheme="majorHAnsi" w:hAnsiTheme="majorHAnsi" w:cs="Segoe UI"/>
                <w:szCs w:val="24"/>
              </w:rPr>
              <w:t>ngatanga</w:t>
            </w:r>
            <w:proofErr w:type="spellEnd"/>
            <w:r w:rsidRPr="00686461">
              <w:rPr>
                <w:rFonts w:asciiTheme="majorHAnsi" w:hAnsiTheme="majorHAnsi" w:cs="Segoe UI"/>
                <w:szCs w:val="24"/>
              </w:rPr>
              <w:t xml:space="preserve"> in new environments to encourage relationship development and Māori engagement with services.</w:t>
            </w:r>
          </w:p>
        </w:tc>
      </w:tr>
      <w:tr w:rsidR="0046307E" w:rsidRPr="00686461" w14:paraId="0760DCD9" w14:textId="77777777" w:rsidTr="00942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shd w:val="clear" w:color="auto" w:fill="auto"/>
          </w:tcPr>
          <w:p w14:paraId="6085EFDA" w14:textId="77777777" w:rsidR="0046307E" w:rsidRPr="00686461" w:rsidRDefault="0046307E" w:rsidP="002E6175">
            <w:pPr>
              <w:ind w:left="312" w:hanging="284"/>
              <w:rPr>
                <w:rFonts w:asciiTheme="majorHAnsi" w:hAnsiTheme="majorHAnsi" w:cs="Segoe UI"/>
                <w:b w:val="0"/>
                <w:sz w:val="24"/>
                <w:szCs w:val="24"/>
              </w:rPr>
            </w:pPr>
            <w:r w:rsidRPr="00686461">
              <w:rPr>
                <w:rFonts w:asciiTheme="majorHAnsi" w:hAnsiTheme="majorHAnsi" w:cs="Segoe UI"/>
                <w:sz w:val="24"/>
                <w:szCs w:val="24"/>
              </w:rPr>
              <w:t>Māori are the solution</w:t>
            </w:r>
          </w:p>
          <w:p w14:paraId="0D4F78B5" w14:textId="77777777" w:rsidR="0046307E" w:rsidRPr="00686461" w:rsidRDefault="0046307E" w:rsidP="005E61C4">
            <w:pPr>
              <w:pStyle w:val="ListParagraph"/>
              <w:numPr>
                <w:ilvl w:val="0"/>
                <w:numId w:val="1"/>
              </w:numPr>
              <w:ind w:left="312" w:hanging="284"/>
              <w:rPr>
                <w:rFonts w:asciiTheme="majorHAnsi" w:eastAsia="Times New Roman" w:hAnsiTheme="majorHAnsi" w:cs="Segoe UI"/>
                <w:b w:val="0"/>
                <w:szCs w:val="24"/>
                <w:lang w:eastAsia="en-NZ"/>
              </w:rPr>
            </w:pPr>
            <w:r w:rsidRPr="00686461">
              <w:rPr>
                <w:rFonts w:asciiTheme="majorHAnsi" w:eastAsia="Times New Roman" w:hAnsiTheme="majorHAnsi" w:cs="Segoe UI"/>
                <w:b w:val="0"/>
                <w:szCs w:val="24"/>
                <w:lang w:eastAsia="en-NZ"/>
              </w:rPr>
              <w:t xml:space="preserve">Māori have a sense </w:t>
            </w:r>
            <w:r w:rsidRPr="00686461">
              <w:rPr>
                <w:rFonts w:asciiTheme="majorHAnsi" w:hAnsiTheme="majorHAnsi" w:cs="Segoe UI"/>
                <w:b w:val="0"/>
                <w:szCs w:val="24"/>
              </w:rPr>
              <w:t>of</w:t>
            </w:r>
            <w:r w:rsidRPr="00686461">
              <w:rPr>
                <w:rFonts w:asciiTheme="majorHAnsi" w:eastAsia="Times New Roman" w:hAnsiTheme="majorHAnsi" w:cs="Segoe UI"/>
                <w:b w:val="0"/>
                <w:szCs w:val="24"/>
                <w:lang w:eastAsia="en-NZ"/>
              </w:rPr>
              <w:t xml:space="preserve"> urgency to make changes to the health and disability system.</w:t>
            </w:r>
          </w:p>
          <w:p w14:paraId="3CD66A8E" w14:textId="77777777" w:rsidR="0046307E" w:rsidRPr="00686461" w:rsidRDefault="0046307E" w:rsidP="005E61C4">
            <w:pPr>
              <w:pStyle w:val="ListParagraph"/>
              <w:numPr>
                <w:ilvl w:val="0"/>
                <w:numId w:val="1"/>
              </w:numPr>
              <w:ind w:left="312" w:hanging="284"/>
              <w:rPr>
                <w:rFonts w:asciiTheme="majorHAnsi" w:hAnsiTheme="majorHAnsi" w:cs="Segoe UI"/>
                <w:b w:val="0"/>
                <w:szCs w:val="24"/>
              </w:rPr>
            </w:pPr>
            <w:r w:rsidRPr="00686461">
              <w:rPr>
                <w:rFonts w:asciiTheme="majorHAnsi" w:hAnsiTheme="majorHAnsi" w:cs="Segoe UI"/>
                <w:b w:val="0"/>
                <w:szCs w:val="24"/>
              </w:rPr>
              <w:t>Health and disability services need to be strengths-based, not deficit-based.</w:t>
            </w:r>
          </w:p>
          <w:p w14:paraId="08C2A946" w14:textId="77777777" w:rsidR="0046307E" w:rsidRPr="00686461" w:rsidRDefault="0046307E" w:rsidP="005E61C4">
            <w:pPr>
              <w:pStyle w:val="ListParagraph"/>
              <w:numPr>
                <w:ilvl w:val="0"/>
                <w:numId w:val="1"/>
              </w:numPr>
              <w:ind w:left="312" w:hanging="284"/>
              <w:rPr>
                <w:rFonts w:asciiTheme="majorHAnsi" w:hAnsiTheme="majorHAnsi" w:cs="Segoe UI"/>
                <w:b w:val="0"/>
                <w:szCs w:val="24"/>
              </w:rPr>
            </w:pPr>
            <w:r w:rsidRPr="00686461">
              <w:rPr>
                <w:rFonts w:asciiTheme="majorHAnsi" w:hAnsiTheme="majorHAnsi" w:cs="Segoe UI"/>
                <w:b w:val="0"/>
                <w:szCs w:val="24"/>
              </w:rPr>
              <w:t xml:space="preserve">Recognise </w:t>
            </w:r>
            <w:proofErr w:type="spellStart"/>
            <w:r w:rsidRPr="00686461">
              <w:rPr>
                <w:rFonts w:asciiTheme="majorHAnsi" w:hAnsiTheme="majorHAnsi" w:cs="Segoe UI"/>
                <w:b w:val="0"/>
                <w:szCs w:val="24"/>
              </w:rPr>
              <w:t>tamariki</w:t>
            </w:r>
            <w:proofErr w:type="spellEnd"/>
            <w:r w:rsidRPr="00686461">
              <w:rPr>
                <w:rFonts w:asciiTheme="majorHAnsi" w:hAnsiTheme="majorHAnsi" w:cs="Segoe UI"/>
                <w:b w:val="0"/>
                <w:szCs w:val="24"/>
              </w:rPr>
              <w:t xml:space="preserve"> and </w:t>
            </w:r>
            <w:proofErr w:type="spellStart"/>
            <w:r w:rsidRPr="00686461">
              <w:rPr>
                <w:rFonts w:asciiTheme="majorHAnsi" w:hAnsiTheme="majorHAnsi" w:cs="Segoe UI"/>
                <w:b w:val="0"/>
                <w:szCs w:val="24"/>
              </w:rPr>
              <w:t>rangatahi</w:t>
            </w:r>
            <w:proofErr w:type="spellEnd"/>
            <w:r w:rsidRPr="00686461">
              <w:rPr>
                <w:rFonts w:asciiTheme="majorHAnsi" w:hAnsiTheme="majorHAnsi" w:cs="Segoe UI"/>
                <w:b w:val="0"/>
                <w:szCs w:val="24"/>
              </w:rPr>
              <w:t xml:space="preserve"> Māori as taonga.</w:t>
            </w:r>
          </w:p>
          <w:p w14:paraId="2EE4942F" w14:textId="77777777" w:rsidR="0046307E" w:rsidRPr="00686461" w:rsidRDefault="0046307E" w:rsidP="005E61C4">
            <w:pPr>
              <w:pStyle w:val="ListParagraph"/>
              <w:numPr>
                <w:ilvl w:val="0"/>
                <w:numId w:val="1"/>
              </w:numPr>
              <w:ind w:left="312" w:hanging="284"/>
              <w:rPr>
                <w:rFonts w:asciiTheme="majorHAnsi" w:hAnsiTheme="majorHAnsi" w:cs="Segoe UI"/>
                <w:b w:val="0"/>
                <w:szCs w:val="24"/>
              </w:rPr>
            </w:pPr>
            <w:r w:rsidRPr="00686461">
              <w:rPr>
                <w:rFonts w:asciiTheme="majorHAnsi" w:hAnsiTheme="majorHAnsi" w:cs="Segoe UI"/>
                <w:b w:val="0"/>
                <w:szCs w:val="24"/>
              </w:rPr>
              <w:t>Whānau tino ora – ask</w:t>
            </w:r>
            <w:r w:rsidRPr="00686461">
              <w:rPr>
                <w:rFonts w:asciiTheme="majorHAnsi" w:hAnsiTheme="majorHAnsi" w:cs="Segoe UI"/>
                <w:b w:val="0"/>
                <w:i/>
                <w:szCs w:val="24"/>
              </w:rPr>
              <w:t xml:space="preserve"> ‘what matters to whānau?</w:t>
            </w:r>
            <w:r w:rsidRPr="00686461">
              <w:rPr>
                <w:rFonts w:asciiTheme="majorHAnsi" w:hAnsiTheme="majorHAnsi" w:cs="Segoe UI"/>
                <w:b w:val="0"/>
                <w:szCs w:val="24"/>
              </w:rPr>
              <w:t xml:space="preserve">’ not </w:t>
            </w:r>
            <w:r w:rsidRPr="00686461">
              <w:rPr>
                <w:rFonts w:asciiTheme="majorHAnsi" w:hAnsiTheme="majorHAnsi" w:cs="Segoe UI"/>
                <w:b w:val="0"/>
                <w:i/>
                <w:szCs w:val="24"/>
              </w:rPr>
              <w:t>‘what’s the matter with whānau?’</w:t>
            </w:r>
          </w:p>
          <w:p w14:paraId="121599EE" w14:textId="77777777" w:rsidR="0046307E" w:rsidRPr="00686461" w:rsidRDefault="0046307E" w:rsidP="002E6175">
            <w:pPr>
              <w:ind w:left="312" w:hanging="284"/>
              <w:rPr>
                <w:rFonts w:asciiTheme="majorHAnsi" w:hAnsiTheme="majorHAnsi" w:cs="Segoe UI"/>
                <w:b w:val="0"/>
                <w:sz w:val="24"/>
                <w:szCs w:val="24"/>
              </w:rPr>
            </w:pPr>
          </w:p>
        </w:tc>
        <w:tc>
          <w:tcPr>
            <w:tcW w:w="1230" w:type="pct"/>
            <w:shd w:val="clear" w:color="auto" w:fill="auto"/>
          </w:tcPr>
          <w:p w14:paraId="61BF048B" w14:textId="77777777" w:rsidR="0046307E" w:rsidRPr="00686461" w:rsidRDefault="0046307E" w:rsidP="002E6175">
            <w:pPr>
              <w:ind w:left="312" w:hanging="284"/>
              <w:cnfStyle w:val="000000100000" w:firstRow="0" w:lastRow="0" w:firstColumn="0" w:lastColumn="0" w:oddVBand="0" w:evenVBand="0" w:oddHBand="1" w:evenHBand="0" w:firstRowFirstColumn="0" w:firstRowLastColumn="0" w:lastRowFirstColumn="0" w:lastRowLastColumn="0"/>
              <w:rPr>
                <w:rFonts w:asciiTheme="majorHAnsi" w:hAnsiTheme="majorHAnsi" w:cs="Segoe UI"/>
                <w:b/>
                <w:sz w:val="24"/>
                <w:szCs w:val="24"/>
              </w:rPr>
            </w:pPr>
            <w:r w:rsidRPr="00686461">
              <w:rPr>
                <w:rFonts w:asciiTheme="majorHAnsi" w:hAnsiTheme="majorHAnsi" w:cs="Segoe UI"/>
                <w:b/>
                <w:sz w:val="24"/>
                <w:szCs w:val="24"/>
              </w:rPr>
              <w:lastRenderedPageBreak/>
              <w:t>Invest in our Māori health workforce.</w:t>
            </w:r>
          </w:p>
          <w:p w14:paraId="781E3477" w14:textId="77777777" w:rsidR="0046307E" w:rsidRPr="00686461" w:rsidRDefault="0046307E" w:rsidP="005E61C4">
            <w:pPr>
              <w:pStyle w:val="ListParagraph"/>
              <w:numPr>
                <w:ilvl w:val="0"/>
                <w:numId w:val="1"/>
              </w:numPr>
              <w:ind w:left="312" w:hanging="284"/>
              <w:cnfStyle w:val="000000100000" w:firstRow="0" w:lastRow="0" w:firstColumn="0" w:lastColumn="0" w:oddVBand="0" w:evenVBand="0" w:oddHBand="1"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A diverse and representative health workforce that understands the importance of achieving health equity.</w:t>
            </w:r>
          </w:p>
          <w:p w14:paraId="39CFAF9E" w14:textId="77777777" w:rsidR="0046307E" w:rsidRPr="00686461" w:rsidRDefault="0046307E" w:rsidP="005E61C4">
            <w:pPr>
              <w:pStyle w:val="ListParagraph"/>
              <w:numPr>
                <w:ilvl w:val="0"/>
                <w:numId w:val="1"/>
              </w:numPr>
              <w:ind w:left="312" w:hanging="284"/>
              <w:cnfStyle w:val="000000100000" w:firstRow="0" w:lastRow="0" w:firstColumn="0" w:lastColumn="0" w:oddVBand="0" w:evenVBand="0" w:oddHBand="1" w:evenHBand="0" w:firstRowFirstColumn="0" w:firstRowLastColumn="0" w:lastRowFirstColumn="0" w:lastRowLastColumn="0"/>
              <w:rPr>
                <w:rFonts w:asciiTheme="majorHAnsi" w:hAnsiTheme="majorHAnsi" w:cs="Segoe UI"/>
                <w:szCs w:val="24"/>
              </w:rPr>
            </w:pPr>
            <w:r w:rsidRPr="00686461">
              <w:rPr>
                <w:rFonts w:asciiTheme="majorHAnsi" w:hAnsiTheme="majorHAnsi"/>
                <w:szCs w:val="24"/>
              </w:rPr>
              <w:t xml:space="preserve">There is a lack of diversity in the current workforce. Māori make up 3% of the medical workforce and 11% of the industry group Health Care and Social Assistance (Stats NZ, Census 2013). </w:t>
            </w:r>
          </w:p>
          <w:p w14:paraId="6F9119EF" w14:textId="77777777" w:rsidR="0046307E" w:rsidRPr="00686461" w:rsidRDefault="0046307E" w:rsidP="005E61C4">
            <w:pPr>
              <w:pStyle w:val="ListParagraph"/>
              <w:numPr>
                <w:ilvl w:val="0"/>
                <w:numId w:val="1"/>
              </w:numPr>
              <w:ind w:left="312" w:hanging="284"/>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686461">
              <w:rPr>
                <w:rFonts w:asciiTheme="majorHAnsi" w:hAnsiTheme="majorHAnsi"/>
                <w:szCs w:val="24"/>
              </w:rPr>
              <w:lastRenderedPageBreak/>
              <w:t xml:space="preserve">Māori health workforce challenges are centred on the capacity and capability of the Māori workforce and attracting and retaining Māori health professionals to work in rural areas. </w:t>
            </w:r>
          </w:p>
          <w:p w14:paraId="2C9CE85A" w14:textId="77777777" w:rsidR="0046307E" w:rsidRPr="00686461" w:rsidRDefault="0046307E" w:rsidP="005E61C4">
            <w:pPr>
              <w:pStyle w:val="ListParagraph"/>
              <w:numPr>
                <w:ilvl w:val="0"/>
                <w:numId w:val="1"/>
              </w:numPr>
              <w:ind w:left="312" w:hanging="284"/>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686461">
              <w:rPr>
                <w:rFonts w:asciiTheme="majorHAnsi" w:hAnsiTheme="majorHAnsi"/>
                <w:szCs w:val="24"/>
              </w:rPr>
              <w:t xml:space="preserve">There is insufficient investment in building the Māori health workforce. </w:t>
            </w:r>
          </w:p>
          <w:p w14:paraId="1A8A885C" w14:textId="77777777" w:rsidR="0046307E" w:rsidRPr="00686461" w:rsidRDefault="0046307E" w:rsidP="005E61C4">
            <w:pPr>
              <w:pStyle w:val="ListParagraph"/>
              <w:numPr>
                <w:ilvl w:val="0"/>
                <w:numId w:val="1"/>
              </w:numPr>
              <w:ind w:left="312" w:hanging="284"/>
              <w:cnfStyle w:val="000000100000" w:firstRow="0" w:lastRow="0" w:firstColumn="0" w:lastColumn="0" w:oddVBand="0" w:evenVBand="0" w:oddHBand="1"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Pay parity issues between health professionals working for Māori providers and those working for mainstream providers are a challenge for recruitment and retention.</w:t>
            </w:r>
          </w:p>
          <w:p w14:paraId="4F9DE5B9" w14:textId="77777777" w:rsidR="0046307E" w:rsidRPr="00686461" w:rsidRDefault="0046307E" w:rsidP="002E6175">
            <w:pPr>
              <w:pStyle w:val="ListParagraph"/>
              <w:ind w:left="312" w:hanging="284"/>
              <w:cnfStyle w:val="000000100000" w:firstRow="0" w:lastRow="0" w:firstColumn="0" w:lastColumn="0" w:oddVBand="0" w:evenVBand="0" w:oddHBand="1" w:evenHBand="0" w:firstRowFirstColumn="0" w:firstRowLastColumn="0" w:lastRowFirstColumn="0" w:lastRowLastColumn="0"/>
              <w:rPr>
                <w:rFonts w:asciiTheme="majorHAnsi" w:hAnsiTheme="majorHAnsi" w:cs="Segoe UI"/>
                <w:szCs w:val="24"/>
              </w:rPr>
            </w:pPr>
          </w:p>
        </w:tc>
        <w:tc>
          <w:tcPr>
            <w:tcW w:w="1231" w:type="pct"/>
            <w:shd w:val="clear" w:color="auto" w:fill="auto"/>
          </w:tcPr>
          <w:p w14:paraId="7782BBCD" w14:textId="77777777" w:rsidR="0046307E" w:rsidRPr="00686461" w:rsidRDefault="0046307E" w:rsidP="002E6175">
            <w:pPr>
              <w:ind w:left="312" w:hanging="284"/>
              <w:cnfStyle w:val="000000100000" w:firstRow="0" w:lastRow="0" w:firstColumn="0" w:lastColumn="0" w:oddVBand="0" w:evenVBand="0" w:oddHBand="1" w:evenHBand="0" w:firstRowFirstColumn="0" w:firstRowLastColumn="0" w:lastRowFirstColumn="0" w:lastRowLastColumn="0"/>
              <w:rPr>
                <w:rFonts w:asciiTheme="majorHAnsi" w:hAnsiTheme="majorHAnsi" w:cs="Segoe UI"/>
                <w:b/>
                <w:sz w:val="24"/>
                <w:szCs w:val="24"/>
              </w:rPr>
            </w:pPr>
            <w:r w:rsidRPr="00686461">
              <w:rPr>
                <w:rFonts w:asciiTheme="majorHAnsi" w:hAnsiTheme="majorHAnsi" w:cs="Segoe UI"/>
                <w:b/>
                <w:sz w:val="24"/>
                <w:szCs w:val="24"/>
              </w:rPr>
              <w:lastRenderedPageBreak/>
              <w:t>Addressing colonisation and racism</w:t>
            </w:r>
          </w:p>
          <w:p w14:paraId="6D6BA041" w14:textId="77777777" w:rsidR="0046307E" w:rsidRPr="00686461" w:rsidRDefault="0046307E" w:rsidP="005E61C4">
            <w:pPr>
              <w:pStyle w:val="ListParagraph"/>
              <w:numPr>
                <w:ilvl w:val="0"/>
                <w:numId w:val="1"/>
              </w:numPr>
              <w:ind w:left="312" w:hanging="284"/>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Segoe UI"/>
                <w:szCs w:val="24"/>
                <w:lang w:eastAsia="en-NZ"/>
              </w:rPr>
            </w:pPr>
            <w:r w:rsidRPr="00686461">
              <w:rPr>
                <w:rFonts w:asciiTheme="majorHAnsi" w:eastAsia="Times New Roman" w:hAnsiTheme="majorHAnsi" w:cs="Segoe UI"/>
                <w:szCs w:val="24"/>
                <w:lang w:eastAsia="en-NZ"/>
              </w:rPr>
              <w:t>At the heart of Māori un-wellness is colonisation, intergenerational trauma, institutional racism, unconscious bias, and a western model of wellbeing.</w:t>
            </w:r>
          </w:p>
          <w:p w14:paraId="54EFD652" w14:textId="77777777" w:rsidR="0046307E" w:rsidRPr="00686461" w:rsidRDefault="0046307E" w:rsidP="005E61C4">
            <w:pPr>
              <w:numPr>
                <w:ilvl w:val="0"/>
                <w:numId w:val="1"/>
              </w:numPr>
              <w:ind w:left="312" w:hanging="284"/>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Segoe UI"/>
                <w:sz w:val="24"/>
                <w:szCs w:val="24"/>
                <w:lang w:eastAsia="en-NZ"/>
              </w:rPr>
            </w:pPr>
            <w:r w:rsidRPr="00686461">
              <w:rPr>
                <w:rFonts w:asciiTheme="majorHAnsi" w:eastAsia="Times New Roman" w:hAnsiTheme="majorHAnsi" w:cs="Segoe UI"/>
                <w:sz w:val="24"/>
                <w:szCs w:val="24"/>
                <w:lang w:eastAsia="en-NZ"/>
              </w:rPr>
              <w:t>Research shows Māori are significantly more likely to experience discrimination than the New Zealand European population.</w:t>
            </w:r>
          </w:p>
          <w:p w14:paraId="0FFDF99C" w14:textId="77777777" w:rsidR="0046307E" w:rsidRPr="00686461" w:rsidRDefault="0046307E" w:rsidP="005E61C4">
            <w:pPr>
              <w:pStyle w:val="ListParagraph"/>
              <w:numPr>
                <w:ilvl w:val="0"/>
                <w:numId w:val="1"/>
              </w:numPr>
              <w:ind w:left="312" w:hanging="284"/>
              <w:cnfStyle w:val="000000100000" w:firstRow="0" w:lastRow="0" w:firstColumn="0" w:lastColumn="0" w:oddVBand="0" w:evenVBand="0" w:oddHBand="1" w:evenHBand="0" w:firstRowFirstColumn="0" w:firstRowLastColumn="0" w:lastRowFirstColumn="0" w:lastRowLastColumn="0"/>
              <w:rPr>
                <w:rFonts w:asciiTheme="majorHAnsi" w:hAnsiTheme="majorHAnsi" w:cs="Segoe UI"/>
                <w:szCs w:val="24"/>
              </w:rPr>
            </w:pPr>
            <w:r w:rsidRPr="00686461">
              <w:rPr>
                <w:rFonts w:asciiTheme="majorHAnsi" w:eastAsia="Times New Roman" w:hAnsiTheme="majorHAnsi" w:cs="Segoe UI"/>
                <w:szCs w:val="24"/>
                <w:lang w:eastAsia="en-NZ"/>
              </w:rPr>
              <w:lastRenderedPageBreak/>
              <w:t xml:space="preserve">Start from a place of restoration. Acknowledge and address the historic and present injustice experienced by </w:t>
            </w:r>
            <w:proofErr w:type="gramStart"/>
            <w:r w:rsidRPr="00686461">
              <w:rPr>
                <w:rFonts w:asciiTheme="majorHAnsi" w:eastAsia="Times New Roman" w:hAnsiTheme="majorHAnsi" w:cs="Segoe UI"/>
                <w:szCs w:val="24"/>
                <w:lang w:eastAsia="en-NZ"/>
              </w:rPr>
              <w:t>Māori, and</w:t>
            </w:r>
            <w:proofErr w:type="gramEnd"/>
            <w:r w:rsidRPr="00686461">
              <w:rPr>
                <w:rFonts w:asciiTheme="majorHAnsi" w:eastAsia="Times New Roman" w:hAnsiTheme="majorHAnsi" w:cs="Segoe UI"/>
                <w:szCs w:val="24"/>
                <w:lang w:eastAsia="en-NZ"/>
              </w:rPr>
              <w:t xml:space="preserve"> start to heal the intergenerational </w:t>
            </w:r>
            <w:proofErr w:type="spellStart"/>
            <w:r w:rsidRPr="00686461">
              <w:rPr>
                <w:rFonts w:asciiTheme="majorHAnsi" w:eastAsia="Times New Roman" w:hAnsiTheme="majorHAnsi" w:cs="Segoe UI"/>
                <w:szCs w:val="24"/>
                <w:lang w:eastAsia="en-NZ"/>
              </w:rPr>
              <w:t>mamae</w:t>
            </w:r>
            <w:proofErr w:type="spellEnd"/>
            <w:r w:rsidRPr="00686461">
              <w:rPr>
                <w:rFonts w:asciiTheme="majorHAnsi" w:eastAsia="Times New Roman" w:hAnsiTheme="majorHAnsi" w:cs="Segoe UI"/>
                <w:szCs w:val="24"/>
                <w:lang w:eastAsia="en-NZ"/>
              </w:rPr>
              <w:t xml:space="preserve"> (pain</w:t>
            </w:r>
            <w:r w:rsidRPr="00686461">
              <w:rPr>
                <w:rFonts w:asciiTheme="majorHAnsi" w:hAnsiTheme="majorHAnsi" w:cs="Segoe UI"/>
                <w:szCs w:val="24"/>
              </w:rPr>
              <w:t>).</w:t>
            </w:r>
          </w:p>
          <w:p w14:paraId="1D5D85C7" w14:textId="77777777" w:rsidR="0046307E" w:rsidRPr="00686461" w:rsidRDefault="0046307E" w:rsidP="005E61C4">
            <w:pPr>
              <w:pStyle w:val="ListParagraph"/>
              <w:numPr>
                <w:ilvl w:val="0"/>
                <w:numId w:val="1"/>
              </w:numPr>
              <w:ind w:left="312" w:hanging="284"/>
              <w:cnfStyle w:val="000000100000" w:firstRow="0" w:lastRow="0" w:firstColumn="0" w:lastColumn="0" w:oddVBand="0" w:evenVBand="0" w:oddHBand="1"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Recognise the impact of cultural alienation and generational deprivation.</w:t>
            </w:r>
          </w:p>
          <w:p w14:paraId="27E1EE4C" w14:textId="77777777" w:rsidR="0046307E" w:rsidRPr="00686461" w:rsidRDefault="0046307E" w:rsidP="005E61C4">
            <w:pPr>
              <w:pStyle w:val="ListParagraph"/>
              <w:numPr>
                <w:ilvl w:val="0"/>
                <w:numId w:val="1"/>
              </w:numPr>
              <w:ind w:left="312" w:hanging="284"/>
              <w:cnfStyle w:val="000000100000" w:firstRow="0" w:lastRow="0" w:firstColumn="0" w:lastColumn="0" w:oddVBand="0" w:evenVBand="0" w:oddHBand="1"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Develop the cultural competency and responsiveness of the health and disability system.</w:t>
            </w:r>
          </w:p>
          <w:p w14:paraId="217FACA2" w14:textId="77777777" w:rsidR="0046307E" w:rsidRPr="00686461" w:rsidRDefault="0046307E" w:rsidP="002E6175">
            <w:pPr>
              <w:ind w:left="31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Segoe UI"/>
                <w:sz w:val="24"/>
                <w:szCs w:val="24"/>
                <w:lang w:eastAsia="en-NZ"/>
              </w:rPr>
            </w:pPr>
          </w:p>
        </w:tc>
        <w:tc>
          <w:tcPr>
            <w:tcW w:w="1312" w:type="pct"/>
            <w:shd w:val="clear" w:color="auto" w:fill="auto"/>
          </w:tcPr>
          <w:p w14:paraId="3A0E8038" w14:textId="77777777" w:rsidR="0046307E" w:rsidRPr="00686461" w:rsidRDefault="0046307E" w:rsidP="002E6175">
            <w:pPr>
              <w:ind w:left="312" w:hanging="284"/>
              <w:cnfStyle w:val="000000100000" w:firstRow="0" w:lastRow="0" w:firstColumn="0" w:lastColumn="0" w:oddVBand="0" w:evenVBand="0" w:oddHBand="1" w:evenHBand="0" w:firstRowFirstColumn="0" w:firstRowLastColumn="0" w:lastRowFirstColumn="0" w:lastRowLastColumn="0"/>
              <w:rPr>
                <w:rFonts w:asciiTheme="majorHAnsi" w:hAnsiTheme="majorHAnsi" w:cs="Segoe UI"/>
                <w:b/>
                <w:sz w:val="24"/>
                <w:szCs w:val="24"/>
              </w:rPr>
            </w:pPr>
            <w:r w:rsidRPr="00686461">
              <w:rPr>
                <w:rFonts w:asciiTheme="majorHAnsi" w:hAnsiTheme="majorHAnsi" w:cs="Segoe UI"/>
                <w:b/>
                <w:sz w:val="24"/>
                <w:szCs w:val="24"/>
              </w:rPr>
              <w:lastRenderedPageBreak/>
              <w:t xml:space="preserve">Whānau centred models of care </w:t>
            </w:r>
          </w:p>
          <w:p w14:paraId="5959B51D" w14:textId="53F8CBA8" w:rsidR="0046307E" w:rsidRPr="00686461" w:rsidRDefault="0046307E" w:rsidP="005E61C4">
            <w:pPr>
              <w:pStyle w:val="ListParagraph"/>
              <w:numPr>
                <w:ilvl w:val="0"/>
                <w:numId w:val="1"/>
              </w:numPr>
              <w:ind w:left="312" w:hanging="284"/>
              <w:cnfStyle w:val="000000100000" w:firstRow="0" w:lastRow="0" w:firstColumn="0" w:lastColumn="0" w:oddVBand="0" w:evenVBand="0" w:oddHBand="1"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The system is set</w:t>
            </w:r>
            <w:r w:rsidR="0019202B">
              <w:rPr>
                <w:rFonts w:asciiTheme="majorHAnsi" w:hAnsiTheme="majorHAnsi" w:cs="Segoe UI"/>
                <w:szCs w:val="24"/>
              </w:rPr>
              <w:t>-</w:t>
            </w:r>
            <w:r w:rsidRPr="00686461">
              <w:rPr>
                <w:rFonts w:asciiTheme="majorHAnsi" w:hAnsiTheme="majorHAnsi" w:cs="Segoe UI"/>
                <w:szCs w:val="24"/>
              </w:rPr>
              <w:t>up for individual engagement and doesn’t offer a platform for whānau engagement</w:t>
            </w:r>
          </w:p>
          <w:p w14:paraId="61861265" w14:textId="77777777" w:rsidR="0046307E" w:rsidRPr="00686461" w:rsidRDefault="0046307E" w:rsidP="005E61C4">
            <w:pPr>
              <w:pStyle w:val="ListParagraph"/>
              <w:numPr>
                <w:ilvl w:val="0"/>
                <w:numId w:val="1"/>
              </w:numPr>
              <w:ind w:left="312" w:hanging="284"/>
              <w:cnfStyle w:val="000000100000" w:firstRow="0" w:lastRow="0" w:firstColumn="0" w:lastColumn="0" w:oddVBand="0" w:evenVBand="0" w:oddHBand="1"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Focus on whānau wellbeing.</w:t>
            </w:r>
          </w:p>
          <w:p w14:paraId="6F7C8601" w14:textId="358733AC" w:rsidR="0046307E" w:rsidRPr="00686461" w:rsidRDefault="0046307E" w:rsidP="005E61C4">
            <w:pPr>
              <w:pStyle w:val="ListParagraph"/>
              <w:numPr>
                <w:ilvl w:val="0"/>
                <w:numId w:val="1"/>
              </w:numPr>
              <w:ind w:left="312" w:hanging="284"/>
              <w:cnfStyle w:val="000000100000" w:firstRow="0" w:lastRow="0" w:firstColumn="0" w:lastColumn="0" w:oddVBand="0" w:evenVBand="0" w:oddHBand="1"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 xml:space="preserve">The current system does not recognise the diverse realities of Māori whānau, </w:t>
            </w:r>
            <w:r w:rsidR="00582EB5">
              <w:rPr>
                <w:rFonts w:asciiTheme="majorHAnsi" w:hAnsiTheme="majorHAnsi" w:cs="Segoe UI"/>
                <w:szCs w:val="24"/>
              </w:rPr>
              <w:t>hapū</w:t>
            </w:r>
            <w:r w:rsidRPr="00686461">
              <w:rPr>
                <w:rFonts w:asciiTheme="majorHAnsi" w:hAnsiTheme="majorHAnsi" w:cs="Segoe UI"/>
                <w:szCs w:val="24"/>
              </w:rPr>
              <w:t xml:space="preserve"> and iwi</w:t>
            </w:r>
          </w:p>
          <w:p w14:paraId="172DC1FC" w14:textId="77777777" w:rsidR="0046307E" w:rsidRPr="00686461" w:rsidRDefault="0046307E" w:rsidP="005E61C4">
            <w:pPr>
              <w:pStyle w:val="ListParagraph"/>
              <w:numPr>
                <w:ilvl w:val="0"/>
                <w:numId w:val="1"/>
              </w:numPr>
              <w:ind w:left="312" w:hanging="284"/>
              <w:cnfStyle w:val="000000100000" w:firstRow="0" w:lastRow="0" w:firstColumn="0" w:lastColumn="0" w:oddVBand="0" w:evenVBand="0" w:oddHBand="1"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 xml:space="preserve">The current system fails to promote the autonomy of whānau. </w:t>
            </w:r>
          </w:p>
          <w:p w14:paraId="5177B07F" w14:textId="77777777" w:rsidR="0046307E" w:rsidRPr="00686461" w:rsidRDefault="0046307E" w:rsidP="005E61C4">
            <w:pPr>
              <w:pStyle w:val="ListParagraph"/>
              <w:numPr>
                <w:ilvl w:val="0"/>
                <w:numId w:val="1"/>
              </w:numPr>
              <w:ind w:left="312" w:hanging="284"/>
              <w:cnfStyle w:val="000000100000" w:firstRow="0" w:lastRow="0" w:firstColumn="0" w:lastColumn="0" w:oddVBand="0" w:evenVBand="0" w:oddHBand="1"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lastRenderedPageBreak/>
              <w:t xml:space="preserve">Struggles to design services around whānau and take services to whānau, to ensure </w:t>
            </w:r>
            <w:proofErr w:type="spellStart"/>
            <w:r w:rsidRPr="00686461">
              <w:rPr>
                <w:rFonts w:asciiTheme="majorHAnsi" w:hAnsiTheme="majorHAnsi" w:cs="Segoe UI"/>
                <w:szCs w:val="24"/>
              </w:rPr>
              <w:t>tamariki</w:t>
            </w:r>
            <w:proofErr w:type="spellEnd"/>
            <w:r w:rsidRPr="00686461">
              <w:rPr>
                <w:rFonts w:asciiTheme="majorHAnsi" w:hAnsiTheme="majorHAnsi" w:cs="Segoe UI"/>
                <w:szCs w:val="24"/>
              </w:rPr>
              <w:t xml:space="preserve"> </w:t>
            </w:r>
            <w:proofErr w:type="gramStart"/>
            <w:r w:rsidRPr="00686461">
              <w:rPr>
                <w:rFonts w:asciiTheme="majorHAnsi" w:hAnsiTheme="majorHAnsi" w:cs="Segoe UI"/>
                <w:szCs w:val="24"/>
              </w:rPr>
              <w:t>are able to</w:t>
            </w:r>
            <w:proofErr w:type="gramEnd"/>
            <w:r w:rsidRPr="00686461">
              <w:rPr>
                <w:rFonts w:asciiTheme="majorHAnsi" w:hAnsiTheme="majorHAnsi" w:cs="Segoe UI"/>
                <w:szCs w:val="24"/>
              </w:rPr>
              <w:t xml:space="preserve"> connect to their whakapapa and culture.</w:t>
            </w:r>
          </w:p>
          <w:p w14:paraId="77BACAB4" w14:textId="77777777" w:rsidR="0046307E" w:rsidRPr="00686461" w:rsidRDefault="0046307E" w:rsidP="005E61C4">
            <w:pPr>
              <w:pStyle w:val="ListParagraph"/>
              <w:numPr>
                <w:ilvl w:val="0"/>
                <w:numId w:val="1"/>
              </w:numPr>
              <w:ind w:left="312" w:hanging="284"/>
              <w:cnfStyle w:val="000000100000" w:firstRow="0" w:lastRow="0" w:firstColumn="0" w:lastColumn="0" w:oddVBand="0" w:evenVBand="0" w:oddHBand="1"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Whānau ora approaches should be funded as business-as-usual.</w:t>
            </w:r>
          </w:p>
          <w:p w14:paraId="53FF6209" w14:textId="77777777" w:rsidR="0046307E" w:rsidRPr="00686461" w:rsidRDefault="0046307E" w:rsidP="002E6175">
            <w:pPr>
              <w:ind w:left="312" w:hanging="284"/>
              <w:cnfStyle w:val="000000100000" w:firstRow="0" w:lastRow="0" w:firstColumn="0" w:lastColumn="0" w:oddVBand="0" w:evenVBand="0" w:oddHBand="1" w:evenHBand="0" w:firstRowFirstColumn="0" w:firstRowLastColumn="0" w:lastRowFirstColumn="0" w:lastRowLastColumn="0"/>
              <w:rPr>
                <w:rFonts w:asciiTheme="majorHAnsi" w:hAnsiTheme="majorHAnsi" w:cs="Segoe UI"/>
                <w:b/>
                <w:sz w:val="24"/>
                <w:szCs w:val="24"/>
              </w:rPr>
            </w:pPr>
          </w:p>
        </w:tc>
      </w:tr>
      <w:tr w:rsidR="0046307E" w:rsidRPr="00686461" w14:paraId="1D660988" w14:textId="77777777" w:rsidTr="009421F5">
        <w:tc>
          <w:tcPr>
            <w:cnfStyle w:val="001000000000" w:firstRow="0" w:lastRow="0" w:firstColumn="1" w:lastColumn="0" w:oddVBand="0" w:evenVBand="0" w:oddHBand="0" w:evenHBand="0" w:firstRowFirstColumn="0" w:firstRowLastColumn="0" w:lastRowFirstColumn="0" w:lastRowLastColumn="0"/>
            <w:tcW w:w="3688" w:type="pct"/>
            <w:gridSpan w:val="3"/>
            <w:shd w:val="clear" w:color="auto" w:fill="auto"/>
          </w:tcPr>
          <w:p w14:paraId="2A0521B0" w14:textId="77777777" w:rsidR="0046307E" w:rsidRPr="00686461" w:rsidRDefault="0046307E" w:rsidP="002E6175">
            <w:pPr>
              <w:ind w:left="312" w:hanging="284"/>
              <w:rPr>
                <w:rFonts w:asciiTheme="majorHAnsi" w:hAnsiTheme="majorHAnsi" w:cs="Segoe UI"/>
                <w:b w:val="0"/>
                <w:sz w:val="24"/>
                <w:szCs w:val="24"/>
              </w:rPr>
            </w:pPr>
            <w:r w:rsidRPr="00686461">
              <w:rPr>
                <w:rFonts w:asciiTheme="majorHAnsi" w:hAnsiTheme="majorHAnsi" w:cs="Segoe UI"/>
                <w:sz w:val="24"/>
                <w:szCs w:val="24"/>
              </w:rPr>
              <w:lastRenderedPageBreak/>
              <w:t>Funding partnerships</w:t>
            </w:r>
          </w:p>
          <w:p w14:paraId="21EA20E6" w14:textId="77777777" w:rsidR="0046307E" w:rsidRPr="00686461" w:rsidRDefault="0046307E" w:rsidP="005E61C4">
            <w:pPr>
              <w:pStyle w:val="ListParagraph"/>
              <w:numPr>
                <w:ilvl w:val="0"/>
                <w:numId w:val="1"/>
              </w:numPr>
              <w:ind w:left="312" w:hanging="284"/>
              <w:rPr>
                <w:rFonts w:asciiTheme="majorHAnsi" w:hAnsiTheme="majorHAnsi" w:cs="Segoe UI"/>
                <w:b w:val="0"/>
                <w:szCs w:val="24"/>
              </w:rPr>
            </w:pPr>
            <w:r w:rsidRPr="00686461">
              <w:rPr>
                <w:rFonts w:asciiTheme="majorHAnsi" w:hAnsiTheme="majorHAnsi" w:cs="Segoe UI"/>
                <w:b w:val="0"/>
                <w:szCs w:val="24"/>
              </w:rPr>
              <w:t>Improved outcomes for Māori will require a greater level of and more streamlined investment into Māori health.</w:t>
            </w:r>
          </w:p>
          <w:p w14:paraId="2DFCE7BB" w14:textId="77777777" w:rsidR="0046307E" w:rsidRPr="00686461" w:rsidRDefault="0046307E" w:rsidP="005E61C4">
            <w:pPr>
              <w:pStyle w:val="ListParagraph"/>
              <w:numPr>
                <w:ilvl w:val="0"/>
                <w:numId w:val="1"/>
              </w:numPr>
              <w:ind w:left="312" w:hanging="284"/>
              <w:rPr>
                <w:rFonts w:asciiTheme="majorHAnsi" w:hAnsiTheme="majorHAnsi" w:cs="Segoe UI"/>
                <w:b w:val="0"/>
                <w:bCs w:val="0"/>
                <w:szCs w:val="24"/>
              </w:rPr>
            </w:pPr>
            <w:r w:rsidRPr="00686461">
              <w:rPr>
                <w:rFonts w:asciiTheme="majorHAnsi" w:hAnsiTheme="majorHAnsi" w:cs="Segoe UI"/>
                <w:b w:val="0"/>
                <w:szCs w:val="24"/>
              </w:rPr>
              <w:t>Contracting arrangements are inflexible and low-trust. This does not support innovation.</w:t>
            </w:r>
          </w:p>
          <w:p w14:paraId="5A52B20C" w14:textId="77777777" w:rsidR="0046307E" w:rsidRPr="00686461" w:rsidRDefault="0046307E" w:rsidP="005E61C4">
            <w:pPr>
              <w:pStyle w:val="ListParagraph"/>
              <w:numPr>
                <w:ilvl w:val="0"/>
                <w:numId w:val="1"/>
              </w:numPr>
              <w:ind w:left="312" w:hanging="284"/>
              <w:rPr>
                <w:rFonts w:asciiTheme="majorHAnsi" w:hAnsiTheme="majorHAnsi" w:cs="Segoe UI"/>
                <w:b w:val="0"/>
                <w:bCs w:val="0"/>
                <w:szCs w:val="24"/>
              </w:rPr>
            </w:pPr>
            <w:r w:rsidRPr="00686461">
              <w:rPr>
                <w:rFonts w:asciiTheme="majorHAnsi" w:hAnsiTheme="majorHAnsi" w:cs="Segoe UI"/>
                <w:b w:val="0"/>
                <w:szCs w:val="24"/>
              </w:rPr>
              <w:t xml:space="preserve">Māori providers are scrutinised more. The Crown must start from a position of trust. </w:t>
            </w:r>
          </w:p>
          <w:p w14:paraId="31854A48" w14:textId="77777777" w:rsidR="0046307E" w:rsidRPr="00686461" w:rsidRDefault="0046307E" w:rsidP="005E61C4">
            <w:pPr>
              <w:pStyle w:val="ListParagraph"/>
              <w:numPr>
                <w:ilvl w:val="0"/>
                <w:numId w:val="1"/>
              </w:numPr>
              <w:ind w:left="312" w:hanging="284"/>
              <w:rPr>
                <w:rFonts w:asciiTheme="majorHAnsi" w:hAnsiTheme="majorHAnsi" w:cs="Segoe UI"/>
                <w:b w:val="0"/>
                <w:bCs w:val="0"/>
                <w:szCs w:val="24"/>
              </w:rPr>
            </w:pPr>
            <w:r w:rsidRPr="00686461">
              <w:rPr>
                <w:rFonts w:asciiTheme="majorHAnsi" w:hAnsiTheme="majorHAnsi" w:cs="Segoe UI"/>
                <w:b w:val="0"/>
                <w:szCs w:val="24"/>
              </w:rPr>
              <w:t>Distribute resources to empower Māori.</w:t>
            </w:r>
          </w:p>
          <w:p w14:paraId="617F706A" w14:textId="77777777" w:rsidR="0046307E" w:rsidRPr="00686461" w:rsidRDefault="0046307E" w:rsidP="005E61C4">
            <w:pPr>
              <w:pStyle w:val="ListParagraph"/>
              <w:numPr>
                <w:ilvl w:val="0"/>
                <w:numId w:val="1"/>
              </w:numPr>
              <w:ind w:left="312" w:hanging="284"/>
              <w:rPr>
                <w:rFonts w:asciiTheme="majorHAnsi" w:hAnsiTheme="majorHAnsi" w:cs="Segoe UI"/>
                <w:b w:val="0"/>
                <w:szCs w:val="24"/>
              </w:rPr>
            </w:pPr>
            <w:r w:rsidRPr="00686461">
              <w:rPr>
                <w:rFonts w:asciiTheme="majorHAnsi" w:hAnsiTheme="majorHAnsi" w:cs="Segoe UI"/>
                <w:b w:val="0"/>
                <w:szCs w:val="24"/>
              </w:rPr>
              <w:t>Fund Māori providers at the level required to provide equitable care for their populations.</w:t>
            </w:r>
          </w:p>
          <w:p w14:paraId="71087E8D" w14:textId="77777777" w:rsidR="0046307E" w:rsidRPr="00686461" w:rsidRDefault="0046307E" w:rsidP="005E61C4">
            <w:pPr>
              <w:pStyle w:val="ListParagraph"/>
              <w:numPr>
                <w:ilvl w:val="0"/>
                <w:numId w:val="1"/>
              </w:numPr>
              <w:ind w:left="312" w:hanging="284"/>
              <w:rPr>
                <w:rFonts w:asciiTheme="majorHAnsi" w:hAnsiTheme="majorHAnsi" w:cs="Segoe UI"/>
                <w:b w:val="0"/>
                <w:bCs w:val="0"/>
                <w:szCs w:val="24"/>
              </w:rPr>
            </w:pPr>
            <w:r w:rsidRPr="00686461">
              <w:rPr>
                <w:rFonts w:asciiTheme="majorHAnsi" w:hAnsiTheme="majorHAnsi" w:cs="Segoe UI"/>
                <w:b w:val="0"/>
                <w:szCs w:val="24"/>
              </w:rPr>
              <w:t>Funding should be longer-term and focus on achieving outcomes rather than outputs.</w:t>
            </w:r>
          </w:p>
          <w:p w14:paraId="6DEBE493" w14:textId="77777777" w:rsidR="0046307E" w:rsidRPr="00686461" w:rsidRDefault="0046307E" w:rsidP="005E61C4">
            <w:pPr>
              <w:pStyle w:val="ListParagraph"/>
              <w:numPr>
                <w:ilvl w:val="0"/>
                <w:numId w:val="1"/>
              </w:numPr>
              <w:ind w:left="312" w:hanging="284"/>
              <w:rPr>
                <w:rFonts w:asciiTheme="majorHAnsi" w:hAnsiTheme="majorHAnsi" w:cs="Segoe UI"/>
                <w:b w:val="0"/>
                <w:bCs w:val="0"/>
                <w:szCs w:val="24"/>
              </w:rPr>
            </w:pPr>
            <w:r w:rsidRPr="00686461">
              <w:rPr>
                <w:rFonts w:asciiTheme="majorHAnsi" w:hAnsiTheme="majorHAnsi" w:cs="Segoe UI"/>
                <w:b w:val="0"/>
                <w:szCs w:val="24"/>
              </w:rPr>
              <w:t>Fund preventative services rather than secondary services.</w:t>
            </w:r>
          </w:p>
          <w:p w14:paraId="0DACD743" w14:textId="77777777" w:rsidR="0046307E" w:rsidRPr="00686461" w:rsidRDefault="0046307E" w:rsidP="005E61C4">
            <w:pPr>
              <w:pStyle w:val="ListParagraph"/>
              <w:numPr>
                <w:ilvl w:val="0"/>
                <w:numId w:val="1"/>
              </w:numPr>
              <w:ind w:left="312" w:hanging="284"/>
              <w:rPr>
                <w:rFonts w:asciiTheme="majorHAnsi" w:hAnsiTheme="majorHAnsi" w:cs="Segoe UI"/>
                <w:b w:val="0"/>
                <w:bCs w:val="0"/>
                <w:szCs w:val="24"/>
              </w:rPr>
            </w:pPr>
            <w:r w:rsidRPr="00686461">
              <w:rPr>
                <w:rFonts w:asciiTheme="majorHAnsi" w:hAnsiTheme="majorHAnsi" w:cs="Segoe UI"/>
                <w:b w:val="0"/>
                <w:szCs w:val="24"/>
              </w:rPr>
              <w:t>Critically review services, rather than continuing to fund the same thing.</w:t>
            </w:r>
          </w:p>
          <w:p w14:paraId="3ACAE28F" w14:textId="77777777" w:rsidR="0046307E" w:rsidRPr="00686461" w:rsidRDefault="0046307E" w:rsidP="005E61C4">
            <w:pPr>
              <w:pStyle w:val="ListParagraph"/>
              <w:numPr>
                <w:ilvl w:val="0"/>
                <w:numId w:val="1"/>
              </w:numPr>
              <w:ind w:left="312" w:hanging="284"/>
              <w:rPr>
                <w:rFonts w:asciiTheme="majorHAnsi" w:hAnsiTheme="majorHAnsi" w:cs="Segoe UI"/>
                <w:b w:val="0"/>
                <w:szCs w:val="24"/>
              </w:rPr>
            </w:pPr>
            <w:proofErr w:type="gramStart"/>
            <w:r w:rsidRPr="00686461">
              <w:rPr>
                <w:rFonts w:asciiTheme="majorHAnsi" w:hAnsiTheme="majorHAnsi" w:cs="Segoe UI"/>
                <w:b w:val="0"/>
                <w:szCs w:val="24"/>
              </w:rPr>
              <w:t>A number of</w:t>
            </w:r>
            <w:proofErr w:type="gramEnd"/>
            <w:r w:rsidRPr="00686461">
              <w:rPr>
                <w:rFonts w:asciiTheme="majorHAnsi" w:hAnsiTheme="majorHAnsi" w:cs="Segoe UI"/>
                <w:b w:val="0"/>
                <w:szCs w:val="24"/>
              </w:rPr>
              <w:t xml:space="preserve"> Māori providers have expressed a desire to see separate or distinct Māori-led funding and commissioning models.</w:t>
            </w:r>
          </w:p>
        </w:tc>
        <w:tc>
          <w:tcPr>
            <w:tcW w:w="1312" w:type="pct"/>
            <w:shd w:val="clear" w:color="auto" w:fill="auto"/>
          </w:tcPr>
          <w:p w14:paraId="14624ACA" w14:textId="77777777" w:rsidR="0046307E" w:rsidRPr="00686461" w:rsidRDefault="0046307E" w:rsidP="002E6175">
            <w:p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b/>
                <w:sz w:val="24"/>
                <w:szCs w:val="24"/>
              </w:rPr>
            </w:pPr>
            <w:proofErr w:type="spellStart"/>
            <w:r w:rsidRPr="00686461">
              <w:rPr>
                <w:rFonts w:asciiTheme="majorHAnsi" w:hAnsiTheme="majorHAnsi" w:cs="Segoe UI"/>
                <w:b/>
                <w:sz w:val="24"/>
                <w:szCs w:val="24"/>
              </w:rPr>
              <w:t>Mātauranga</w:t>
            </w:r>
            <w:proofErr w:type="spellEnd"/>
            <w:r w:rsidRPr="00686461">
              <w:rPr>
                <w:rFonts w:asciiTheme="majorHAnsi" w:hAnsiTheme="majorHAnsi" w:cs="Segoe UI"/>
                <w:b/>
                <w:sz w:val="24"/>
                <w:szCs w:val="24"/>
              </w:rPr>
              <w:t xml:space="preserve"> Māori </w:t>
            </w:r>
          </w:p>
          <w:p w14:paraId="19DBDBC3" w14:textId="36A131BA" w:rsidR="0046307E" w:rsidRPr="00686461" w:rsidRDefault="0046307E" w:rsidP="005E61C4">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szCs w:val="24"/>
              </w:rPr>
            </w:pPr>
            <w:proofErr w:type="spellStart"/>
            <w:r w:rsidRPr="00686461">
              <w:rPr>
                <w:rFonts w:asciiTheme="majorHAnsi" w:hAnsiTheme="majorHAnsi" w:cs="Segoe UI"/>
                <w:szCs w:val="24"/>
              </w:rPr>
              <w:t>Mātauranga</w:t>
            </w:r>
            <w:proofErr w:type="spellEnd"/>
            <w:r w:rsidRPr="00686461">
              <w:rPr>
                <w:rFonts w:asciiTheme="majorHAnsi" w:hAnsiTheme="majorHAnsi" w:cs="Segoe UI"/>
                <w:szCs w:val="24"/>
              </w:rPr>
              <w:t xml:space="preserve"> Māori plays an important role in the shaping of contextual, cultural and ideological approaches and in the understanding of health and wellbeing for Māori</w:t>
            </w:r>
            <w:r w:rsidR="0019202B">
              <w:rPr>
                <w:rFonts w:asciiTheme="majorHAnsi" w:hAnsiTheme="majorHAnsi" w:cs="Segoe UI"/>
                <w:szCs w:val="24"/>
              </w:rPr>
              <w:t>.</w:t>
            </w:r>
          </w:p>
          <w:p w14:paraId="228A7A0B" w14:textId="77777777" w:rsidR="0046307E" w:rsidRPr="00686461" w:rsidRDefault="0046307E" w:rsidP="005E61C4">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 xml:space="preserve">Interventions based in </w:t>
            </w:r>
            <w:proofErr w:type="spellStart"/>
            <w:r w:rsidRPr="00686461">
              <w:rPr>
                <w:rFonts w:asciiTheme="majorHAnsi" w:hAnsiTheme="majorHAnsi" w:cs="Segoe UI"/>
                <w:szCs w:val="24"/>
              </w:rPr>
              <w:t>Mātauranga</w:t>
            </w:r>
            <w:proofErr w:type="spellEnd"/>
            <w:r w:rsidRPr="00686461">
              <w:rPr>
                <w:rFonts w:asciiTheme="majorHAnsi" w:hAnsiTheme="majorHAnsi" w:cs="Segoe UI"/>
                <w:szCs w:val="24"/>
              </w:rPr>
              <w:t xml:space="preserve"> Māori are proven to deliver better health outcomes for Māori communities.</w:t>
            </w:r>
          </w:p>
          <w:p w14:paraId="3578C64C" w14:textId="77777777" w:rsidR="0046307E" w:rsidRPr="00686461" w:rsidRDefault="0046307E" w:rsidP="005E61C4">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Return to kaupapa Māori services systems and practices.</w:t>
            </w:r>
          </w:p>
          <w:p w14:paraId="755C2454" w14:textId="77777777" w:rsidR="0046307E" w:rsidRPr="00686461" w:rsidRDefault="0046307E" w:rsidP="005E61C4">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szCs w:val="24"/>
              </w:rPr>
            </w:pPr>
            <w:r w:rsidRPr="00686461">
              <w:rPr>
                <w:rFonts w:asciiTheme="majorHAnsi" w:hAnsiTheme="majorHAnsi" w:cs="Segoe UI"/>
                <w:szCs w:val="24"/>
              </w:rPr>
              <w:t>Māori want the flexibility to develop and deliver services, ‘by Māori, for Māori’.</w:t>
            </w:r>
          </w:p>
          <w:p w14:paraId="5315739C" w14:textId="77777777" w:rsidR="0046307E" w:rsidRPr="00C466B8" w:rsidRDefault="0046307E" w:rsidP="00C466B8">
            <w:pPr>
              <w:pStyle w:val="ListParagraph"/>
              <w:numPr>
                <w:ilvl w:val="0"/>
                <w:numId w:val="1"/>
              </w:num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b/>
                <w:szCs w:val="24"/>
              </w:rPr>
            </w:pPr>
            <w:r w:rsidRPr="00686461">
              <w:rPr>
                <w:rFonts w:asciiTheme="majorHAnsi" w:hAnsiTheme="majorHAnsi" w:cs="Segoe UI"/>
                <w:szCs w:val="24"/>
              </w:rPr>
              <w:t>Support Māori research, particularly research being done ‘by Māori for Māori’.</w:t>
            </w:r>
          </w:p>
          <w:p w14:paraId="44F245A1" w14:textId="30AC0A57" w:rsidR="00C466B8" w:rsidRPr="00C466B8" w:rsidRDefault="00C466B8" w:rsidP="00C466B8">
            <w:pPr>
              <w:ind w:left="28"/>
              <w:cnfStyle w:val="000000000000" w:firstRow="0" w:lastRow="0" w:firstColumn="0" w:lastColumn="0" w:oddVBand="0" w:evenVBand="0" w:oddHBand="0" w:evenHBand="0" w:firstRowFirstColumn="0" w:firstRowLastColumn="0" w:lastRowFirstColumn="0" w:lastRowLastColumn="0"/>
              <w:rPr>
                <w:rFonts w:asciiTheme="majorHAnsi" w:hAnsiTheme="majorHAnsi" w:cs="Segoe UI"/>
                <w:b/>
                <w:szCs w:val="24"/>
              </w:rPr>
            </w:pPr>
          </w:p>
        </w:tc>
      </w:tr>
      <w:tr w:rsidR="0046307E" w:rsidRPr="00686461" w14:paraId="7F003D57" w14:textId="77777777" w:rsidTr="00942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8" w:type="pct"/>
            <w:gridSpan w:val="3"/>
            <w:shd w:val="clear" w:color="auto" w:fill="auto"/>
          </w:tcPr>
          <w:p w14:paraId="6E886A4A" w14:textId="77777777" w:rsidR="0046307E" w:rsidRPr="00686461" w:rsidRDefault="0046307E" w:rsidP="002E6175">
            <w:pPr>
              <w:ind w:left="312" w:hanging="284"/>
              <w:rPr>
                <w:rFonts w:asciiTheme="majorHAnsi" w:hAnsiTheme="majorHAnsi" w:cs="Segoe UI"/>
                <w:b w:val="0"/>
                <w:sz w:val="24"/>
                <w:szCs w:val="24"/>
              </w:rPr>
            </w:pPr>
            <w:r w:rsidRPr="00686461">
              <w:rPr>
                <w:rFonts w:asciiTheme="majorHAnsi" w:hAnsiTheme="majorHAnsi" w:cs="Segoe UI"/>
                <w:sz w:val="24"/>
                <w:szCs w:val="24"/>
              </w:rPr>
              <w:t>Accountability</w:t>
            </w:r>
          </w:p>
          <w:p w14:paraId="02628875" w14:textId="7A310F45" w:rsidR="0046307E" w:rsidRPr="00686461" w:rsidRDefault="0046307E" w:rsidP="005E61C4">
            <w:pPr>
              <w:numPr>
                <w:ilvl w:val="0"/>
                <w:numId w:val="1"/>
              </w:numPr>
              <w:ind w:left="312" w:hanging="284"/>
              <w:rPr>
                <w:rFonts w:asciiTheme="majorHAnsi" w:eastAsia="Times New Roman" w:hAnsiTheme="majorHAnsi" w:cs="Segoe UI"/>
                <w:b w:val="0"/>
                <w:bCs w:val="0"/>
                <w:sz w:val="24"/>
                <w:szCs w:val="24"/>
                <w:lang w:eastAsia="en-NZ"/>
              </w:rPr>
            </w:pPr>
            <w:r w:rsidRPr="00686461">
              <w:rPr>
                <w:rFonts w:asciiTheme="majorHAnsi" w:eastAsia="Times New Roman" w:hAnsiTheme="majorHAnsi" w:cs="Segoe UI"/>
                <w:b w:val="0"/>
                <w:bCs w:val="0"/>
                <w:sz w:val="24"/>
                <w:szCs w:val="24"/>
                <w:lang w:eastAsia="en-NZ"/>
              </w:rPr>
              <w:t>The Government should be accountable to Māori</w:t>
            </w:r>
            <w:r w:rsidR="0019202B">
              <w:rPr>
                <w:rFonts w:asciiTheme="majorHAnsi" w:eastAsia="Times New Roman" w:hAnsiTheme="majorHAnsi" w:cs="Segoe UI"/>
                <w:b w:val="0"/>
                <w:bCs w:val="0"/>
                <w:sz w:val="24"/>
                <w:szCs w:val="24"/>
                <w:lang w:eastAsia="en-NZ"/>
              </w:rPr>
              <w:t>.</w:t>
            </w:r>
          </w:p>
          <w:p w14:paraId="19198F74" w14:textId="77777777" w:rsidR="0046307E" w:rsidRPr="00686461" w:rsidRDefault="0046307E" w:rsidP="005E61C4">
            <w:pPr>
              <w:numPr>
                <w:ilvl w:val="0"/>
                <w:numId w:val="1"/>
              </w:numPr>
              <w:ind w:left="312" w:hanging="284"/>
              <w:rPr>
                <w:rFonts w:asciiTheme="majorHAnsi" w:eastAsia="Times New Roman" w:hAnsiTheme="majorHAnsi" w:cs="Segoe UI"/>
                <w:b w:val="0"/>
                <w:bCs w:val="0"/>
                <w:sz w:val="24"/>
                <w:szCs w:val="24"/>
                <w:lang w:eastAsia="en-NZ"/>
              </w:rPr>
            </w:pPr>
            <w:r w:rsidRPr="00686461">
              <w:rPr>
                <w:rFonts w:asciiTheme="majorHAnsi" w:eastAsia="Times New Roman" w:hAnsiTheme="majorHAnsi" w:cs="Segoe UI"/>
                <w:b w:val="0"/>
                <w:sz w:val="24"/>
                <w:szCs w:val="24"/>
                <w:lang w:eastAsia="en-NZ"/>
              </w:rPr>
              <w:t>Need a two-way accountability arrangement between funders and providers.</w:t>
            </w:r>
          </w:p>
          <w:p w14:paraId="04A1094C" w14:textId="77777777" w:rsidR="0046307E" w:rsidRPr="00686461" w:rsidRDefault="0046307E" w:rsidP="005E61C4">
            <w:pPr>
              <w:pStyle w:val="ListParagraph"/>
              <w:numPr>
                <w:ilvl w:val="0"/>
                <w:numId w:val="1"/>
              </w:numPr>
              <w:ind w:left="312" w:hanging="284"/>
              <w:rPr>
                <w:rFonts w:asciiTheme="majorHAnsi" w:hAnsiTheme="majorHAnsi" w:cs="Segoe UI"/>
                <w:szCs w:val="24"/>
              </w:rPr>
            </w:pPr>
            <w:r w:rsidRPr="00686461">
              <w:rPr>
                <w:rFonts w:asciiTheme="majorHAnsi" w:eastAsia="Times New Roman" w:hAnsiTheme="majorHAnsi" w:cs="Segoe UI"/>
                <w:b w:val="0"/>
                <w:szCs w:val="24"/>
                <w:lang w:eastAsia="en-NZ"/>
              </w:rPr>
              <w:t xml:space="preserve">Our </w:t>
            </w:r>
            <w:r w:rsidRPr="00686461">
              <w:rPr>
                <w:rFonts w:asciiTheme="majorHAnsi" w:hAnsiTheme="majorHAnsi" w:cs="Segoe UI"/>
                <w:b w:val="0"/>
                <w:szCs w:val="24"/>
              </w:rPr>
              <w:t xml:space="preserve">policies need to be bigger than the Government of the day. </w:t>
            </w:r>
          </w:p>
          <w:p w14:paraId="07F0616E" w14:textId="77777777" w:rsidR="0046307E" w:rsidRPr="00C466B8" w:rsidRDefault="0046307E" w:rsidP="00C466B8">
            <w:pPr>
              <w:pStyle w:val="ListParagraph"/>
              <w:numPr>
                <w:ilvl w:val="0"/>
                <w:numId w:val="1"/>
              </w:numPr>
              <w:ind w:left="312" w:hanging="284"/>
              <w:rPr>
                <w:rFonts w:asciiTheme="majorHAnsi" w:eastAsia="Times New Roman" w:hAnsiTheme="majorHAnsi" w:cs="Segoe UI"/>
                <w:b w:val="0"/>
                <w:szCs w:val="24"/>
                <w:lang w:eastAsia="en-NZ"/>
              </w:rPr>
            </w:pPr>
            <w:proofErr w:type="gramStart"/>
            <w:r w:rsidRPr="00686461">
              <w:rPr>
                <w:rFonts w:asciiTheme="majorHAnsi" w:hAnsiTheme="majorHAnsi" w:cs="Segoe UI"/>
                <w:szCs w:val="24"/>
              </w:rPr>
              <w:t>Take action</w:t>
            </w:r>
            <w:proofErr w:type="gramEnd"/>
            <w:r w:rsidRPr="00686461">
              <w:rPr>
                <w:rFonts w:asciiTheme="majorHAnsi" w:hAnsiTheme="majorHAnsi" w:cs="Segoe UI"/>
                <w:szCs w:val="24"/>
              </w:rPr>
              <w:t xml:space="preserve"> on some of the major systemic issues that have typically been considered “too hard” or “too big” to address.</w:t>
            </w:r>
          </w:p>
          <w:p w14:paraId="436F283E" w14:textId="07955BD3" w:rsidR="00C466B8" w:rsidRPr="00C466B8" w:rsidRDefault="00C466B8" w:rsidP="00C466B8">
            <w:pPr>
              <w:ind w:left="28"/>
              <w:rPr>
                <w:rFonts w:asciiTheme="majorHAnsi" w:eastAsia="Times New Roman" w:hAnsiTheme="majorHAnsi" w:cs="Segoe UI"/>
                <w:szCs w:val="24"/>
                <w:lang w:eastAsia="en-NZ"/>
              </w:rPr>
            </w:pPr>
          </w:p>
        </w:tc>
        <w:tc>
          <w:tcPr>
            <w:tcW w:w="1312" w:type="pct"/>
            <w:vMerge w:val="restart"/>
            <w:shd w:val="clear" w:color="auto" w:fill="auto"/>
            <w:vAlign w:val="center"/>
          </w:tcPr>
          <w:p w14:paraId="152FAA43" w14:textId="77777777" w:rsidR="0046307E" w:rsidRPr="00686461" w:rsidRDefault="0046307E" w:rsidP="002E61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Segoe UI"/>
                <w:b/>
                <w:color w:val="FF0000"/>
                <w:sz w:val="24"/>
                <w:szCs w:val="24"/>
              </w:rPr>
            </w:pPr>
            <w:r w:rsidRPr="00686461">
              <w:rPr>
                <w:rFonts w:asciiTheme="majorHAnsi" w:hAnsiTheme="majorHAnsi" w:cs="Segoe UI"/>
                <w:b/>
                <w:color w:val="FF0000"/>
                <w:sz w:val="24"/>
                <w:szCs w:val="24"/>
              </w:rPr>
              <w:t>THIS PAPER DOES NOT REFLECT</w:t>
            </w:r>
          </w:p>
          <w:p w14:paraId="60A397B7" w14:textId="77777777" w:rsidR="0046307E" w:rsidRPr="00686461" w:rsidRDefault="0046307E" w:rsidP="002E61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Segoe UI"/>
                <w:b/>
                <w:sz w:val="24"/>
                <w:szCs w:val="24"/>
              </w:rPr>
            </w:pPr>
            <w:r w:rsidRPr="00686461">
              <w:rPr>
                <w:rFonts w:asciiTheme="majorHAnsi" w:hAnsiTheme="majorHAnsi" w:cs="Segoe UI"/>
                <w:b/>
                <w:color w:val="FF0000"/>
                <w:sz w:val="24"/>
                <w:szCs w:val="24"/>
              </w:rPr>
              <w:t>GOVERNMENT POLICY</w:t>
            </w:r>
          </w:p>
        </w:tc>
      </w:tr>
      <w:tr w:rsidR="0046307E" w:rsidRPr="00686461" w14:paraId="4321D860" w14:textId="77777777" w:rsidTr="009421F5">
        <w:tc>
          <w:tcPr>
            <w:cnfStyle w:val="001000000000" w:firstRow="0" w:lastRow="0" w:firstColumn="1" w:lastColumn="0" w:oddVBand="0" w:evenVBand="0" w:oddHBand="0" w:evenHBand="0" w:firstRowFirstColumn="0" w:firstRowLastColumn="0" w:lastRowFirstColumn="0" w:lastRowLastColumn="0"/>
            <w:tcW w:w="3688" w:type="pct"/>
            <w:gridSpan w:val="3"/>
          </w:tcPr>
          <w:p w14:paraId="473E2818" w14:textId="77777777" w:rsidR="0046307E" w:rsidRPr="00686461" w:rsidRDefault="0046307E" w:rsidP="002E6175">
            <w:pPr>
              <w:ind w:left="312" w:hanging="284"/>
              <w:rPr>
                <w:rFonts w:asciiTheme="majorHAnsi" w:hAnsiTheme="majorHAnsi" w:cs="Segoe UI"/>
                <w:b w:val="0"/>
                <w:sz w:val="24"/>
                <w:szCs w:val="24"/>
              </w:rPr>
            </w:pPr>
            <w:r w:rsidRPr="00686461">
              <w:rPr>
                <w:rFonts w:asciiTheme="majorHAnsi" w:hAnsiTheme="majorHAnsi" w:cs="Segoe UI"/>
                <w:sz w:val="24"/>
                <w:szCs w:val="24"/>
              </w:rPr>
              <w:t xml:space="preserve">Data, information sharing and technology </w:t>
            </w:r>
          </w:p>
          <w:p w14:paraId="3694F35E" w14:textId="77777777" w:rsidR="0046307E" w:rsidRPr="00686461" w:rsidRDefault="0046307E" w:rsidP="005E61C4">
            <w:pPr>
              <w:pStyle w:val="ListParagraph"/>
              <w:numPr>
                <w:ilvl w:val="0"/>
                <w:numId w:val="1"/>
              </w:numPr>
              <w:ind w:left="312" w:hanging="284"/>
              <w:rPr>
                <w:rFonts w:asciiTheme="majorHAnsi" w:hAnsiTheme="majorHAnsi"/>
                <w:b w:val="0"/>
                <w:bCs w:val="0"/>
              </w:rPr>
            </w:pPr>
            <w:r w:rsidRPr="00686461">
              <w:rPr>
                <w:rFonts w:asciiTheme="majorHAnsi" w:hAnsiTheme="majorHAnsi"/>
                <w:b w:val="0"/>
                <w:bCs w:val="0"/>
              </w:rPr>
              <w:t>Quality health data collection provides the knowledge base for investment, service planning and data sharing.</w:t>
            </w:r>
          </w:p>
          <w:p w14:paraId="0B491E0A" w14:textId="77777777" w:rsidR="0046307E" w:rsidRPr="00686461" w:rsidRDefault="0046307E" w:rsidP="005E61C4">
            <w:pPr>
              <w:pStyle w:val="ListParagraph"/>
              <w:numPr>
                <w:ilvl w:val="0"/>
                <w:numId w:val="1"/>
              </w:numPr>
              <w:ind w:left="312" w:hanging="284"/>
              <w:rPr>
                <w:rFonts w:asciiTheme="majorHAnsi" w:hAnsiTheme="majorHAnsi"/>
                <w:b w:val="0"/>
                <w:bCs w:val="0"/>
              </w:rPr>
            </w:pPr>
            <w:r w:rsidRPr="00686461">
              <w:rPr>
                <w:rFonts w:asciiTheme="majorHAnsi" w:hAnsiTheme="majorHAnsi"/>
                <w:b w:val="0"/>
                <w:bCs w:val="0"/>
              </w:rPr>
              <w:t>Concerns have been raised about data quality including inconsistent collection of ethnicity data.</w:t>
            </w:r>
          </w:p>
          <w:p w14:paraId="0F1224A7" w14:textId="77777777" w:rsidR="0046307E" w:rsidRPr="00686461" w:rsidRDefault="0046307E" w:rsidP="005E61C4">
            <w:pPr>
              <w:pStyle w:val="ListParagraph"/>
              <w:numPr>
                <w:ilvl w:val="0"/>
                <w:numId w:val="1"/>
              </w:numPr>
              <w:ind w:left="312" w:hanging="284"/>
              <w:rPr>
                <w:rFonts w:asciiTheme="majorHAnsi" w:hAnsiTheme="majorHAnsi"/>
                <w:b w:val="0"/>
                <w:bCs w:val="0"/>
              </w:rPr>
            </w:pPr>
            <w:r w:rsidRPr="00686461">
              <w:rPr>
                <w:rFonts w:asciiTheme="majorHAnsi" w:hAnsiTheme="majorHAnsi"/>
                <w:b w:val="0"/>
                <w:bCs w:val="0"/>
              </w:rPr>
              <w:t>There are issues of data sovereignty and governance, described as the inherent rights and interests of Māori in the collection, ownership and use of Māori data. This includes ensuring appropriate structures, mechanisms and instruments through which Māori can exercise control over Māori data.</w:t>
            </w:r>
          </w:p>
          <w:p w14:paraId="22A671B3" w14:textId="77777777" w:rsidR="0046307E" w:rsidRPr="00C466B8" w:rsidRDefault="0046307E" w:rsidP="005E61C4">
            <w:pPr>
              <w:pStyle w:val="ListParagraph"/>
              <w:numPr>
                <w:ilvl w:val="0"/>
                <w:numId w:val="1"/>
              </w:numPr>
              <w:ind w:left="312" w:hanging="284"/>
              <w:rPr>
                <w:rFonts w:asciiTheme="majorHAnsi" w:hAnsiTheme="majorHAnsi" w:cs="Segoe UI"/>
                <w:b w:val="0"/>
                <w:szCs w:val="24"/>
              </w:rPr>
            </w:pPr>
            <w:r w:rsidRPr="00686461">
              <w:rPr>
                <w:rFonts w:asciiTheme="majorHAnsi" w:hAnsiTheme="majorHAnsi"/>
                <w:b w:val="0"/>
                <w:bCs w:val="0"/>
              </w:rPr>
              <w:t>Lack of national primary care database means that it is very difficult to monitor many outcomes in primary care.</w:t>
            </w:r>
          </w:p>
          <w:p w14:paraId="4614C4ED" w14:textId="6FB234F4" w:rsidR="00C466B8" w:rsidRPr="00C466B8" w:rsidRDefault="00C466B8" w:rsidP="00C466B8">
            <w:pPr>
              <w:ind w:left="28"/>
              <w:rPr>
                <w:rFonts w:asciiTheme="majorHAnsi" w:hAnsiTheme="majorHAnsi" w:cs="Segoe UI"/>
                <w:szCs w:val="24"/>
              </w:rPr>
            </w:pPr>
          </w:p>
        </w:tc>
        <w:tc>
          <w:tcPr>
            <w:tcW w:w="1312" w:type="pct"/>
            <w:vMerge/>
          </w:tcPr>
          <w:p w14:paraId="25D3A306" w14:textId="77777777" w:rsidR="0046307E" w:rsidRPr="00686461" w:rsidRDefault="0046307E" w:rsidP="002E6175">
            <w:pPr>
              <w:ind w:left="312" w:hanging="284"/>
              <w:cnfStyle w:val="000000000000" w:firstRow="0" w:lastRow="0" w:firstColumn="0" w:lastColumn="0" w:oddVBand="0" w:evenVBand="0" w:oddHBand="0" w:evenHBand="0" w:firstRowFirstColumn="0" w:firstRowLastColumn="0" w:lastRowFirstColumn="0" w:lastRowLastColumn="0"/>
              <w:rPr>
                <w:rFonts w:asciiTheme="majorHAnsi" w:hAnsiTheme="majorHAnsi" w:cs="Segoe UI"/>
                <w:b/>
                <w:sz w:val="24"/>
                <w:szCs w:val="24"/>
              </w:rPr>
            </w:pPr>
          </w:p>
        </w:tc>
      </w:tr>
    </w:tbl>
    <w:p w14:paraId="0476A163" w14:textId="77777777" w:rsidR="0046307E" w:rsidRPr="00686461" w:rsidRDefault="0046307E" w:rsidP="0046307E">
      <w:pPr>
        <w:pStyle w:val="Heading2"/>
        <w:rPr>
          <w:rFonts w:cs="Segoe UI"/>
          <w:b w:val="0"/>
          <w:szCs w:val="22"/>
        </w:rPr>
        <w:sectPr w:rsidR="0046307E" w:rsidRPr="00686461" w:rsidSect="005E61C4">
          <w:headerReference w:type="even" r:id="rId28"/>
          <w:headerReference w:type="default" r:id="rId29"/>
          <w:headerReference w:type="first" r:id="rId30"/>
          <w:pgSz w:w="23811" w:h="16838" w:orient="landscape" w:code="8"/>
          <w:pgMar w:top="1440" w:right="1440" w:bottom="1440" w:left="1440" w:header="709" w:footer="709" w:gutter="0"/>
          <w:cols w:space="708"/>
          <w:docGrid w:linePitch="360"/>
        </w:sectPr>
      </w:pPr>
    </w:p>
    <w:p w14:paraId="32F7A4CB" w14:textId="4D6AE216" w:rsidR="007A4780" w:rsidRDefault="0023599F" w:rsidP="00C466B8">
      <w:pPr>
        <w:pStyle w:val="Heading1"/>
        <w:rPr>
          <w:b/>
        </w:rPr>
      </w:pPr>
      <w:bookmarkStart w:id="25" w:name="_Toc17195727"/>
      <w:r>
        <w:rPr>
          <w:b/>
        </w:rPr>
        <w:lastRenderedPageBreak/>
        <w:t>Appendix 3: Key references</w:t>
      </w:r>
      <w:bookmarkEnd w:id="25"/>
    </w:p>
    <w:p w14:paraId="17642649" w14:textId="77777777" w:rsidR="007A4780" w:rsidRPr="00260D04" w:rsidRDefault="007A4780" w:rsidP="007A4780">
      <w:pPr>
        <w:pStyle w:val="References"/>
        <w:rPr>
          <w:rFonts w:eastAsiaTheme="minorHAnsi"/>
          <w:lang w:eastAsia="en-US"/>
        </w:rPr>
      </w:pPr>
      <w:r w:rsidRPr="00260D04">
        <w:rPr>
          <w:rFonts w:eastAsiaTheme="minorHAnsi"/>
          <w:lang w:eastAsia="en-US"/>
        </w:rPr>
        <w:t xml:space="preserve">Acheson D. 1998. </w:t>
      </w:r>
      <w:r w:rsidRPr="00260D04">
        <w:rPr>
          <w:rFonts w:eastAsiaTheme="minorHAnsi"/>
          <w:i/>
          <w:lang w:eastAsia="en-US"/>
        </w:rPr>
        <w:t>Independent Inquiry into Inequalities in Health Report</w:t>
      </w:r>
      <w:r w:rsidRPr="00260D04">
        <w:rPr>
          <w:rFonts w:eastAsiaTheme="minorHAnsi"/>
          <w:lang w:eastAsia="en-US"/>
        </w:rPr>
        <w:t xml:space="preserve">. London: The Stationery Office. URL: </w:t>
      </w:r>
      <w:hyperlink r:id="rId31" w:history="1">
        <w:r w:rsidRPr="00260D04">
          <w:rPr>
            <w:rStyle w:val="Hyperlink"/>
            <w:rFonts w:eastAsiaTheme="minorHAnsi" w:cstheme="minorBidi"/>
            <w:szCs w:val="22"/>
          </w:rPr>
          <w:t>www.gov.uk/government/publications/independent-inquiry-into-inequalities-in-health-report</w:t>
        </w:r>
      </w:hyperlink>
      <w:r w:rsidRPr="00260D04">
        <w:rPr>
          <w:rFonts w:eastAsiaTheme="minorHAnsi"/>
          <w:lang w:eastAsia="en-US"/>
        </w:rPr>
        <w:t xml:space="preserve"> (accessed 3 September 2018).</w:t>
      </w:r>
    </w:p>
    <w:p w14:paraId="781D6B06" w14:textId="77777777" w:rsidR="007A4780" w:rsidRPr="00260D04" w:rsidRDefault="007A4780" w:rsidP="007A4780">
      <w:pPr>
        <w:pStyle w:val="References"/>
        <w:rPr>
          <w:rFonts w:eastAsiaTheme="minorHAnsi"/>
          <w:lang w:eastAsia="en-US"/>
        </w:rPr>
      </w:pPr>
      <w:proofErr w:type="spellStart"/>
      <w:r w:rsidRPr="00260D04">
        <w:rPr>
          <w:rFonts w:eastAsiaTheme="minorHAnsi"/>
          <w:lang w:eastAsia="en-US"/>
        </w:rPr>
        <w:t>Aday</w:t>
      </w:r>
      <w:proofErr w:type="spellEnd"/>
      <w:r w:rsidRPr="00260D04">
        <w:rPr>
          <w:rFonts w:eastAsiaTheme="minorHAnsi"/>
          <w:lang w:eastAsia="en-US"/>
        </w:rPr>
        <w:t xml:space="preserve"> LA, Fleming GV, Anderson R. 1984. </w:t>
      </w:r>
      <w:r w:rsidRPr="00260D04">
        <w:rPr>
          <w:rFonts w:eastAsiaTheme="minorHAnsi"/>
          <w:i/>
          <w:lang w:eastAsia="en-US"/>
        </w:rPr>
        <w:t>Access to Medical Care in the US: Who have it, who don</w:t>
      </w:r>
      <w:r>
        <w:rPr>
          <w:rFonts w:eastAsiaTheme="minorHAnsi"/>
          <w:i/>
          <w:lang w:eastAsia="en-US"/>
        </w:rPr>
        <w:t>’</w:t>
      </w:r>
      <w:r w:rsidRPr="00260D04">
        <w:rPr>
          <w:rFonts w:eastAsiaTheme="minorHAnsi"/>
          <w:i/>
          <w:lang w:eastAsia="en-US"/>
        </w:rPr>
        <w:t>t</w:t>
      </w:r>
      <w:r w:rsidRPr="00260D04">
        <w:rPr>
          <w:rFonts w:eastAsiaTheme="minorHAnsi"/>
          <w:lang w:eastAsia="en-US"/>
        </w:rPr>
        <w:t>. Chicago: Pluribus.</w:t>
      </w:r>
    </w:p>
    <w:p w14:paraId="1B9FC157" w14:textId="77777777" w:rsidR="007A4780" w:rsidRPr="00260D04" w:rsidRDefault="007A4780" w:rsidP="007A4780">
      <w:pPr>
        <w:pStyle w:val="References"/>
        <w:rPr>
          <w:rFonts w:eastAsiaTheme="minorHAnsi"/>
          <w:lang w:eastAsia="en-US"/>
        </w:rPr>
      </w:pPr>
      <w:proofErr w:type="spellStart"/>
      <w:r w:rsidRPr="00260D04">
        <w:rPr>
          <w:rFonts w:eastAsiaTheme="minorHAnsi"/>
          <w:lang w:eastAsia="en-US"/>
        </w:rPr>
        <w:t>Alper</w:t>
      </w:r>
      <w:proofErr w:type="spellEnd"/>
      <w:r w:rsidRPr="00260D04">
        <w:rPr>
          <w:rFonts w:eastAsiaTheme="minorHAnsi"/>
          <w:lang w:eastAsia="en-US"/>
        </w:rPr>
        <w:t xml:space="preserve"> J, National Academies of Sciences, Engineering, and Medicine (US), Roundtable on Population Health Improvement. 2016. </w:t>
      </w:r>
      <w:r w:rsidRPr="00260D04">
        <w:rPr>
          <w:rFonts w:eastAsiaTheme="minorHAnsi"/>
          <w:i/>
          <w:lang w:eastAsia="en-US"/>
        </w:rPr>
        <w:t>Metrics that Matter for Population Health Action: Workshop summary</w:t>
      </w:r>
      <w:r w:rsidRPr="00260D04">
        <w:rPr>
          <w:rFonts w:eastAsiaTheme="minorHAnsi"/>
          <w:lang w:eastAsia="en-US"/>
        </w:rPr>
        <w:t>. Washington, DC: National Academies Press. DOI 10.17226/21899 (accessed 25 July 2018).</w:t>
      </w:r>
    </w:p>
    <w:p w14:paraId="5AC8D955" w14:textId="77777777" w:rsidR="007A4780" w:rsidRPr="0000257D" w:rsidRDefault="007A4780" w:rsidP="007A4780">
      <w:pPr>
        <w:pStyle w:val="References"/>
        <w:rPr>
          <w:rFonts w:eastAsiaTheme="minorHAnsi"/>
          <w:lang w:eastAsia="en-US"/>
        </w:rPr>
      </w:pPr>
      <w:r w:rsidRPr="00260D04">
        <w:rPr>
          <w:rFonts w:eastAsiaTheme="minorHAnsi"/>
          <w:lang w:eastAsia="en-US"/>
        </w:rPr>
        <w:t xml:space="preserve">Auckland </w:t>
      </w:r>
      <w:proofErr w:type="spellStart"/>
      <w:r w:rsidRPr="00260D04">
        <w:rPr>
          <w:rFonts w:eastAsiaTheme="minorHAnsi"/>
          <w:lang w:eastAsia="en-US"/>
        </w:rPr>
        <w:t>UniServices</w:t>
      </w:r>
      <w:proofErr w:type="spellEnd"/>
      <w:r w:rsidRPr="00260D04">
        <w:rPr>
          <w:rFonts w:eastAsiaTheme="minorHAnsi"/>
          <w:lang w:eastAsia="en-US"/>
        </w:rPr>
        <w:t xml:space="preserve"> Limited. 2018. </w:t>
      </w:r>
      <w:r w:rsidRPr="00260D04">
        <w:rPr>
          <w:rFonts w:eastAsiaTheme="minorHAnsi"/>
          <w:i/>
          <w:lang w:eastAsia="en-US"/>
        </w:rPr>
        <w:t>Variation in medicines use by ethnicity: a comparison between 2006/7 and 2012/13: Final report</w:t>
      </w:r>
      <w:r w:rsidRPr="00260D04">
        <w:rPr>
          <w:rFonts w:eastAsiaTheme="minorHAnsi"/>
          <w:lang w:eastAsia="en-US"/>
        </w:rPr>
        <w:t>. URL: https://www.pharmac.govt.nz/assets/2018-01-19-Variation-in-medicines-use-by-ethnicity-Final-Report.pdf (accessed 11 September 2018).</w:t>
      </w:r>
    </w:p>
    <w:p w14:paraId="66466A98" w14:textId="77777777" w:rsidR="007A4780" w:rsidRPr="000B50E3" w:rsidRDefault="007A4780" w:rsidP="007A4780">
      <w:pPr>
        <w:pStyle w:val="References"/>
        <w:rPr>
          <w:rFonts w:eastAsiaTheme="minorHAnsi"/>
          <w:lang w:eastAsia="en-US"/>
        </w:rPr>
      </w:pPr>
      <w:r w:rsidRPr="000B50E3">
        <w:rPr>
          <w:rFonts w:eastAsiaTheme="minorHAnsi"/>
          <w:lang w:eastAsia="en-US"/>
        </w:rPr>
        <w:t xml:space="preserve">Black D. 1980. </w:t>
      </w:r>
      <w:r w:rsidRPr="000B50E3">
        <w:rPr>
          <w:rFonts w:eastAsiaTheme="minorHAnsi"/>
          <w:i/>
          <w:lang w:eastAsia="en-US"/>
        </w:rPr>
        <w:t xml:space="preserve">Inequalities in Health: Report of a </w:t>
      </w:r>
      <w:r>
        <w:rPr>
          <w:rFonts w:eastAsiaTheme="minorHAnsi"/>
          <w:i/>
          <w:lang w:eastAsia="en-US"/>
        </w:rPr>
        <w:t>r</w:t>
      </w:r>
      <w:r w:rsidRPr="000B50E3">
        <w:rPr>
          <w:rFonts w:eastAsiaTheme="minorHAnsi"/>
          <w:i/>
          <w:lang w:eastAsia="en-US"/>
        </w:rPr>
        <w:t xml:space="preserve">esearch </w:t>
      </w:r>
      <w:r>
        <w:rPr>
          <w:rFonts w:eastAsiaTheme="minorHAnsi"/>
          <w:i/>
          <w:lang w:eastAsia="en-US"/>
        </w:rPr>
        <w:t>w</w:t>
      </w:r>
      <w:r w:rsidRPr="000B50E3">
        <w:rPr>
          <w:rFonts w:eastAsiaTheme="minorHAnsi"/>
          <w:i/>
          <w:lang w:eastAsia="en-US"/>
        </w:rPr>
        <w:t xml:space="preserve">orking </w:t>
      </w:r>
      <w:r>
        <w:rPr>
          <w:rFonts w:eastAsiaTheme="minorHAnsi"/>
          <w:i/>
          <w:lang w:eastAsia="en-US"/>
        </w:rPr>
        <w:t>g</w:t>
      </w:r>
      <w:r w:rsidRPr="000B50E3">
        <w:rPr>
          <w:rFonts w:eastAsiaTheme="minorHAnsi"/>
          <w:i/>
          <w:lang w:eastAsia="en-US"/>
        </w:rPr>
        <w:t>roup</w:t>
      </w:r>
      <w:r w:rsidRPr="000B50E3">
        <w:rPr>
          <w:rFonts w:eastAsiaTheme="minorHAnsi"/>
          <w:lang w:eastAsia="en-US"/>
        </w:rPr>
        <w:t>. London: Department of Health and Social Security.</w:t>
      </w:r>
    </w:p>
    <w:p w14:paraId="36742575" w14:textId="77777777" w:rsidR="007A4780" w:rsidRDefault="007A4780" w:rsidP="007A4780">
      <w:pPr>
        <w:pStyle w:val="References"/>
        <w:rPr>
          <w:rFonts w:eastAsiaTheme="minorHAnsi"/>
          <w:color w:val="222222"/>
          <w:lang w:eastAsia="en-US"/>
        </w:rPr>
      </w:pPr>
      <w:proofErr w:type="spellStart"/>
      <w:r>
        <w:t>Braveman</w:t>
      </w:r>
      <w:proofErr w:type="spellEnd"/>
      <w:r>
        <w:t xml:space="preserve"> P. 1998. Monitoring equity in health: A </w:t>
      </w:r>
      <w:proofErr w:type="gramStart"/>
      <w:r>
        <w:t>policy oriented</w:t>
      </w:r>
      <w:proofErr w:type="gramEnd"/>
      <w:r>
        <w:t xml:space="preserve"> approach in low and middle income countries. </w:t>
      </w:r>
      <w:r w:rsidRPr="00C472CC">
        <w:rPr>
          <w:i/>
        </w:rPr>
        <w:t>Equity Initiative Paper</w:t>
      </w:r>
      <w:r>
        <w:t xml:space="preserve"> 3. Geneva: </w:t>
      </w:r>
      <w:r w:rsidRPr="000B50E3">
        <w:rPr>
          <w:rFonts w:eastAsiaTheme="minorHAnsi"/>
          <w:lang w:eastAsia="en-US"/>
        </w:rPr>
        <w:t>World Health Organization</w:t>
      </w:r>
      <w:r>
        <w:t>. 92 pp. (WHO/CHS/HSS/98.1).</w:t>
      </w:r>
    </w:p>
    <w:p w14:paraId="20CDC3FC" w14:textId="77777777" w:rsidR="007A4780" w:rsidRPr="000B50E3" w:rsidRDefault="007A4780" w:rsidP="007A4780">
      <w:pPr>
        <w:pStyle w:val="References"/>
        <w:rPr>
          <w:rFonts w:eastAsiaTheme="minorHAnsi"/>
          <w:lang w:eastAsia="en-US"/>
        </w:rPr>
      </w:pPr>
      <w:proofErr w:type="spellStart"/>
      <w:r w:rsidRPr="000B50E3">
        <w:rPr>
          <w:rFonts w:eastAsiaTheme="minorHAnsi"/>
          <w:lang w:eastAsia="en-US"/>
        </w:rPr>
        <w:t>Braveman</w:t>
      </w:r>
      <w:proofErr w:type="spellEnd"/>
      <w:r w:rsidRPr="000B50E3">
        <w:rPr>
          <w:rFonts w:eastAsiaTheme="minorHAnsi"/>
          <w:lang w:eastAsia="en-US"/>
        </w:rPr>
        <w:t xml:space="preserve"> P. 2006. Health disparities and health equity: </w:t>
      </w:r>
      <w:r>
        <w:rPr>
          <w:rFonts w:eastAsiaTheme="minorHAnsi"/>
          <w:lang w:eastAsia="en-US"/>
        </w:rPr>
        <w:t>C</w:t>
      </w:r>
      <w:r w:rsidRPr="000B50E3">
        <w:rPr>
          <w:rFonts w:eastAsiaTheme="minorHAnsi"/>
          <w:lang w:eastAsia="en-US"/>
        </w:rPr>
        <w:t xml:space="preserve">oncepts and measurements. </w:t>
      </w:r>
      <w:r w:rsidRPr="000B50E3">
        <w:rPr>
          <w:rFonts w:eastAsiaTheme="minorHAnsi"/>
          <w:i/>
          <w:lang w:eastAsia="en-US"/>
        </w:rPr>
        <w:t>Annual Review of Public Health</w:t>
      </w:r>
      <w:r w:rsidRPr="000B50E3">
        <w:rPr>
          <w:rFonts w:eastAsiaTheme="minorHAnsi"/>
          <w:lang w:eastAsia="en-US"/>
        </w:rPr>
        <w:t xml:space="preserve"> 27:167</w:t>
      </w:r>
      <w:r>
        <w:rPr>
          <w:rFonts w:eastAsiaTheme="minorHAnsi"/>
          <w:lang w:eastAsia="en-US"/>
        </w:rPr>
        <w:t>–</w:t>
      </w:r>
      <w:r w:rsidRPr="000B50E3">
        <w:rPr>
          <w:rFonts w:eastAsiaTheme="minorHAnsi"/>
          <w:lang w:eastAsia="en-US"/>
        </w:rPr>
        <w:t>94.</w:t>
      </w:r>
    </w:p>
    <w:p w14:paraId="10E46328" w14:textId="77777777" w:rsidR="007A4780" w:rsidRPr="000B50E3" w:rsidRDefault="007A4780" w:rsidP="007A4780">
      <w:pPr>
        <w:pStyle w:val="References"/>
        <w:rPr>
          <w:rFonts w:eastAsiaTheme="minorHAnsi"/>
          <w:lang w:eastAsia="en-US"/>
        </w:rPr>
      </w:pPr>
      <w:proofErr w:type="spellStart"/>
      <w:r w:rsidRPr="000B50E3">
        <w:rPr>
          <w:rFonts w:eastAsiaTheme="minorHAnsi"/>
          <w:lang w:eastAsia="en-US"/>
        </w:rPr>
        <w:t>Braveman</w:t>
      </w:r>
      <w:proofErr w:type="spellEnd"/>
      <w:r w:rsidRPr="000B50E3">
        <w:rPr>
          <w:rFonts w:eastAsiaTheme="minorHAnsi"/>
          <w:lang w:eastAsia="en-US"/>
        </w:rPr>
        <w:t xml:space="preserve"> P. 2014. What are health disparities and health equity? We need to be clear. </w:t>
      </w:r>
      <w:r w:rsidRPr="000B50E3">
        <w:rPr>
          <w:rFonts w:eastAsiaTheme="minorHAnsi"/>
          <w:i/>
          <w:lang w:eastAsia="en-US"/>
        </w:rPr>
        <w:t>Public Health Reports</w:t>
      </w:r>
      <w:r>
        <w:rPr>
          <w:rFonts w:eastAsiaTheme="minorHAnsi"/>
          <w:lang w:eastAsia="en-US"/>
        </w:rPr>
        <w:t xml:space="preserve"> 129(1_suppl2):</w:t>
      </w:r>
      <w:r w:rsidRPr="000B50E3">
        <w:rPr>
          <w:rFonts w:eastAsiaTheme="minorHAnsi"/>
          <w:lang w:eastAsia="en-US"/>
        </w:rPr>
        <w:t xml:space="preserve"> 5</w:t>
      </w:r>
      <w:r>
        <w:rPr>
          <w:rFonts w:eastAsiaTheme="minorHAnsi"/>
          <w:lang w:eastAsia="en-US"/>
        </w:rPr>
        <w:t>–</w:t>
      </w:r>
      <w:r w:rsidRPr="000B50E3">
        <w:rPr>
          <w:rFonts w:eastAsiaTheme="minorHAnsi"/>
          <w:lang w:eastAsia="en-US"/>
        </w:rPr>
        <w:t>8.</w:t>
      </w:r>
    </w:p>
    <w:p w14:paraId="24BCA962" w14:textId="77777777" w:rsidR="007A4780" w:rsidRPr="000B50E3" w:rsidRDefault="007A4780" w:rsidP="007A4780">
      <w:pPr>
        <w:pStyle w:val="References"/>
        <w:rPr>
          <w:rFonts w:eastAsiaTheme="minorHAnsi"/>
          <w:lang w:eastAsia="en-US"/>
        </w:rPr>
      </w:pPr>
      <w:proofErr w:type="spellStart"/>
      <w:r w:rsidRPr="000B50E3">
        <w:rPr>
          <w:rFonts w:eastAsiaTheme="minorHAnsi"/>
          <w:lang w:eastAsia="en-US"/>
        </w:rPr>
        <w:t>Braveman</w:t>
      </w:r>
      <w:proofErr w:type="spellEnd"/>
      <w:r w:rsidRPr="000B50E3">
        <w:rPr>
          <w:rFonts w:eastAsiaTheme="minorHAnsi"/>
          <w:lang w:eastAsia="en-US"/>
        </w:rPr>
        <w:t xml:space="preserve"> P, </w:t>
      </w:r>
      <w:proofErr w:type="spellStart"/>
      <w:r w:rsidRPr="000B50E3">
        <w:rPr>
          <w:rFonts w:eastAsiaTheme="minorHAnsi"/>
          <w:lang w:eastAsia="en-US"/>
        </w:rPr>
        <w:t>Gruskin</w:t>
      </w:r>
      <w:proofErr w:type="spellEnd"/>
      <w:r w:rsidRPr="000B50E3">
        <w:rPr>
          <w:rFonts w:eastAsiaTheme="minorHAnsi"/>
          <w:lang w:eastAsia="en-US"/>
        </w:rPr>
        <w:t xml:space="preserve"> S. 2003. Defining equity in health. </w:t>
      </w:r>
      <w:r w:rsidRPr="000B50E3">
        <w:rPr>
          <w:rFonts w:eastAsiaTheme="minorHAnsi"/>
          <w:i/>
          <w:lang w:eastAsia="en-US"/>
        </w:rPr>
        <w:t>Journal of Epidemiology and Community Health</w:t>
      </w:r>
      <w:r w:rsidRPr="000B50E3">
        <w:rPr>
          <w:rFonts w:eastAsiaTheme="minorHAnsi"/>
          <w:lang w:eastAsia="en-US"/>
        </w:rPr>
        <w:t xml:space="preserve"> 57(4): 254</w:t>
      </w:r>
      <w:r>
        <w:rPr>
          <w:rFonts w:eastAsiaTheme="minorHAnsi"/>
          <w:lang w:eastAsia="en-US"/>
        </w:rPr>
        <w:t>–</w:t>
      </w:r>
      <w:r w:rsidRPr="000B50E3">
        <w:rPr>
          <w:rFonts w:eastAsiaTheme="minorHAnsi"/>
          <w:lang w:eastAsia="en-US"/>
        </w:rPr>
        <w:t>8.</w:t>
      </w:r>
    </w:p>
    <w:p w14:paraId="74BAE2C0" w14:textId="77777777" w:rsidR="007A4780" w:rsidRDefault="007A4780" w:rsidP="007A4780">
      <w:pPr>
        <w:pStyle w:val="References"/>
        <w:rPr>
          <w:rFonts w:eastAsiaTheme="minorHAnsi"/>
          <w:lang w:eastAsia="en-US"/>
        </w:rPr>
      </w:pPr>
      <w:proofErr w:type="spellStart"/>
      <w:r>
        <w:rPr>
          <w:rFonts w:eastAsiaTheme="minorHAnsi"/>
          <w:lang w:eastAsia="en-US"/>
        </w:rPr>
        <w:t>Braveman</w:t>
      </w:r>
      <w:proofErr w:type="spellEnd"/>
      <w:r>
        <w:rPr>
          <w:rFonts w:eastAsiaTheme="minorHAnsi"/>
          <w:lang w:eastAsia="en-US"/>
        </w:rPr>
        <w:t xml:space="preserve"> P, </w:t>
      </w:r>
      <w:proofErr w:type="spellStart"/>
      <w:r>
        <w:rPr>
          <w:rFonts w:eastAsiaTheme="minorHAnsi"/>
          <w:lang w:eastAsia="en-US"/>
        </w:rPr>
        <w:t>Tarimo</w:t>
      </w:r>
      <w:proofErr w:type="spellEnd"/>
      <w:r>
        <w:rPr>
          <w:rFonts w:eastAsiaTheme="minorHAnsi"/>
          <w:lang w:eastAsia="en-US"/>
        </w:rPr>
        <w:t xml:space="preserve"> E, </w:t>
      </w:r>
      <w:proofErr w:type="spellStart"/>
      <w:r>
        <w:rPr>
          <w:rFonts w:eastAsiaTheme="minorHAnsi"/>
          <w:lang w:eastAsia="en-US"/>
        </w:rPr>
        <w:t>Creese</w:t>
      </w:r>
      <w:proofErr w:type="spellEnd"/>
      <w:r>
        <w:rPr>
          <w:rFonts w:eastAsiaTheme="minorHAnsi"/>
          <w:lang w:eastAsia="en-US"/>
        </w:rPr>
        <w:t xml:space="preserve"> A. et al</w:t>
      </w:r>
      <w:r w:rsidRPr="000B50E3">
        <w:rPr>
          <w:rFonts w:eastAsiaTheme="minorHAnsi"/>
          <w:lang w:eastAsia="en-US"/>
        </w:rPr>
        <w:t xml:space="preserve">. </w:t>
      </w:r>
      <w:r>
        <w:rPr>
          <w:rFonts w:eastAsiaTheme="minorHAnsi"/>
          <w:lang w:eastAsia="en-US"/>
        </w:rPr>
        <w:t>1996</w:t>
      </w:r>
      <w:r w:rsidRPr="000B50E3">
        <w:rPr>
          <w:rFonts w:eastAsiaTheme="minorHAnsi"/>
          <w:lang w:eastAsia="en-US"/>
        </w:rPr>
        <w:t xml:space="preserve">. </w:t>
      </w:r>
      <w:r>
        <w:rPr>
          <w:rFonts w:eastAsiaTheme="minorHAnsi"/>
          <w:i/>
          <w:lang w:eastAsia="en-US"/>
        </w:rPr>
        <w:t>Equity in Health and Health Care: A WHO/SIDA initiative</w:t>
      </w:r>
      <w:r w:rsidRPr="000B50E3">
        <w:rPr>
          <w:rFonts w:eastAsiaTheme="minorHAnsi"/>
          <w:lang w:eastAsia="en-US"/>
        </w:rPr>
        <w:t xml:space="preserve">. </w:t>
      </w:r>
      <w:r>
        <w:rPr>
          <w:rFonts w:eastAsiaTheme="minorHAnsi"/>
          <w:lang w:eastAsia="en-US"/>
        </w:rPr>
        <w:t xml:space="preserve">Geneva: </w:t>
      </w:r>
      <w:r w:rsidRPr="000B50E3">
        <w:rPr>
          <w:rFonts w:eastAsiaTheme="minorHAnsi"/>
          <w:lang w:eastAsia="en-US"/>
        </w:rPr>
        <w:t>World Health Organization</w:t>
      </w:r>
      <w:r>
        <w:rPr>
          <w:rFonts w:eastAsiaTheme="minorHAnsi"/>
          <w:lang w:eastAsia="en-US"/>
        </w:rPr>
        <w:t>.</w:t>
      </w:r>
    </w:p>
    <w:p w14:paraId="4099CAE6" w14:textId="77777777" w:rsidR="007A4780" w:rsidRPr="000B50E3" w:rsidRDefault="007A4780" w:rsidP="007A4780">
      <w:pPr>
        <w:pStyle w:val="References"/>
        <w:rPr>
          <w:rFonts w:eastAsiaTheme="minorHAnsi" w:cs="Segoe UI"/>
          <w:lang w:eastAsia="en-US"/>
        </w:rPr>
      </w:pPr>
      <w:r w:rsidRPr="000B50E3">
        <w:rPr>
          <w:rFonts w:eastAsiaTheme="minorHAnsi" w:cs="Segoe UI"/>
          <w:lang w:eastAsia="en-US"/>
        </w:rPr>
        <w:t xml:space="preserve">Came H, </w:t>
      </w:r>
      <w:proofErr w:type="spellStart"/>
      <w:r w:rsidRPr="000B50E3">
        <w:rPr>
          <w:rFonts w:eastAsiaTheme="minorHAnsi" w:cs="Segoe UI"/>
          <w:lang w:eastAsia="en-US"/>
        </w:rPr>
        <w:t>Doole</w:t>
      </w:r>
      <w:proofErr w:type="spellEnd"/>
      <w:r w:rsidRPr="000B50E3">
        <w:rPr>
          <w:rFonts w:eastAsiaTheme="minorHAnsi" w:cs="Segoe UI"/>
          <w:lang w:eastAsia="en-US"/>
        </w:rPr>
        <w:t xml:space="preserve"> C, McKenna B, et al. 2018. Institutional racism in public health contracting: Findings of a nationwide survey from New Zealand. </w:t>
      </w:r>
      <w:r w:rsidRPr="000B50E3">
        <w:rPr>
          <w:rFonts w:eastAsiaTheme="minorHAnsi" w:cs="Segoe UI"/>
          <w:i/>
          <w:iCs/>
          <w:lang w:eastAsia="en-US"/>
        </w:rPr>
        <w:t>Social Science and Medicine</w:t>
      </w:r>
      <w:r w:rsidRPr="000B50E3">
        <w:rPr>
          <w:rFonts w:eastAsiaTheme="minorHAnsi" w:cs="Segoe UI"/>
          <w:lang w:eastAsia="en-US"/>
        </w:rPr>
        <w:t xml:space="preserve"> 199: 132</w:t>
      </w:r>
      <w:r>
        <w:rPr>
          <w:rFonts w:eastAsiaTheme="minorHAnsi" w:cs="Segoe UI"/>
          <w:lang w:eastAsia="en-US"/>
        </w:rPr>
        <w:t>–</w:t>
      </w:r>
      <w:r w:rsidRPr="000B50E3">
        <w:rPr>
          <w:rFonts w:eastAsiaTheme="minorHAnsi" w:cs="Segoe UI"/>
          <w:lang w:eastAsia="en-US"/>
        </w:rPr>
        <w:t>9.</w:t>
      </w:r>
    </w:p>
    <w:p w14:paraId="6709A9CD" w14:textId="77777777" w:rsidR="007A4780" w:rsidRPr="00260D04" w:rsidRDefault="007A4780" w:rsidP="007A4780">
      <w:pPr>
        <w:pStyle w:val="References"/>
        <w:rPr>
          <w:rFonts w:eastAsiaTheme="minorHAnsi"/>
          <w:lang w:eastAsia="en-US"/>
        </w:rPr>
      </w:pPr>
      <w:r w:rsidRPr="00260D04">
        <w:rPr>
          <w:rFonts w:eastAsiaTheme="minorHAnsi"/>
          <w:lang w:eastAsia="en-US"/>
        </w:rPr>
        <w:t xml:space="preserve">Came H, </w:t>
      </w:r>
      <w:proofErr w:type="spellStart"/>
      <w:r w:rsidRPr="00260D04">
        <w:rPr>
          <w:rFonts w:eastAsiaTheme="minorHAnsi"/>
          <w:lang w:eastAsia="en-US"/>
        </w:rPr>
        <w:t>McCreanor</w:t>
      </w:r>
      <w:proofErr w:type="spellEnd"/>
      <w:r w:rsidRPr="00260D04">
        <w:rPr>
          <w:rFonts w:eastAsiaTheme="minorHAnsi"/>
          <w:lang w:eastAsia="en-US"/>
        </w:rPr>
        <w:t xml:space="preserve"> T, </w:t>
      </w:r>
      <w:proofErr w:type="spellStart"/>
      <w:r w:rsidRPr="00260D04">
        <w:rPr>
          <w:rFonts w:eastAsiaTheme="minorHAnsi"/>
          <w:lang w:eastAsia="en-US"/>
        </w:rPr>
        <w:t>Doole</w:t>
      </w:r>
      <w:proofErr w:type="spellEnd"/>
      <w:r w:rsidRPr="00260D04">
        <w:rPr>
          <w:rFonts w:eastAsiaTheme="minorHAnsi"/>
          <w:lang w:eastAsia="en-US"/>
        </w:rPr>
        <w:t xml:space="preserve"> C, et al. 2016. The New Zealand Health Strategy 2016: Whither health equity? </w:t>
      </w:r>
      <w:r w:rsidRPr="00260D04">
        <w:rPr>
          <w:rFonts w:eastAsiaTheme="minorHAnsi"/>
          <w:i/>
          <w:lang w:eastAsia="en-US"/>
        </w:rPr>
        <w:t>The New Zealand Medical Journal</w:t>
      </w:r>
      <w:r w:rsidRPr="00260D04">
        <w:rPr>
          <w:rFonts w:eastAsiaTheme="minorHAnsi"/>
          <w:lang w:eastAsia="en-US"/>
        </w:rPr>
        <w:t xml:space="preserve"> 129(1447). URL: </w:t>
      </w:r>
      <w:hyperlink r:id="rId32" w:history="1">
        <w:r w:rsidRPr="00260D04">
          <w:rPr>
            <w:rStyle w:val="Hyperlink"/>
            <w:rFonts w:eastAsiaTheme="minorHAnsi" w:cstheme="minorBidi"/>
            <w:szCs w:val="22"/>
          </w:rPr>
          <w:t>www.nzma.org.nz/journal/read-the-journal/all-issues/2010-2019/2016/vol-129-no-1447-16-december-2016/7107</w:t>
        </w:r>
      </w:hyperlink>
      <w:r w:rsidRPr="00260D04">
        <w:rPr>
          <w:rFonts w:eastAsiaTheme="minorHAnsi"/>
          <w:lang w:eastAsia="en-US"/>
        </w:rPr>
        <w:t xml:space="preserve"> (accessed 25 July 2018).</w:t>
      </w:r>
    </w:p>
    <w:p w14:paraId="78C40BEA" w14:textId="77777777" w:rsidR="007A4780" w:rsidRPr="000B50E3" w:rsidRDefault="007A4780" w:rsidP="007A4780">
      <w:pPr>
        <w:pStyle w:val="References"/>
        <w:rPr>
          <w:rFonts w:eastAsiaTheme="minorHAnsi" w:cs="Segoe UI"/>
          <w:lang w:eastAsia="en-US"/>
        </w:rPr>
      </w:pPr>
      <w:r w:rsidRPr="000B50E3">
        <w:rPr>
          <w:rFonts w:eastAsiaTheme="minorHAnsi" w:cs="Segoe UI"/>
          <w:lang w:eastAsia="en-US"/>
        </w:rPr>
        <w:t xml:space="preserve">Came H, </w:t>
      </w:r>
      <w:proofErr w:type="spellStart"/>
      <w:r w:rsidRPr="000B50E3">
        <w:rPr>
          <w:rFonts w:eastAsiaTheme="minorHAnsi" w:cs="Segoe UI"/>
          <w:lang w:eastAsia="en-US"/>
        </w:rPr>
        <w:t>McCreanor</w:t>
      </w:r>
      <w:proofErr w:type="spellEnd"/>
      <w:r w:rsidRPr="000B50E3">
        <w:rPr>
          <w:rFonts w:eastAsiaTheme="minorHAnsi" w:cs="Segoe UI"/>
          <w:lang w:eastAsia="en-US"/>
        </w:rPr>
        <w:t xml:space="preserve"> T, </w:t>
      </w:r>
      <w:proofErr w:type="spellStart"/>
      <w:r w:rsidRPr="000B50E3">
        <w:rPr>
          <w:rFonts w:eastAsiaTheme="minorHAnsi" w:cs="Segoe UI"/>
          <w:lang w:eastAsia="en-US"/>
        </w:rPr>
        <w:t>Doole</w:t>
      </w:r>
      <w:proofErr w:type="spellEnd"/>
      <w:r w:rsidRPr="000B50E3">
        <w:rPr>
          <w:rFonts w:eastAsiaTheme="minorHAnsi" w:cs="Segoe UI"/>
          <w:lang w:eastAsia="en-US"/>
        </w:rPr>
        <w:t xml:space="preserve"> C, et al. 2017. Realising the rhetoric: </w:t>
      </w:r>
      <w:r>
        <w:rPr>
          <w:rFonts w:eastAsiaTheme="minorHAnsi" w:cs="Segoe UI"/>
          <w:lang w:eastAsia="en-US"/>
        </w:rPr>
        <w:t>R</w:t>
      </w:r>
      <w:r w:rsidRPr="000B50E3">
        <w:rPr>
          <w:rFonts w:eastAsiaTheme="minorHAnsi" w:cs="Segoe UI"/>
          <w:lang w:eastAsia="en-US"/>
        </w:rPr>
        <w:t>efreshing public health providers</w:t>
      </w:r>
      <w:r>
        <w:rPr>
          <w:rFonts w:eastAsiaTheme="minorHAnsi" w:cs="Segoe UI"/>
          <w:lang w:eastAsia="en-US"/>
        </w:rPr>
        <w:t>’</w:t>
      </w:r>
      <w:r w:rsidRPr="000B50E3">
        <w:rPr>
          <w:rFonts w:eastAsiaTheme="minorHAnsi" w:cs="Segoe UI"/>
          <w:lang w:eastAsia="en-US"/>
        </w:rPr>
        <w:t xml:space="preserve"> efforts to honour Te Tiriti o Waitangi in New Zealand. </w:t>
      </w:r>
      <w:r w:rsidRPr="000B50E3">
        <w:rPr>
          <w:rFonts w:eastAsiaTheme="minorHAnsi" w:cs="Segoe UI"/>
          <w:i/>
          <w:iCs/>
          <w:lang w:eastAsia="en-US"/>
        </w:rPr>
        <w:t>Ethnicity and Health</w:t>
      </w:r>
      <w:r w:rsidRPr="000B50E3">
        <w:rPr>
          <w:rFonts w:eastAsiaTheme="minorHAnsi" w:cs="Segoe UI"/>
          <w:lang w:eastAsia="en-US"/>
        </w:rPr>
        <w:t xml:space="preserve"> 22(2): 105</w:t>
      </w:r>
      <w:r>
        <w:rPr>
          <w:rFonts w:eastAsiaTheme="minorHAnsi" w:cs="Segoe UI"/>
          <w:lang w:eastAsia="en-US"/>
        </w:rPr>
        <w:t>–</w:t>
      </w:r>
      <w:r w:rsidRPr="000B50E3">
        <w:rPr>
          <w:rFonts w:eastAsiaTheme="minorHAnsi" w:cs="Segoe UI"/>
          <w:lang w:eastAsia="en-US"/>
        </w:rPr>
        <w:t>18.</w:t>
      </w:r>
    </w:p>
    <w:p w14:paraId="140A062C" w14:textId="77777777" w:rsidR="007A4780" w:rsidRDefault="007A4780" w:rsidP="007A4780">
      <w:pPr>
        <w:pStyle w:val="References"/>
        <w:rPr>
          <w:rFonts w:eastAsiaTheme="minorHAnsi" w:cs="Segoe UI"/>
          <w:lang w:eastAsia="en-US"/>
        </w:rPr>
      </w:pPr>
      <w:r w:rsidRPr="000B50E3">
        <w:rPr>
          <w:rFonts w:eastAsiaTheme="minorHAnsi" w:cs="Segoe UI"/>
          <w:lang w:eastAsia="en-US"/>
        </w:rPr>
        <w:t xml:space="preserve">Chin MH, King PT, Jones RG, et al. 2018. Lessons for achieving health equity comparing Aotearoa/New Zealand and the United States. </w:t>
      </w:r>
      <w:r w:rsidRPr="000B50E3">
        <w:rPr>
          <w:rFonts w:eastAsiaTheme="minorHAnsi" w:cs="Segoe UI"/>
          <w:i/>
          <w:iCs/>
          <w:lang w:eastAsia="en-US"/>
        </w:rPr>
        <w:t>Health Policy</w:t>
      </w:r>
      <w:r w:rsidRPr="000B50E3">
        <w:rPr>
          <w:rFonts w:eastAsiaTheme="minorHAnsi" w:cs="Segoe UI"/>
          <w:lang w:eastAsia="en-US"/>
        </w:rPr>
        <w:t xml:space="preserve">. URL: </w:t>
      </w:r>
      <w:hyperlink r:id="rId33" w:history="1">
        <w:r w:rsidRPr="0092763E">
          <w:rPr>
            <w:rStyle w:val="Hyperlink"/>
            <w:rFonts w:eastAsiaTheme="minorHAnsi" w:cs="Segoe UI"/>
            <w:szCs w:val="22"/>
          </w:rPr>
          <w:t>www.ncbi.nlm.nih.gov/pubmed/29961558</w:t>
        </w:r>
      </w:hyperlink>
      <w:r w:rsidRPr="000B50E3">
        <w:rPr>
          <w:rFonts w:eastAsiaTheme="minorHAnsi" w:cs="Segoe UI"/>
          <w:lang w:eastAsia="en-US"/>
        </w:rPr>
        <w:t xml:space="preserve"> (accessed 26 July 2018).</w:t>
      </w:r>
    </w:p>
    <w:p w14:paraId="5F9B8AB1" w14:textId="77777777" w:rsidR="007A4780" w:rsidRDefault="007A4780" w:rsidP="007A4780">
      <w:pPr>
        <w:pStyle w:val="References"/>
        <w:rPr>
          <w:noProof/>
        </w:rPr>
      </w:pPr>
      <w:r>
        <w:rPr>
          <w:noProof/>
        </w:rPr>
        <w:lastRenderedPageBreak/>
        <w:t xml:space="preserve">Clark D. 2018. </w:t>
      </w:r>
      <w:r>
        <w:rPr>
          <w:i/>
          <w:iCs/>
          <w:noProof/>
        </w:rPr>
        <w:t>Minister's 2019/20 Letter of Expectations.</w:t>
      </w:r>
      <w:r>
        <w:rPr>
          <w:noProof/>
        </w:rPr>
        <w:t xml:space="preserve"> Retrieved 6 June 2019 from Ministry of Health: </w:t>
      </w:r>
      <w:hyperlink r:id="rId34" w:history="1">
        <w:r w:rsidRPr="005222E9">
          <w:rPr>
            <w:rStyle w:val="Hyperlink"/>
          </w:rPr>
          <w:t>https://nsfl.health.govt.nz/dhb-planning-package/201920-planning-package/supplementary-information-201920-planning-guidelines-1</w:t>
        </w:r>
        <w:r w:rsidRPr="005222E9">
          <w:t xml:space="preserve"> (20</w:t>
        </w:r>
      </w:hyperlink>
      <w:r>
        <w:t> </w:t>
      </w:r>
      <w:r>
        <w:rPr>
          <w:noProof/>
        </w:rPr>
        <w:t>December)</w:t>
      </w:r>
    </w:p>
    <w:p w14:paraId="6D2497CB" w14:textId="0B7D9944" w:rsidR="007A4780" w:rsidRDefault="007A4780" w:rsidP="007A4780">
      <w:pPr>
        <w:pStyle w:val="References"/>
        <w:rPr>
          <w:rFonts w:eastAsiaTheme="minorHAnsi"/>
          <w:lang w:eastAsia="en-US"/>
        </w:rPr>
      </w:pPr>
      <w:r w:rsidRPr="000B50E3">
        <w:rPr>
          <w:rFonts w:eastAsiaTheme="minorHAnsi"/>
          <w:lang w:eastAsia="en-US"/>
        </w:rPr>
        <w:t xml:space="preserve">Coleman JS. 1988. Social capital in the creation of human capital. </w:t>
      </w:r>
      <w:r w:rsidRPr="000B50E3">
        <w:rPr>
          <w:rFonts w:eastAsiaTheme="minorHAnsi"/>
          <w:i/>
          <w:lang w:eastAsia="en-US"/>
        </w:rPr>
        <w:t>American Journal of Sociology</w:t>
      </w:r>
      <w:r w:rsidRPr="000B50E3">
        <w:rPr>
          <w:rFonts w:eastAsiaTheme="minorHAnsi"/>
          <w:lang w:eastAsia="en-US"/>
        </w:rPr>
        <w:t xml:space="preserve"> 94: S95</w:t>
      </w:r>
      <w:r>
        <w:rPr>
          <w:rFonts w:eastAsiaTheme="minorHAnsi"/>
          <w:lang w:eastAsia="en-US"/>
        </w:rPr>
        <w:t>–</w:t>
      </w:r>
      <w:r w:rsidRPr="000B50E3">
        <w:rPr>
          <w:rFonts w:eastAsiaTheme="minorHAnsi"/>
          <w:lang w:eastAsia="en-US"/>
        </w:rPr>
        <w:t>S120.</w:t>
      </w:r>
    </w:p>
    <w:p w14:paraId="422744D8" w14:textId="519CE141" w:rsidR="00A668F0" w:rsidRDefault="00A668F0" w:rsidP="00A668F0">
      <w:pPr>
        <w:pStyle w:val="References"/>
        <w:rPr>
          <w:noProof/>
        </w:rPr>
      </w:pPr>
      <w:r w:rsidRPr="00A668F0">
        <w:rPr>
          <w:noProof/>
        </w:rPr>
        <w:t>Cornell S. Kalt J</w:t>
      </w:r>
      <w:r>
        <w:rPr>
          <w:noProof/>
        </w:rPr>
        <w:t>.</w:t>
      </w:r>
      <w:r w:rsidRPr="00A668F0">
        <w:rPr>
          <w:noProof/>
        </w:rPr>
        <w:t xml:space="preserve"> 1998</w:t>
      </w:r>
      <w:r>
        <w:rPr>
          <w:noProof/>
        </w:rPr>
        <w:t>.</w:t>
      </w:r>
      <w:r w:rsidRPr="00A668F0">
        <w:rPr>
          <w:noProof/>
        </w:rPr>
        <w:t xml:space="preserve"> </w:t>
      </w:r>
      <w:r w:rsidRPr="00A668F0">
        <w:rPr>
          <w:i/>
          <w:noProof/>
        </w:rPr>
        <w:t>Sovereignty and nation-building: the development challenge in indian country today</w:t>
      </w:r>
      <w:r w:rsidRPr="00A668F0">
        <w:rPr>
          <w:noProof/>
        </w:rPr>
        <w:t xml:space="preserve">. </w:t>
      </w:r>
      <w:hyperlink r:id="rId35" w:history="1">
        <w:r w:rsidRPr="00892BA3">
          <w:rPr>
            <w:rStyle w:val="Hyperlink"/>
            <w:noProof/>
          </w:rPr>
          <w:t>https://hpaied.org/sites/default/files/publications/PRS98-25.pdf</w:t>
        </w:r>
      </w:hyperlink>
    </w:p>
    <w:p w14:paraId="2FE02B60" w14:textId="0365B3B8" w:rsidR="007A4780" w:rsidRDefault="007A4780" w:rsidP="007A4780">
      <w:pPr>
        <w:pStyle w:val="References"/>
        <w:rPr>
          <w:noProof/>
        </w:rPr>
      </w:pPr>
      <w:r>
        <w:rPr>
          <w:noProof/>
        </w:rPr>
        <w:t xml:space="preserve">Crocker T. 2018. </w:t>
      </w:r>
      <w:r>
        <w:rPr>
          <w:i/>
          <w:iCs/>
          <w:noProof/>
        </w:rPr>
        <w:t>Māori Health Services and Outcomes Inquiry (Wai 2575) Pre-casebook Discussion Paper: Part 1.</w:t>
      </w:r>
      <w:r>
        <w:rPr>
          <w:noProof/>
        </w:rPr>
        <w:t xml:space="preserve"> Wellington: Waitangi Tribunal Unit.</w:t>
      </w:r>
    </w:p>
    <w:p w14:paraId="45ECD99E" w14:textId="77777777" w:rsidR="007A4780" w:rsidRPr="00260D04" w:rsidRDefault="007A4780" w:rsidP="007A4780">
      <w:pPr>
        <w:pStyle w:val="References"/>
        <w:rPr>
          <w:rFonts w:eastAsiaTheme="minorHAnsi"/>
          <w:lang w:eastAsia="en-US"/>
        </w:rPr>
      </w:pPr>
      <w:proofErr w:type="spellStart"/>
      <w:r w:rsidRPr="00260D04">
        <w:rPr>
          <w:rFonts w:eastAsiaTheme="minorHAnsi"/>
          <w:lang w:eastAsia="en-US"/>
        </w:rPr>
        <w:t>Culyer</w:t>
      </w:r>
      <w:proofErr w:type="spellEnd"/>
      <w:r w:rsidRPr="00260D04">
        <w:rPr>
          <w:rFonts w:eastAsiaTheme="minorHAnsi"/>
          <w:lang w:eastAsia="en-US"/>
        </w:rPr>
        <w:t xml:space="preserve"> AJ, Wagstaff A. 1993. Equity and equality in health and health care. </w:t>
      </w:r>
      <w:r w:rsidRPr="00260D04">
        <w:rPr>
          <w:rFonts w:eastAsiaTheme="minorHAnsi"/>
          <w:i/>
          <w:lang w:eastAsia="en-US"/>
        </w:rPr>
        <w:t>Journal of Health Economics</w:t>
      </w:r>
      <w:r w:rsidRPr="00260D04">
        <w:rPr>
          <w:rFonts w:eastAsiaTheme="minorHAnsi"/>
          <w:lang w:eastAsia="en-US"/>
        </w:rPr>
        <w:t xml:space="preserve"> 12(4): 431–57.</w:t>
      </w:r>
    </w:p>
    <w:p w14:paraId="2A6550C6" w14:textId="3968E9FB" w:rsidR="007A4780" w:rsidRDefault="007A4780" w:rsidP="007A4780">
      <w:pPr>
        <w:pStyle w:val="References"/>
        <w:rPr>
          <w:rFonts w:eastAsiaTheme="minorHAnsi"/>
          <w:lang w:eastAsia="en-US"/>
        </w:rPr>
      </w:pPr>
      <w:r w:rsidRPr="00260D04">
        <w:rPr>
          <w:rFonts w:eastAsiaTheme="minorHAnsi"/>
          <w:lang w:eastAsia="en-US"/>
        </w:rPr>
        <w:t xml:space="preserve">Cunningham C. 1995. </w:t>
      </w:r>
      <w:r w:rsidRPr="00260D04">
        <w:rPr>
          <w:rFonts w:eastAsiaTheme="minorHAnsi"/>
          <w:i/>
          <w:lang w:eastAsia="en-US"/>
        </w:rPr>
        <w:t xml:space="preserve">He Taura </w:t>
      </w:r>
      <w:proofErr w:type="spellStart"/>
      <w:r w:rsidRPr="00260D04">
        <w:rPr>
          <w:rFonts w:eastAsiaTheme="minorHAnsi"/>
          <w:i/>
          <w:lang w:eastAsia="en-US"/>
        </w:rPr>
        <w:t>Tieke</w:t>
      </w:r>
      <w:proofErr w:type="spellEnd"/>
      <w:r w:rsidRPr="00260D04">
        <w:rPr>
          <w:rFonts w:eastAsiaTheme="minorHAnsi"/>
          <w:i/>
          <w:lang w:eastAsia="en-US"/>
        </w:rPr>
        <w:t xml:space="preserve">: Measuring effective health services for </w:t>
      </w:r>
      <w:r w:rsidR="00281A2B">
        <w:rPr>
          <w:rFonts w:eastAsiaTheme="minorHAnsi"/>
          <w:i/>
          <w:lang w:eastAsia="en-US"/>
        </w:rPr>
        <w:t>Māori</w:t>
      </w:r>
      <w:r w:rsidRPr="00260D04">
        <w:rPr>
          <w:rFonts w:eastAsiaTheme="minorHAnsi"/>
          <w:lang w:eastAsia="en-US"/>
        </w:rPr>
        <w:t>. Wellington, New Zealand: Ministry of Health.</w:t>
      </w:r>
    </w:p>
    <w:p w14:paraId="08E527F1" w14:textId="08670F50" w:rsidR="004F6B9D" w:rsidRPr="00260D04" w:rsidRDefault="004F6B9D" w:rsidP="007A4780">
      <w:pPr>
        <w:pStyle w:val="References"/>
        <w:rPr>
          <w:rFonts w:eastAsiaTheme="minorHAnsi"/>
          <w:lang w:eastAsia="en-US"/>
        </w:rPr>
      </w:pPr>
      <w:r w:rsidRPr="004F6B9D">
        <w:rPr>
          <w:rFonts w:eastAsiaTheme="minorHAnsi"/>
          <w:lang w:eastAsia="en-US"/>
        </w:rPr>
        <w:t xml:space="preserve">Curtis E. </w:t>
      </w:r>
      <w:proofErr w:type="spellStart"/>
      <w:r w:rsidRPr="004F6B9D">
        <w:rPr>
          <w:rFonts w:eastAsiaTheme="minorHAnsi"/>
          <w:lang w:eastAsia="en-US"/>
        </w:rPr>
        <w:t>Wikaire</w:t>
      </w:r>
      <w:proofErr w:type="spellEnd"/>
      <w:r w:rsidRPr="004F6B9D">
        <w:rPr>
          <w:rFonts w:eastAsiaTheme="minorHAnsi"/>
          <w:lang w:eastAsia="en-US"/>
        </w:rPr>
        <w:t xml:space="preserve"> E. Stokes K. Reid P</w:t>
      </w:r>
      <w:r>
        <w:rPr>
          <w:rFonts w:eastAsiaTheme="minorHAnsi"/>
          <w:lang w:eastAsia="en-US"/>
        </w:rPr>
        <w:t>.</w:t>
      </w:r>
      <w:r w:rsidRPr="004F6B9D">
        <w:rPr>
          <w:rFonts w:eastAsiaTheme="minorHAnsi"/>
          <w:lang w:eastAsia="en-US"/>
        </w:rPr>
        <w:t xml:space="preserve"> 2012</w:t>
      </w:r>
      <w:r>
        <w:rPr>
          <w:rFonts w:eastAsiaTheme="minorHAnsi"/>
          <w:lang w:eastAsia="en-US"/>
        </w:rPr>
        <w:t>.</w:t>
      </w:r>
      <w:r w:rsidRPr="004F6B9D">
        <w:rPr>
          <w:rFonts w:eastAsiaTheme="minorHAnsi"/>
          <w:lang w:eastAsia="en-US"/>
        </w:rPr>
        <w:t xml:space="preserve"> </w:t>
      </w:r>
      <w:r w:rsidRPr="004F6B9D">
        <w:rPr>
          <w:rFonts w:eastAsiaTheme="minorHAnsi"/>
          <w:i/>
          <w:lang w:eastAsia="en-US"/>
        </w:rPr>
        <w:t>Addressing health workforce inequities: a literature review exploring ‘best’ practice for recruitment into tertiary health programmes</w:t>
      </w:r>
      <w:r w:rsidRPr="004F6B9D">
        <w:rPr>
          <w:rFonts w:eastAsiaTheme="minorHAnsi"/>
          <w:lang w:eastAsia="en-US"/>
        </w:rPr>
        <w:t>. International Journal for Equity in Health</w:t>
      </w:r>
      <w:r>
        <w:rPr>
          <w:rFonts w:eastAsiaTheme="minorHAnsi"/>
          <w:lang w:eastAsia="en-US"/>
        </w:rPr>
        <w:t>.</w:t>
      </w:r>
      <w:r w:rsidRPr="004F6B9D">
        <w:rPr>
          <w:rFonts w:eastAsiaTheme="minorHAnsi"/>
          <w:lang w:eastAsia="en-US"/>
        </w:rPr>
        <w:t xml:space="preserve"> </w:t>
      </w:r>
      <w:r>
        <w:rPr>
          <w:rFonts w:eastAsiaTheme="minorHAnsi"/>
          <w:lang w:eastAsia="en-US"/>
        </w:rPr>
        <w:t>V</w:t>
      </w:r>
      <w:r w:rsidRPr="004F6B9D">
        <w:rPr>
          <w:rFonts w:eastAsiaTheme="minorHAnsi"/>
          <w:lang w:eastAsia="en-US"/>
        </w:rPr>
        <w:t>olume 11, Article 13</w:t>
      </w:r>
      <w:r>
        <w:rPr>
          <w:rFonts w:eastAsiaTheme="minorHAnsi"/>
          <w:lang w:eastAsia="en-US"/>
        </w:rPr>
        <w:t>.</w:t>
      </w:r>
    </w:p>
    <w:p w14:paraId="0BD8959F" w14:textId="77777777" w:rsidR="007A4780" w:rsidRDefault="007A4780" w:rsidP="007A4780">
      <w:pPr>
        <w:pStyle w:val="References"/>
        <w:rPr>
          <w:rFonts w:eastAsiaTheme="minorHAnsi"/>
          <w:lang w:eastAsia="en-US"/>
        </w:rPr>
      </w:pPr>
      <w:r w:rsidRPr="00260D04">
        <w:rPr>
          <w:rFonts w:eastAsiaTheme="minorHAnsi"/>
          <w:lang w:eastAsia="en-US"/>
        </w:rPr>
        <w:t xml:space="preserve">Daniels N. 2006. Equity and population health: toward a broader </w:t>
      </w:r>
      <w:proofErr w:type="gramStart"/>
      <w:r w:rsidRPr="00260D04">
        <w:rPr>
          <w:rFonts w:eastAsiaTheme="minorHAnsi"/>
          <w:lang w:eastAsia="en-US"/>
        </w:rPr>
        <w:t>bioethics</w:t>
      </w:r>
      <w:proofErr w:type="gramEnd"/>
      <w:r w:rsidRPr="00260D04">
        <w:rPr>
          <w:rFonts w:eastAsiaTheme="minorHAnsi"/>
          <w:lang w:eastAsia="en-US"/>
        </w:rPr>
        <w:t xml:space="preserve"> agenda. </w:t>
      </w:r>
      <w:r w:rsidRPr="00260D04">
        <w:rPr>
          <w:rFonts w:eastAsiaTheme="minorHAnsi"/>
          <w:i/>
          <w:lang w:eastAsia="en-US"/>
        </w:rPr>
        <w:t xml:space="preserve">Hastings </w:t>
      </w:r>
      <w:proofErr w:type="spellStart"/>
      <w:r w:rsidRPr="00260D04">
        <w:rPr>
          <w:rFonts w:eastAsiaTheme="minorHAnsi"/>
          <w:i/>
          <w:lang w:eastAsia="en-US"/>
        </w:rPr>
        <w:t>Center</w:t>
      </w:r>
      <w:proofErr w:type="spellEnd"/>
      <w:r w:rsidRPr="00260D04">
        <w:rPr>
          <w:rFonts w:eastAsiaTheme="minorHAnsi"/>
          <w:i/>
          <w:lang w:eastAsia="en-US"/>
        </w:rPr>
        <w:t xml:space="preserve"> Report</w:t>
      </w:r>
      <w:r w:rsidRPr="00260D04">
        <w:rPr>
          <w:rFonts w:eastAsiaTheme="minorHAnsi"/>
          <w:lang w:eastAsia="en-US"/>
        </w:rPr>
        <w:t xml:space="preserve"> 36(4): 22–35. URL: </w:t>
      </w:r>
      <w:hyperlink r:id="rId36" w:history="1">
        <w:r w:rsidRPr="00260D04">
          <w:rPr>
            <w:rStyle w:val="Hyperlink"/>
            <w:rFonts w:eastAsiaTheme="minorHAnsi" w:cstheme="minorBidi"/>
            <w:szCs w:val="22"/>
          </w:rPr>
          <w:t>www.ncbi.nlm.nih.gov/pubmed/16898358</w:t>
        </w:r>
      </w:hyperlink>
      <w:r w:rsidRPr="00260D04">
        <w:rPr>
          <w:rFonts w:eastAsiaTheme="minorHAnsi"/>
          <w:lang w:eastAsia="en-US"/>
        </w:rPr>
        <w:t xml:space="preserve"> (accessed 2 September 2018).</w:t>
      </w:r>
    </w:p>
    <w:p w14:paraId="0EF0B880" w14:textId="77777777" w:rsidR="007A4780" w:rsidRDefault="007A4780" w:rsidP="007A4780">
      <w:pPr>
        <w:pStyle w:val="References"/>
        <w:rPr>
          <w:noProof/>
        </w:rPr>
      </w:pPr>
      <w:r>
        <w:rPr>
          <w:noProof/>
        </w:rPr>
        <w:t xml:space="preserve">Department of the Prime Minister and Cabinet. 2019. </w:t>
      </w:r>
      <w:r>
        <w:rPr>
          <w:i/>
          <w:iCs/>
          <w:noProof/>
        </w:rPr>
        <w:t>Child and Youth Wellbeing Strategy</w:t>
      </w:r>
      <w:r>
        <w:rPr>
          <w:noProof/>
        </w:rPr>
        <w:t xml:space="preserve">. Retrieved 25 March 2019 from Department of the Prime Minister and Cabinet: </w:t>
      </w:r>
      <w:r w:rsidRPr="005222E9">
        <w:rPr>
          <w:rStyle w:val="Hyperlink"/>
        </w:rPr>
        <w:t>https://dpmc.govt.nz/our-programmes/child-and-youth-wellbeing-strategy</w:t>
      </w:r>
    </w:p>
    <w:p w14:paraId="43E2C1C5" w14:textId="77777777" w:rsidR="007A4780" w:rsidRPr="00260D04" w:rsidRDefault="007A4780" w:rsidP="007A4780">
      <w:pPr>
        <w:pStyle w:val="References"/>
        <w:rPr>
          <w:rFonts w:eastAsiaTheme="minorHAnsi"/>
          <w:lang w:eastAsia="en-US"/>
        </w:rPr>
      </w:pPr>
      <w:r w:rsidRPr="00260D04">
        <w:rPr>
          <w:rFonts w:eastAsiaTheme="minorHAnsi"/>
          <w:lang w:eastAsia="en-US"/>
        </w:rPr>
        <w:t xml:space="preserve">Durie M. 1993. </w:t>
      </w:r>
      <w:r w:rsidRPr="00260D04">
        <w:rPr>
          <w:rFonts w:eastAsiaTheme="minorHAnsi"/>
          <w:i/>
          <w:lang w:eastAsia="en-US"/>
        </w:rPr>
        <w:t>The CHI Model: A culturally appropriate auditing model: Guidelines for public health services</w:t>
      </w:r>
      <w:r w:rsidRPr="00260D04">
        <w:rPr>
          <w:rFonts w:eastAsiaTheme="minorHAnsi"/>
          <w:lang w:eastAsia="en-US"/>
        </w:rPr>
        <w:t>. Wellington, New Zealand: Public Health Commission.</w:t>
      </w:r>
    </w:p>
    <w:p w14:paraId="6D30700A" w14:textId="77777777" w:rsidR="007A4780" w:rsidRPr="00260D04" w:rsidRDefault="007A4780" w:rsidP="007A4780">
      <w:pPr>
        <w:pStyle w:val="References"/>
        <w:rPr>
          <w:rFonts w:eastAsiaTheme="minorHAnsi"/>
          <w:lang w:eastAsia="en-US"/>
        </w:rPr>
      </w:pPr>
      <w:r w:rsidRPr="00260D04">
        <w:rPr>
          <w:rFonts w:eastAsiaTheme="minorHAnsi"/>
          <w:lang w:eastAsia="en-US"/>
        </w:rPr>
        <w:t xml:space="preserve">Durie M. 1994. </w:t>
      </w:r>
      <w:proofErr w:type="spellStart"/>
      <w:r w:rsidRPr="00260D04">
        <w:rPr>
          <w:rFonts w:eastAsiaTheme="minorHAnsi"/>
          <w:i/>
          <w:lang w:eastAsia="en-US"/>
        </w:rPr>
        <w:t>Whaiora</w:t>
      </w:r>
      <w:proofErr w:type="spellEnd"/>
      <w:r w:rsidRPr="00260D04">
        <w:rPr>
          <w:rFonts w:eastAsiaTheme="minorHAnsi"/>
          <w:i/>
          <w:lang w:eastAsia="en-US"/>
        </w:rPr>
        <w:t>: Māori health development.</w:t>
      </w:r>
      <w:r w:rsidRPr="00260D04">
        <w:rPr>
          <w:rFonts w:eastAsiaTheme="minorHAnsi"/>
          <w:lang w:eastAsia="en-US"/>
        </w:rPr>
        <w:t xml:space="preserve"> Auckland: Oxford University Press.</w:t>
      </w:r>
    </w:p>
    <w:p w14:paraId="764728CA" w14:textId="727858F1" w:rsidR="007A4780" w:rsidRPr="00260D04" w:rsidRDefault="007A4780" w:rsidP="007A4780">
      <w:pPr>
        <w:pStyle w:val="References"/>
        <w:rPr>
          <w:rFonts w:eastAsiaTheme="minorHAnsi"/>
          <w:lang w:eastAsia="en-US"/>
        </w:rPr>
      </w:pPr>
      <w:r w:rsidRPr="00260D04">
        <w:rPr>
          <w:rFonts w:eastAsiaTheme="minorHAnsi"/>
          <w:lang w:eastAsia="en-US"/>
        </w:rPr>
        <w:t xml:space="preserve">Durie M. 1998a. The Hui Taumata </w:t>
      </w:r>
      <w:proofErr w:type="spellStart"/>
      <w:r w:rsidRPr="00260D04">
        <w:rPr>
          <w:rFonts w:eastAsiaTheme="minorHAnsi"/>
          <w:lang w:eastAsia="en-US"/>
        </w:rPr>
        <w:t>Matauranga</w:t>
      </w:r>
      <w:proofErr w:type="spellEnd"/>
      <w:r w:rsidRPr="00260D04">
        <w:rPr>
          <w:rFonts w:eastAsiaTheme="minorHAnsi"/>
          <w:lang w:eastAsia="en-US"/>
        </w:rPr>
        <w:t xml:space="preserve">: Progress and platforms for </w:t>
      </w:r>
      <w:r w:rsidR="00281A2B">
        <w:rPr>
          <w:rFonts w:eastAsiaTheme="minorHAnsi"/>
          <w:lang w:eastAsia="en-US"/>
        </w:rPr>
        <w:t>Māori</w:t>
      </w:r>
      <w:r w:rsidRPr="00260D04">
        <w:rPr>
          <w:rFonts w:eastAsiaTheme="minorHAnsi"/>
          <w:lang w:eastAsia="en-US"/>
        </w:rPr>
        <w:t xml:space="preserve"> educational achievement. In Durie M. 1998. </w:t>
      </w:r>
      <w:r w:rsidRPr="00260D04">
        <w:rPr>
          <w:rFonts w:eastAsiaTheme="minorHAnsi"/>
          <w:i/>
          <w:lang w:eastAsia="en-US"/>
        </w:rPr>
        <w:t xml:space="preserve">Nga </w:t>
      </w:r>
      <w:proofErr w:type="spellStart"/>
      <w:r w:rsidRPr="00260D04">
        <w:rPr>
          <w:rFonts w:eastAsiaTheme="minorHAnsi"/>
          <w:i/>
          <w:lang w:eastAsia="en-US"/>
        </w:rPr>
        <w:t>Kahui</w:t>
      </w:r>
      <w:proofErr w:type="spellEnd"/>
      <w:r w:rsidRPr="00260D04">
        <w:rPr>
          <w:rFonts w:eastAsiaTheme="minorHAnsi"/>
          <w:i/>
          <w:lang w:eastAsia="en-US"/>
        </w:rPr>
        <w:t xml:space="preserve"> </w:t>
      </w:r>
      <w:proofErr w:type="spellStart"/>
      <w:r w:rsidRPr="00260D04">
        <w:rPr>
          <w:rFonts w:eastAsiaTheme="minorHAnsi"/>
          <w:i/>
          <w:lang w:eastAsia="en-US"/>
        </w:rPr>
        <w:t>Pou</w:t>
      </w:r>
      <w:proofErr w:type="spellEnd"/>
      <w:r w:rsidRPr="00260D04">
        <w:rPr>
          <w:rFonts w:eastAsiaTheme="minorHAnsi"/>
          <w:i/>
          <w:lang w:eastAsia="en-US"/>
        </w:rPr>
        <w:t xml:space="preserve"> Launching </w:t>
      </w:r>
      <w:r w:rsidR="00281A2B">
        <w:rPr>
          <w:rFonts w:eastAsiaTheme="minorHAnsi"/>
          <w:i/>
          <w:lang w:eastAsia="en-US"/>
        </w:rPr>
        <w:t>Māori</w:t>
      </w:r>
      <w:r w:rsidRPr="00260D04">
        <w:rPr>
          <w:rFonts w:eastAsiaTheme="minorHAnsi"/>
          <w:i/>
          <w:lang w:eastAsia="en-US"/>
        </w:rPr>
        <w:t xml:space="preserve"> Futures</w:t>
      </w:r>
      <w:r w:rsidRPr="00260D04">
        <w:rPr>
          <w:rFonts w:eastAsiaTheme="minorHAnsi"/>
          <w:lang w:eastAsia="en-US"/>
        </w:rPr>
        <w:t>. Wellington: Huia.</w:t>
      </w:r>
    </w:p>
    <w:p w14:paraId="22F4C2A6" w14:textId="77777777" w:rsidR="007A4780" w:rsidRPr="00260D04" w:rsidRDefault="007A4780" w:rsidP="007A4780">
      <w:pPr>
        <w:pStyle w:val="References"/>
        <w:rPr>
          <w:rFonts w:eastAsiaTheme="minorHAnsi"/>
          <w:lang w:eastAsia="en-US"/>
        </w:rPr>
      </w:pPr>
      <w:r w:rsidRPr="00260D04">
        <w:rPr>
          <w:rFonts w:eastAsiaTheme="minorHAnsi"/>
          <w:lang w:eastAsia="en-US"/>
        </w:rPr>
        <w:t xml:space="preserve">Durie M. 1998b. </w:t>
      </w:r>
      <w:proofErr w:type="spellStart"/>
      <w:r w:rsidRPr="00260D04">
        <w:rPr>
          <w:rFonts w:eastAsiaTheme="minorHAnsi"/>
          <w:i/>
          <w:lang w:eastAsia="en-US"/>
        </w:rPr>
        <w:t>Whaiora</w:t>
      </w:r>
      <w:proofErr w:type="spellEnd"/>
      <w:r w:rsidRPr="00260D04">
        <w:rPr>
          <w:rFonts w:eastAsiaTheme="minorHAnsi"/>
          <w:i/>
          <w:lang w:eastAsia="en-US"/>
        </w:rPr>
        <w:t>: Māori health development</w:t>
      </w:r>
      <w:r w:rsidRPr="00260D04">
        <w:rPr>
          <w:rFonts w:eastAsiaTheme="minorHAnsi"/>
          <w:lang w:eastAsia="en-US"/>
        </w:rPr>
        <w:t>. 2nd ed. Auckland: Oxford University Press.</w:t>
      </w:r>
    </w:p>
    <w:p w14:paraId="22DC181F" w14:textId="77777777" w:rsidR="007A4780" w:rsidRPr="00260D04" w:rsidRDefault="007A4780" w:rsidP="007A4780">
      <w:pPr>
        <w:pStyle w:val="References"/>
        <w:rPr>
          <w:rFonts w:eastAsiaTheme="minorHAnsi"/>
          <w:lang w:eastAsia="en-US"/>
        </w:rPr>
      </w:pPr>
      <w:r w:rsidRPr="00260D04">
        <w:rPr>
          <w:rFonts w:eastAsiaTheme="minorHAnsi"/>
          <w:lang w:eastAsia="en-US"/>
        </w:rPr>
        <w:t xml:space="preserve">Frontier Economics. 2010. </w:t>
      </w:r>
      <w:r w:rsidRPr="00260D04">
        <w:rPr>
          <w:rFonts w:eastAsiaTheme="minorHAnsi"/>
          <w:i/>
          <w:lang w:eastAsia="en-US"/>
        </w:rPr>
        <w:t>Estimating the Costs of Health Inequalities: A report prepared for the Marmot Review</w:t>
      </w:r>
      <w:r w:rsidRPr="00260D04">
        <w:rPr>
          <w:rFonts w:eastAsiaTheme="minorHAnsi"/>
          <w:lang w:eastAsia="en-US"/>
        </w:rPr>
        <w:t xml:space="preserve">. London: Frontier Economics. URL: </w:t>
      </w:r>
      <w:hyperlink r:id="rId37" w:history="1">
        <w:r w:rsidRPr="00260D04">
          <w:rPr>
            <w:rStyle w:val="Hyperlink"/>
            <w:rFonts w:eastAsiaTheme="minorHAnsi" w:cstheme="minorBidi"/>
            <w:szCs w:val="22"/>
          </w:rPr>
          <w:t>www.instituteofhealthequity.org/file-manager/FSHLrelateddocs/overall-costs-fshl.pdf</w:t>
        </w:r>
      </w:hyperlink>
      <w:r w:rsidRPr="00260D04">
        <w:rPr>
          <w:rFonts w:eastAsiaTheme="minorHAnsi"/>
          <w:color w:val="0563C1" w:themeColor="hyperlink"/>
          <w:u w:val="single"/>
          <w:lang w:eastAsia="en-US"/>
        </w:rPr>
        <w:t xml:space="preserve"> </w:t>
      </w:r>
      <w:r w:rsidRPr="00260D04">
        <w:rPr>
          <w:rFonts w:eastAsiaTheme="minorHAnsi"/>
          <w:lang w:eastAsia="en-US"/>
        </w:rPr>
        <w:t>(accessed 25 July 2018).</w:t>
      </w:r>
    </w:p>
    <w:p w14:paraId="7096317A" w14:textId="77777777" w:rsidR="007A4780" w:rsidRPr="00260D04" w:rsidRDefault="007A4780" w:rsidP="007A4780">
      <w:pPr>
        <w:pStyle w:val="References"/>
        <w:rPr>
          <w:rFonts w:eastAsiaTheme="minorHAnsi"/>
          <w:lang w:eastAsia="en-US"/>
        </w:rPr>
      </w:pPr>
      <w:r w:rsidRPr="000B50E3">
        <w:rPr>
          <w:rFonts w:eastAsiaTheme="minorHAnsi"/>
          <w:lang w:eastAsia="en-US"/>
        </w:rPr>
        <w:t xml:space="preserve">Harrop A. 2012. </w:t>
      </w:r>
      <w:r>
        <w:rPr>
          <w:rFonts w:eastAsiaTheme="minorHAnsi"/>
          <w:i/>
          <w:lang w:eastAsia="en-US"/>
        </w:rPr>
        <w:t>The C</w:t>
      </w:r>
      <w:r w:rsidRPr="000B50E3">
        <w:rPr>
          <w:rFonts w:eastAsiaTheme="minorHAnsi"/>
          <w:i/>
          <w:lang w:eastAsia="en-US"/>
        </w:rPr>
        <w:t>oa</w:t>
      </w:r>
      <w:r>
        <w:rPr>
          <w:rFonts w:eastAsiaTheme="minorHAnsi"/>
          <w:i/>
          <w:lang w:eastAsia="en-US"/>
        </w:rPr>
        <w:t>lition and Universalism: Cuts, targeting and the future of w</w:t>
      </w:r>
      <w:r w:rsidRPr="000B50E3">
        <w:rPr>
          <w:rFonts w:eastAsiaTheme="minorHAnsi"/>
          <w:i/>
          <w:lang w:eastAsia="en-US"/>
        </w:rPr>
        <w:t>elfare</w:t>
      </w:r>
      <w:r w:rsidRPr="000B50E3">
        <w:rPr>
          <w:rFonts w:eastAsiaTheme="minorHAnsi"/>
          <w:lang w:eastAsia="en-US"/>
        </w:rPr>
        <w:t xml:space="preserve">. London: The Fabian Society. URL: </w:t>
      </w:r>
      <w:hyperlink r:id="rId38" w:history="1">
        <w:r w:rsidRPr="00AB186B">
          <w:rPr>
            <w:rFonts w:eastAsiaTheme="minorHAnsi"/>
          </w:rPr>
          <w:t>https://fabians.org.uk/wp-content/uploads/2012/01/The-Coalition-and-Universalism.pdf</w:t>
        </w:r>
      </w:hyperlink>
      <w:r w:rsidRPr="00AB186B">
        <w:rPr>
          <w:rFonts w:eastAsiaTheme="minorHAnsi"/>
        </w:rPr>
        <w:t xml:space="preserve"> </w:t>
      </w:r>
      <w:r w:rsidRPr="00260D04">
        <w:rPr>
          <w:rFonts w:eastAsiaTheme="minorHAnsi"/>
          <w:lang w:eastAsia="en-US"/>
        </w:rPr>
        <w:t>(accessed 25 July 2018).</w:t>
      </w:r>
    </w:p>
    <w:p w14:paraId="4CF51BD1" w14:textId="77777777" w:rsidR="007A4780" w:rsidRPr="000B50E3" w:rsidRDefault="007A4780" w:rsidP="007A4780">
      <w:pPr>
        <w:pStyle w:val="References"/>
        <w:rPr>
          <w:rFonts w:eastAsiaTheme="minorHAnsi"/>
          <w:lang w:eastAsia="en-US"/>
        </w:rPr>
      </w:pPr>
      <w:r w:rsidRPr="000B50E3">
        <w:rPr>
          <w:rFonts w:eastAsiaTheme="minorHAnsi"/>
          <w:lang w:eastAsia="en-US"/>
        </w:rPr>
        <w:t xml:space="preserve">Hart JT. 1971. The inverse care </w:t>
      </w:r>
      <w:proofErr w:type="gramStart"/>
      <w:r w:rsidRPr="000B50E3">
        <w:rPr>
          <w:rFonts w:eastAsiaTheme="minorHAnsi"/>
          <w:lang w:eastAsia="en-US"/>
        </w:rPr>
        <w:t>law</w:t>
      </w:r>
      <w:proofErr w:type="gramEnd"/>
      <w:r w:rsidRPr="000B50E3">
        <w:rPr>
          <w:rFonts w:eastAsiaTheme="minorHAnsi"/>
          <w:lang w:eastAsia="en-US"/>
        </w:rPr>
        <w:t xml:space="preserve">. </w:t>
      </w:r>
      <w:r w:rsidRPr="000B50E3">
        <w:rPr>
          <w:rFonts w:eastAsiaTheme="minorHAnsi"/>
          <w:i/>
          <w:lang w:eastAsia="en-US"/>
        </w:rPr>
        <w:t>The Lancet</w:t>
      </w:r>
      <w:r w:rsidRPr="000B50E3">
        <w:rPr>
          <w:rFonts w:eastAsiaTheme="minorHAnsi"/>
          <w:lang w:eastAsia="en-US"/>
        </w:rPr>
        <w:t xml:space="preserve"> 297: 405–12.</w:t>
      </w:r>
    </w:p>
    <w:p w14:paraId="7238FC8F" w14:textId="77777777" w:rsidR="007A4780" w:rsidRPr="00260D04" w:rsidRDefault="007A4780" w:rsidP="007A4780">
      <w:pPr>
        <w:pStyle w:val="References"/>
        <w:rPr>
          <w:rFonts w:eastAsiaTheme="minorHAnsi"/>
          <w:lang w:eastAsia="en-US"/>
        </w:rPr>
      </w:pPr>
      <w:r w:rsidRPr="00260D04">
        <w:rPr>
          <w:rFonts w:eastAsiaTheme="minorHAnsi"/>
          <w:lang w:eastAsia="en-US"/>
        </w:rPr>
        <w:t xml:space="preserve">HQSC. 2017. </w:t>
      </w:r>
      <w:r w:rsidRPr="00260D04">
        <w:rPr>
          <w:rFonts w:eastAsiaTheme="minorHAnsi"/>
          <w:i/>
          <w:lang w:eastAsia="en-US"/>
        </w:rPr>
        <w:t>Health Equity</w:t>
      </w:r>
      <w:r w:rsidRPr="00260D04">
        <w:rPr>
          <w:rFonts w:eastAsiaTheme="minorHAnsi"/>
          <w:lang w:eastAsia="en-US"/>
        </w:rPr>
        <w:t xml:space="preserve">. URL: </w:t>
      </w:r>
      <w:hyperlink r:id="rId39" w:history="1">
        <w:r w:rsidRPr="00260D04">
          <w:rPr>
            <w:rStyle w:val="Hyperlink"/>
            <w:rFonts w:eastAsiaTheme="minorHAnsi" w:cstheme="minorBidi"/>
            <w:szCs w:val="22"/>
          </w:rPr>
          <w:t>www.hqsc.govt.nz/our-programmes/other-topics/new-projects/health-equity/</w:t>
        </w:r>
      </w:hyperlink>
      <w:r w:rsidRPr="00260D04">
        <w:rPr>
          <w:rFonts w:eastAsiaTheme="minorHAnsi"/>
          <w:lang w:eastAsia="en-US"/>
        </w:rPr>
        <w:t xml:space="preserve"> (accessed 25 July 2018).</w:t>
      </w:r>
    </w:p>
    <w:p w14:paraId="0F3DFFC6" w14:textId="4EC1F1A8" w:rsidR="007A4780" w:rsidRDefault="007A4780" w:rsidP="007A4780">
      <w:pPr>
        <w:pStyle w:val="References"/>
        <w:rPr>
          <w:rFonts w:eastAsiaTheme="minorHAnsi"/>
          <w:lang w:eastAsia="en-US"/>
        </w:rPr>
      </w:pPr>
      <w:r w:rsidRPr="00260D04">
        <w:rPr>
          <w:rFonts w:eastAsiaTheme="minorHAnsi"/>
          <w:lang w:eastAsia="en-US"/>
        </w:rPr>
        <w:lastRenderedPageBreak/>
        <w:t xml:space="preserve">HQSC. 2018. </w:t>
      </w:r>
      <w:r w:rsidRPr="00260D04">
        <w:rPr>
          <w:rFonts w:eastAsiaTheme="minorHAnsi"/>
          <w:i/>
          <w:lang w:eastAsia="en-US"/>
        </w:rPr>
        <w:t>A Window on the Quality of New Zealand</w:t>
      </w:r>
      <w:r>
        <w:rPr>
          <w:rFonts w:eastAsiaTheme="minorHAnsi"/>
          <w:i/>
          <w:lang w:eastAsia="en-US"/>
        </w:rPr>
        <w:t>’</w:t>
      </w:r>
      <w:r w:rsidRPr="00260D04">
        <w:rPr>
          <w:rFonts w:eastAsiaTheme="minorHAnsi"/>
          <w:i/>
          <w:lang w:eastAsia="en-US"/>
        </w:rPr>
        <w:t>s Health Care 2018</w:t>
      </w:r>
      <w:r w:rsidRPr="00260D04">
        <w:rPr>
          <w:rFonts w:eastAsiaTheme="minorHAnsi"/>
          <w:lang w:eastAsia="en-US"/>
        </w:rPr>
        <w:t xml:space="preserve">. Wellington: Health Quality and Safety Commission. URL: </w:t>
      </w:r>
      <w:hyperlink r:id="rId40" w:history="1">
        <w:r w:rsidRPr="00260D04">
          <w:rPr>
            <w:rStyle w:val="Hyperlink"/>
            <w:rFonts w:eastAsiaTheme="minorHAnsi" w:cstheme="minorBidi"/>
            <w:szCs w:val="22"/>
          </w:rPr>
          <w:t>www.hqsc.govt.nz/assets/Health-Quality-Evaluation/Windows_Document/Window-Jun-2018.pdf</w:t>
        </w:r>
      </w:hyperlink>
      <w:r w:rsidRPr="00260D04">
        <w:rPr>
          <w:rFonts w:eastAsiaTheme="minorHAnsi"/>
          <w:lang w:eastAsia="en-US"/>
        </w:rPr>
        <w:t xml:space="preserve"> (accessed 25 July 2018</w:t>
      </w:r>
      <w:r>
        <w:rPr>
          <w:rFonts w:eastAsiaTheme="minorHAnsi"/>
          <w:lang w:eastAsia="en-US"/>
        </w:rPr>
        <w:t>).</w:t>
      </w:r>
    </w:p>
    <w:p w14:paraId="74939B76" w14:textId="4F5F585C" w:rsidR="00D97924" w:rsidRPr="00260D04" w:rsidRDefault="00D97924" w:rsidP="00D97924">
      <w:pPr>
        <w:pStyle w:val="References"/>
        <w:rPr>
          <w:rFonts w:eastAsiaTheme="minorHAnsi"/>
          <w:lang w:eastAsia="en-US"/>
        </w:rPr>
      </w:pPr>
      <w:r w:rsidRPr="00260D04">
        <w:rPr>
          <w:rFonts w:eastAsiaTheme="minorHAnsi"/>
          <w:lang w:eastAsia="en-US"/>
        </w:rPr>
        <w:t>HQSC. 201</w:t>
      </w:r>
      <w:r>
        <w:rPr>
          <w:rFonts w:eastAsiaTheme="minorHAnsi"/>
          <w:lang w:eastAsia="en-US"/>
        </w:rPr>
        <w:t>9</w:t>
      </w:r>
      <w:r w:rsidRPr="00260D04">
        <w:rPr>
          <w:rFonts w:eastAsiaTheme="minorHAnsi"/>
          <w:lang w:eastAsia="en-US"/>
        </w:rPr>
        <w:t xml:space="preserve">. </w:t>
      </w:r>
      <w:r w:rsidRPr="00260D04">
        <w:rPr>
          <w:rFonts w:eastAsiaTheme="minorHAnsi"/>
          <w:i/>
          <w:lang w:eastAsia="en-US"/>
        </w:rPr>
        <w:t>A Window on the Quality of New Zealand</w:t>
      </w:r>
      <w:r>
        <w:rPr>
          <w:rFonts w:eastAsiaTheme="minorHAnsi"/>
          <w:i/>
          <w:lang w:eastAsia="en-US"/>
        </w:rPr>
        <w:t>’</w:t>
      </w:r>
      <w:r w:rsidRPr="00260D04">
        <w:rPr>
          <w:rFonts w:eastAsiaTheme="minorHAnsi"/>
          <w:i/>
          <w:lang w:eastAsia="en-US"/>
        </w:rPr>
        <w:t>s Health Care 201</w:t>
      </w:r>
      <w:r>
        <w:rPr>
          <w:rFonts w:eastAsiaTheme="minorHAnsi"/>
          <w:i/>
          <w:lang w:eastAsia="en-US"/>
        </w:rPr>
        <w:t>9</w:t>
      </w:r>
      <w:r w:rsidRPr="00260D04">
        <w:rPr>
          <w:rFonts w:eastAsiaTheme="minorHAnsi"/>
          <w:lang w:eastAsia="en-US"/>
        </w:rPr>
        <w:t xml:space="preserve">. Wellington: Health Quality and Safety Commission. </w:t>
      </w:r>
    </w:p>
    <w:p w14:paraId="588A124A" w14:textId="77777777" w:rsidR="007A4780" w:rsidRPr="00260D04" w:rsidRDefault="007A4780" w:rsidP="007A4780">
      <w:pPr>
        <w:pStyle w:val="References"/>
        <w:rPr>
          <w:rFonts w:eastAsiaTheme="minorHAnsi"/>
          <w:lang w:eastAsia="en-US"/>
        </w:rPr>
      </w:pPr>
      <w:r w:rsidRPr="00260D04">
        <w:rPr>
          <w:rFonts w:eastAsiaTheme="minorHAnsi"/>
          <w:lang w:eastAsia="en-US"/>
        </w:rPr>
        <w:t xml:space="preserve">Hill S, </w:t>
      </w:r>
      <w:proofErr w:type="spellStart"/>
      <w:r w:rsidRPr="00260D04">
        <w:rPr>
          <w:rFonts w:eastAsiaTheme="minorHAnsi"/>
          <w:lang w:eastAsia="en-US"/>
        </w:rPr>
        <w:t>Sarfati</w:t>
      </w:r>
      <w:proofErr w:type="spellEnd"/>
      <w:r w:rsidRPr="00260D04">
        <w:rPr>
          <w:rFonts w:eastAsiaTheme="minorHAnsi"/>
          <w:lang w:eastAsia="en-US"/>
        </w:rPr>
        <w:t xml:space="preserve"> D, Blakely, T, et al. 2009. Ethnicity and cancer treatment in New Zealand: Do Māori patients get a worse deal? </w:t>
      </w:r>
      <w:r w:rsidRPr="00260D04">
        <w:rPr>
          <w:rFonts w:eastAsiaTheme="minorHAnsi"/>
          <w:i/>
          <w:lang w:eastAsia="en-US"/>
        </w:rPr>
        <w:t>Journal of Epidemiology &amp; Community Health</w:t>
      </w:r>
      <w:r w:rsidRPr="00260D04">
        <w:rPr>
          <w:rFonts w:eastAsiaTheme="minorHAnsi"/>
          <w:lang w:eastAsia="en-US"/>
        </w:rPr>
        <w:t xml:space="preserve"> 63(</w:t>
      </w:r>
      <w:proofErr w:type="spellStart"/>
      <w:r w:rsidRPr="00260D04">
        <w:rPr>
          <w:rFonts w:eastAsiaTheme="minorHAnsi"/>
          <w:lang w:eastAsia="en-US"/>
        </w:rPr>
        <w:t>Suppl</w:t>
      </w:r>
      <w:proofErr w:type="spellEnd"/>
      <w:r w:rsidRPr="00260D04">
        <w:rPr>
          <w:rFonts w:eastAsiaTheme="minorHAnsi"/>
          <w:lang w:eastAsia="en-US"/>
        </w:rPr>
        <w:t xml:space="preserve"> 2), 13.</w:t>
      </w:r>
    </w:p>
    <w:p w14:paraId="43EC8609" w14:textId="77777777" w:rsidR="007A4780" w:rsidRPr="00E646D7" w:rsidRDefault="007A4780" w:rsidP="007A4780">
      <w:pPr>
        <w:pStyle w:val="References"/>
        <w:rPr>
          <w:rFonts w:eastAsiaTheme="minorHAnsi"/>
        </w:rPr>
      </w:pPr>
      <w:r w:rsidRPr="00260D04">
        <w:rPr>
          <w:rFonts w:eastAsiaTheme="minorHAnsi"/>
          <w:lang w:eastAsia="en-US"/>
        </w:rPr>
        <w:t xml:space="preserve">Hill S, </w:t>
      </w:r>
      <w:proofErr w:type="spellStart"/>
      <w:r w:rsidRPr="000B50E3">
        <w:rPr>
          <w:rFonts w:eastAsiaTheme="minorHAnsi"/>
          <w:color w:val="222222"/>
          <w:lang w:eastAsia="en-US"/>
        </w:rPr>
        <w:t>Sarfati</w:t>
      </w:r>
      <w:proofErr w:type="spellEnd"/>
      <w:r w:rsidRPr="000B50E3">
        <w:rPr>
          <w:rFonts w:eastAsiaTheme="minorHAnsi"/>
          <w:color w:val="222222"/>
          <w:lang w:eastAsia="en-US"/>
        </w:rPr>
        <w:t xml:space="preserve"> D, Blakely T,</w:t>
      </w:r>
      <w:r w:rsidRPr="00260D04">
        <w:rPr>
          <w:rFonts w:eastAsiaTheme="minorHAnsi"/>
          <w:lang w:eastAsia="en-US"/>
        </w:rPr>
        <w:t xml:space="preserve"> et al. 2010. Survival disparities in indigenous and non-indigenous New Zealanders with colon cancer: The role of patient comorbidity, treatment and health service factors. </w:t>
      </w:r>
      <w:r w:rsidRPr="00260D04">
        <w:rPr>
          <w:rFonts w:eastAsiaTheme="minorHAnsi"/>
          <w:i/>
          <w:lang w:eastAsia="en-US"/>
        </w:rPr>
        <w:t>Journal of Epidemiology &amp; Community Health</w:t>
      </w:r>
      <w:r w:rsidRPr="00260D04">
        <w:rPr>
          <w:rFonts w:eastAsiaTheme="minorHAnsi"/>
          <w:lang w:eastAsia="en-US"/>
        </w:rPr>
        <w:t xml:space="preserve"> 64(2) </w:t>
      </w:r>
      <w:r w:rsidRPr="000B50E3">
        <w:rPr>
          <w:rFonts w:eastAsiaTheme="minorHAnsi"/>
          <w:color w:val="222222"/>
          <w:lang w:eastAsia="en-US"/>
        </w:rPr>
        <w:t>117</w:t>
      </w:r>
      <w:r>
        <w:rPr>
          <w:rFonts w:eastAsiaTheme="minorHAnsi"/>
          <w:color w:val="222222"/>
          <w:lang w:eastAsia="en-US"/>
        </w:rPr>
        <w:t>–</w:t>
      </w:r>
      <w:r w:rsidRPr="000B50E3">
        <w:rPr>
          <w:rFonts w:eastAsiaTheme="minorHAnsi"/>
          <w:color w:val="222222"/>
          <w:lang w:eastAsia="en-US"/>
        </w:rPr>
        <w:t xml:space="preserve">23. URL: </w:t>
      </w:r>
      <w:hyperlink r:id="rId41" w:history="1">
        <w:r w:rsidRPr="00E646D7">
          <w:rPr>
            <w:rFonts w:eastAsiaTheme="minorHAnsi"/>
          </w:rPr>
          <w:t>https://jech.bmj.com/content/jech/64/2/117.full.pdf</w:t>
        </w:r>
      </w:hyperlink>
      <w:r w:rsidRPr="00E646D7">
        <w:rPr>
          <w:rFonts w:eastAsiaTheme="minorHAnsi"/>
        </w:rPr>
        <w:t xml:space="preserve"> (accessed 25 July 2018).</w:t>
      </w:r>
    </w:p>
    <w:p w14:paraId="63DEE959" w14:textId="77777777" w:rsidR="007A4780" w:rsidRDefault="007A4780" w:rsidP="007A4780">
      <w:pPr>
        <w:pStyle w:val="References"/>
      </w:pPr>
      <w:r w:rsidRPr="00EE6853">
        <w:t xml:space="preserve">Howden-Chapman P, Tobias M (eds). 2000. </w:t>
      </w:r>
      <w:r w:rsidRPr="00EE6853">
        <w:rPr>
          <w:i/>
        </w:rPr>
        <w:t xml:space="preserve">Social Inequalities in Health </w:t>
      </w:r>
      <w:r>
        <w:rPr>
          <w:i/>
        </w:rPr>
        <w:t>–</w:t>
      </w:r>
      <w:r w:rsidRPr="00EE6853">
        <w:rPr>
          <w:i/>
        </w:rPr>
        <w:t xml:space="preserve"> New Zealand 1999</w:t>
      </w:r>
      <w:r w:rsidRPr="00EE6853">
        <w:t>. Wellington: Ministry of Health.</w:t>
      </w:r>
    </w:p>
    <w:p w14:paraId="79AAF29D" w14:textId="77777777" w:rsidR="007A4780" w:rsidRDefault="007A4780" w:rsidP="007A4780">
      <w:pPr>
        <w:pStyle w:val="References"/>
      </w:pPr>
      <w:r>
        <w:t xml:space="preserve">Institute of Health Equity. 2018. </w:t>
      </w:r>
      <w:r w:rsidRPr="00390F85">
        <w:rPr>
          <w:i/>
        </w:rPr>
        <w:t>About Our Work:</w:t>
      </w:r>
      <w:r>
        <w:t xml:space="preserve"> </w:t>
      </w:r>
      <w:r w:rsidRPr="00390F85">
        <w:rPr>
          <w:i/>
        </w:rPr>
        <w:t xml:space="preserve">Monitoring and </w:t>
      </w:r>
      <w:r>
        <w:rPr>
          <w:i/>
        </w:rPr>
        <w:t>e</w:t>
      </w:r>
      <w:r w:rsidRPr="00390F85">
        <w:rPr>
          <w:i/>
        </w:rPr>
        <w:t xml:space="preserve">valuating </w:t>
      </w:r>
      <w:r>
        <w:rPr>
          <w:i/>
        </w:rPr>
        <w:t>p</w:t>
      </w:r>
      <w:r w:rsidRPr="00390F85">
        <w:rPr>
          <w:i/>
        </w:rPr>
        <w:t>rogress</w:t>
      </w:r>
      <w:r>
        <w:t xml:space="preserve">. URL: </w:t>
      </w:r>
      <w:hyperlink r:id="rId42" w:history="1">
        <w:r w:rsidRPr="007702A5">
          <w:rPr>
            <w:rStyle w:val="Hyperlink"/>
            <w:rFonts w:eastAsia="MS Gothic"/>
          </w:rPr>
          <w:t>www.instituteofhealthequity.org/about-our-work/monitoring-and-evaluating-progress</w:t>
        </w:r>
      </w:hyperlink>
      <w:r>
        <w:t xml:space="preserve"> (accessed 1 August 2018).</w:t>
      </w:r>
    </w:p>
    <w:p w14:paraId="2E2A77D5" w14:textId="77777777" w:rsidR="007A4780" w:rsidRPr="00260D04" w:rsidRDefault="007A4780" w:rsidP="007A4780">
      <w:pPr>
        <w:pStyle w:val="References"/>
        <w:rPr>
          <w:rFonts w:eastAsiaTheme="minorHAnsi"/>
          <w:lang w:eastAsia="en-US"/>
        </w:rPr>
      </w:pPr>
      <w:r w:rsidRPr="00986070">
        <w:rPr>
          <w:rFonts w:eastAsiaTheme="minorHAnsi"/>
          <w:lang w:eastAsia="en-US"/>
        </w:rPr>
        <w:t>Jones C P</w:t>
      </w:r>
      <w:r>
        <w:rPr>
          <w:rFonts w:eastAsiaTheme="minorHAnsi"/>
          <w:lang w:eastAsia="en-US"/>
        </w:rPr>
        <w:t>.</w:t>
      </w:r>
      <w:r w:rsidRPr="00986070">
        <w:rPr>
          <w:rFonts w:eastAsiaTheme="minorHAnsi"/>
          <w:lang w:eastAsia="en-US"/>
        </w:rPr>
        <w:t xml:space="preserve"> 2000. Levels of racism: a theoretic framework and a gardener's tale. </w:t>
      </w:r>
      <w:r w:rsidRPr="00986070">
        <w:rPr>
          <w:rFonts w:eastAsiaTheme="minorHAnsi"/>
          <w:i/>
          <w:lang w:eastAsia="en-US"/>
        </w:rPr>
        <w:t xml:space="preserve">American </w:t>
      </w:r>
      <w:r>
        <w:rPr>
          <w:rFonts w:eastAsiaTheme="minorHAnsi"/>
          <w:i/>
          <w:lang w:eastAsia="en-US"/>
        </w:rPr>
        <w:t>J</w:t>
      </w:r>
      <w:r w:rsidRPr="00986070">
        <w:rPr>
          <w:rFonts w:eastAsiaTheme="minorHAnsi"/>
          <w:i/>
          <w:lang w:eastAsia="en-US"/>
        </w:rPr>
        <w:t xml:space="preserve">ournal of </w:t>
      </w:r>
      <w:r>
        <w:rPr>
          <w:rFonts w:eastAsiaTheme="minorHAnsi"/>
          <w:i/>
          <w:lang w:eastAsia="en-US"/>
        </w:rPr>
        <w:t>P</w:t>
      </w:r>
      <w:r w:rsidRPr="00986070">
        <w:rPr>
          <w:rFonts w:eastAsiaTheme="minorHAnsi"/>
          <w:i/>
          <w:lang w:eastAsia="en-US"/>
        </w:rPr>
        <w:t xml:space="preserve">ublic </w:t>
      </w:r>
      <w:r>
        <w:rPr>
          <w:rFonts w:eastAsiaTheme="minorHAnsi"/>
          <w:i/>
          <w:lang w:eastAsia="en-US"/>
        </w:rPr>
        <w:t>H</w:t>
      </w:r>
      <w:r w:rsidRPr="00986070">
        <w:rPr>
          <w:rFonts w:eastAsiaTheme="minorHAnsi"/>
          <w:i/>
          <w:lang w:eastAsia="en-US"/>
        </w:rPr>
        <w:t>ealth</w:t>
      </w:r>
      <w:r w:rsidRPr="00986070">
        <w:rPr>
          <w:rFonts w:eastAsiaTheme="minorHAnsi"/>
          <w:lang w:eastAsia="en-US"/>
        </w:rPr>
        <w:t> 90(8), 1212–1215. doi:10.2105/ajph.90.8.1212</w:t>
      </w:r>
      <w:r>
        <w:rPr>
          <w:rFonts w:eastAsiaTheme="minorHAnsi"/>
          <w:lang w:eastAsia="en-US"/>
        </w:rPr>
        <w:t>.</w:t>
      </w:r>
    </w:p>
    <w:p w14:paraId="2E43F787" w14:textId="77777777" w:rsidR="007A4780" w:rsidRPr="00E646D7" w:rsidRDefault="007A4780" w:rsidP="007A4780">
      <w:pPr>
        <w:pStyle w:val="References"/>
        <w:rPr>
          <w:rFonts w:eastAsiaTheme="minorHAnsi"/>
        </w:rPr>
      </w:pPr>
      <w:proofErr w:type="spellStart"/>
      <w:r w:rsidRPr="00260D04">
        <w:rPr>
          <w:rFonts w:eastAsiaTheme="minorHAnsi"/>
          <w:lang w:eastAsia="en-US"/>
        </w:rPr>
        <w:t>Kawachi</w:t>
      </w:r>
      <w:proofErr w:type="spellEnd"/>
      <w:r w:rsidRPr="00260D04">
        <w:rPr>
          <w:rFonts w:eastAsiaTheme="minorHAnsi"/>
          <w:lang w:eastAsia="en-US"/>
        </w:rPr>
        <w:t xml:space="preserve"> I, </w:t>
      </w:r>
      <w:r w:rsidRPr="000B50E3">
        <w:rPr>
          <w:rFonts w:eastAsiaTheme="minorHAnsi"/>
          <w:color w:val="222222"/>
          <w:lang w:eastAsia="en-US"/>
        </w:rPr>
        <w:t>Subramanian SV, Almeida-Filho N</w:t>
      </w:r>
      <w:r w:rsidRPr="00260D04">
        <w:rPr>
          <w:rFonts w:eastAsiaTheme="minorHAnsi"/>
          <w:lang w:eastAsia="en-US"/>
        </w:rPr>
        <w:t xml:space="preserve">. 2002. A glossary for health inequalities. </w:t>
      </w:r>
      <w:r w:rsidRPr="00260D04">
        <w:rPr>
          <w:rFonts w:eastAsiaTheme="minorHAnsi"/>
          <w:i/>
          <w:lang w:eastAsia="en-US"/>
        </w:rPr>
        <w:t>Journal of Epidemiology &amp; Community Health</w:t>
      </w:r>
      <w:r w:rsidRPr="00260D04">
        <w:rPr>
          <w:rFonts w:eastAsiaTheme="minorHAnsi"/>
          <w:lang w:eastAsia="en-US"/>
        </w:rPr>
        <w:t xml:space="preserve"> 56(9) 647–52. URL: </w:t>
      </w:r>
      <w:hyperlink r:id="rId43" w:history="1">
        <w:r w:rsidRPr="00E646D7">
          <w:rPr>
            <w:rFonts w:eastAsiaTheme="minorHAnsi"/>
          </w:rPr>
          <w:t>https://jech.bmj.com/content/jech/56/9/647.full.pdf</w:t>
        </w:r>
      </w:hyperlink>
      <w:r w:rsidRPr="00E646D7">
        <w:rPr>
          <w:rFonts w:eastAsiaTheme="minorHAnsi"/>
        </w:rPr>
        <w:t xml:space="preserve"> (accessed 25 July 2018).</w:t>
      </w:r>
    </w:p>
    <w:p w14:paraId="007BC506" w14:textId="77777777" w:rsidR="007A4780" w:rsidRPr="00260D04" w:rsidRDefault="007A4780" w:rsidP="007A4780">
      <w:pPr>
        <w:pStyle w:val="References"/>
        <w:rPr>
          <w:rFonts w:eastAsiaTheme="minorHAnsi"/>
          <w:lang w:eastAsia="en-US"/>
        </w:rPr>
      </w:pPr>
      <w:r w:rsidRPr="00260D04">
        <w:rPr>
          <w:rFonts w:eastAsiaTheme="minorHAnsi"/>
          <w:lang w:eastAsia="en-US"/>
        </w:rPr>
        <w:t xml:space="preserve">Lange R. 1999. </w:t>
      </w:r>
      <w:r w:rsidRPr="00260D04">
        <w:rPr>
          <w:rFonts w:eastAsiaTheme="minorHAnsi"/>
          <w:i/>
          <w:lang w:eastAsia="en-US"/>
        </w:rPr>
        <w:t>May the People Live: A history of Māori health development 1900–1920</w:t>
      </w:r>
      <w:r w:rsidRPr="00260D04">
        <w:rPr>
          <w:rFonts w:eastAsiaTheme="minorHAnsi"/>
          <w:lang w:eastAsia="en-US"/>
        </w:rPr>
        <w:t>. Auckland: Auckland University Press.</w:t>
      </w:r>
    </w:p>
    <w:p w14:paraId="27421587" w14:textId="77777777" w:rsidR="007A4780" w:rsidRPr="00260D04" w:rsidRDefault="007A4780" w:rsidP="007A4780">
      <w:pPr>
        <w:pStyle w:val="References"/>
        <w:rPr>
          <w:rFonts w:eastAsiaTheme="minorHAnsi"/>
          <w:lang w:eastAsia="en-US"/>
        </w:rPr>
      </w:pPr>
      <w:proofErr w:type="spellStart"/>
      <w:r w:rsidRPr="000B50E3">
        <w:t>LaViest</w:t>
      </w:r>
      <w:proofErr w:type="spellEnd"/>
      <w:r w:rsidRPr="000B50E3">
        <w:t xml:space="preserve"> TA. 2005. </w:t>
      </w:r>
      <w:r w:rsidRPr="000B50E3">
        <w:rPr>
          <w:i/>
        </w:rPr>
        <w:t xml:space="preserve">Minority Populations and Health: An </w:t>
      </w:r>
      <w:r>
        <w:rPr>
          <w:i/>
        </w:rPr>
        <w:t>i</w:t>
      </w:r>
      <w:r w:rsidRPr="000B50E3">
        <w:rPr>
          <w:i/>
        </w:rPr>
        <w:t xml:space="preserve">ntroduction to </w:t>
      </w:r>
      <w:r>
        <w:rPr>
          <w:i/>
        </w:rPr>
        <w:t>h</w:t>
      </w:r>
      <w:r w:rsidRPr="000B50E3">
        <w:rPr>
          <w:i/>
        </w:rPr>
        <w:t xml:space="preserve">ealth </w:t>
      </w:r>
      <w:r>
        <w:rPr>
          <w:i/>
        </w:rPr>
        <w:t>d</w:t>
      </w:r>
      <w:r w:rsidRPr="000B50E3">
        <w:rPr>
          <w:i/>
        </w:rPr>
        <w:t>isparities in the United States</w:t>
      </w:r>
      <w:r w:rsidRPr="000B50E3">
        <w:t>. Jossey-Bass.</w:t>
      </w:r>
    </w:p>
    <w:p w14:paraId="2D40A52D" w14:textId="77777777" w:rsidR="007A4780" w:rsidRPr="00260D04" w:rsidRDefault="007A4780" w:rsidP="007A4780">
      <w:pPr>
        <w:pStyle w:val="References"/>
        <w:rPr>
          <w:rFonts w:eastAsiaTheme="minorHAnsi"/>
          <w:lang w:eastAsia="en-US"/>
        </w:rPr>
      </w:pPr>
      <w:r w:rsidRPr="00260D04">
        <w:rPr>
          <w:rFonts w:eastAsiaTheme="minorHAnsi"/>
          <w:lang w:eastAsia="en-US"/>
        </w:rPr>
        <w:t xml:space="preserve">Mahler H. 1981. The meaning of health for all by the year 2000. </w:t>
      </w:r>
      <w:r w:rsidRPr="00260D04">
        <w:rPr>
          <w:rFonts w:eastAsiaTheme="minorHAnsi"/>
          <w:i/>
          <w:lang w:eastAsia="en-US"/>
        </w:rPr>
        <w:t>World Health Forum</w:t>
      </w:r>
      <w:r w:rsidRPr="00260D04">
        <w:rPr>
          <w:rFonts w:eastAsiaTheme="minorHAnsi"/>
          <w:lang w:eastAsia="en-US"/>
        </w:rPr>
        <w:t xml:space="preserve"> 2(1) 5–22.</w:t>
      </w:r>
    </w:p>
    <w:p w14:paraId="240D791E" w14:textId="77777777" w:rsidR="007A4780" w:rsidRPr="00260D04" w:rsidRDefault="007A4780" w:rsidP="007A4780">
      <w:pPr>
        <w:pStyle w:val="References"/>
        <w:rPr>
          <w:rFonts w:eastAsiaTheme="minorHAnsi"/>
          <w:lang w:eastAsia="en-US"/>
        </w:rPr>
      </w:pPr>
      <w:r w:rsidRPr="00260D04">
        <w:rPr>
          <w:rFonts w:eastAsiaTheme="minorHAnsi"/>
          <w:lang w:eastAsia="en-US"/>
        </w:rPr>
        <w:t xml:space="preserve">Marmot M. 1986. Does stress cause heart attacks? </w:t>
      </w:r>
      <w:r w:rsidRPr="00260D04">
        <w:rPr>
          <w:rFonts w:eastAsiaTheme="minorHAnsi"/>
          <w:i/>
          <w:lang w:eastAsia="en-US"/>
        </w:rPr>
        <w:t>Postgraduate Medical Journal</w:t>
      </w:r>
      <w:r w:rsidRPr="00260D04">
        <w:rPr>
          <w:rFonts w:eastAsiaTheme="minorHAnsi"/>
          <w:lang w:eastAsia="en-US"/>
        </w:rPr>
        <w:t xml:space="preserve"> 62(729): 683–6.</w:t>
      </w:r>
    </w:p>
    <w:p w14:paraId="33EC33DA" w14:textId="77777777" w:rsidR="007A4780" w:rsidRPr="00260D04" w:rsidRDefault="007A4780" w:rsidP="007A4780">
      <w:pPr>
        <w:pStyle w:val="References"/>
        <w:rPr>
          <w:rFonts w:eastAsiaTheme="minorHAnsi"/>
          <w:lang w:eastAsia="en-US"/>
        </w:rPr>
      </w:pPr>
      <w:r w:rsidRPr="00260D04">
        <w:rPr>
          <w:rFonts w:eastAsiaTheme="minorHAnsi"/>
          <w:lang w:eastAsia="en-US"/>
        </w:rPr>
        <w:t xml:space="preserve">Marmot M. 2010. </w:t>
      </w:r>
      <w:r w:rsidRPr="00260D04">
        <w:rPr>
          <w:rFonts w:eastAsiaTheme="minorHAnsi"/>
          <w:i/>
          <w:lang w:eastAsia="en-US"/>
        </w:rPr>
        <w:t>Fair Society, Healthy Lives: The Marmot Review: Strategic review of health inequalities in England post-2010</w:t>
      </w:r>
      <w:r w:rsidRPr="00260D04">
        <w:rPr>
          <w:rFonts w:eastAsiaTheme="minorHAnsi"/>
          <w:lang w:eastAsia="en-US"/>
        </w:rPr>
        <w:t>. London: The Marmot Review.</w:t>
      </w:r>
    </w:p>
    <w:p w14:paraId="078DFA05" w14:textId="77777777" w:rsidR="007A4780" w:rsidRPr="00260D04" w:rsidRDefault="007A4780" w:rsidP="007A4780">
      <w:pPr>
        <w:pStyle w:val="References"/>
        <w:rPr>
          <w:rFonts w:eastAsiaTheme="minorHAnsi"/>
          <w:lang w:eastAsia="en-US"/>
        </w:rPr>
      </w:pPr>
      <w:r w:rsidRPr="006E7B8B">
        <w:t xml:space="preserve">Marmot M. 2016. </w:t>
      </w:r>
      <w:r w:rsidRPr="009773E7">
        <w:t>Health inequality and the causes of the causes</w:t>
      </w:r>
      <w:r>
        <w:t xml:space="preserve">. </w:t>
      </w:r>
      <w:r w:rsidRPr="009773E7">
        <w:rPr>
          <w:i/>
        </w:rPr>
        <w:t>2016 B</w:t>
      </w:r>
      <w:r>
        <w:rPr>
          <w:i/>
        </w:rPr>
        <w:t>oyer Lectures: Fair Australia: Social justice and the health g</w:t>
      </w:r>
      <w:r w:rsidRPr="009773E7">
        <w:rPr>
          <w:i/>
        </w:rPr>
        <w:t>ap.</w:t>
      </w:r>
      <w:r w:rsidRPr="006E7B8B">
        <w:t xml:space="preserve"> URL: www.abc.net.au/radionational/programs/boyerlectures/series/2016-boyer-lectures/7802472 (accessed 25 July 2018).</w:t>
      </w:r>
    </w:p>
    <w:p w14:paraId="6CBD360B" w14:textId="77777777" w:rsidR="007A4780" w:rsidRPr="00260D04" w:rsidRDefault="007A4780" w:rsidP="007A4780">
      <w:pPr>
        <w:pStyle w:val="References"/>
        <w:rPr>
          <w:rFonts w:eastAsiaTheme="minorHAnsi"/>
          <w:lang w:eastAsia="en-US"/>
        </w:rPr>
      </w:pPr>
      <w:r w:rsidRPr="00260D04">
        <w:rPr>
          <w:rFonts w:eastAsiaTheme="minorHAnsi"/>
          <w:lang w:eastAsia="en-US"/>
        </w:rPr>
        <w:t xml:space="preserve">Marmot M, </w:t>
      </w:r>
      <w:r w:rsidRPr="000B50E3">
        <w:rPr>
          <w:rFonts w:eastAsiaTheme="minorHAnsi"/>
          <w:color w:val="222222"/>
          <w:lang w:eastAsia="en-US"/>
        </w:rPr>
        <w:t>Rose G, Shipley M, et al</w:t>
      </w:r>
      <w:r w:rsidRPr="00260D04">
        <w:rPr>
          <w:rFonts w:eastAsiaTheme="minorHAnsi"/>
          <w:lang w:eastAsia="en-US"/>
        </w:rPr>
        <w:t xml:space="preserve">. 1978. Employment grade and coronary heart disease in British civil servants. </w:t>
      </w:r>
      <w:r w:rsidRPr="00260D04">
        <w:rPr>
          <w:rFonts w:eastAsiaTheme="minorHAnsi"/>
          <w:i/>
          <w:lang w:eastAsia="en-US"/>
        </w:rPr>
        <w:t>Journal of Epidemiology and Community Health</w:t>
      </w:r>
      <w:r w:rsidRPr="00260D04">
        <w:rPr>
          <w:rFonts w:eastAsiaTheme="minorHAnsi"/>
          <w:lang w:eastAsia="en-US"/>
        </w:rPr>
        <w:t xml:space="preserve"> 32(4): 244–9.</w:t>
      </w:r>
    </w:p>
    <w:p w14:paraId="31CF2A3D" w14:textId="4C6BCFF9" w:rsidR="007A4780" w:rsidRDefault="007A4780" w:rsidP="007A4780">
      <w:pPr>
        <w:pStyle w:val="References"/>
      </w:pPr>
      <w:r w:rsidRPr="00260D04">
        <w:rPr>
          <w:rFonts w:eastAsiaTheme="minorHAnsi"/>
          <w:lang w:eastAsia="en-US"/>
        </w:rPr>
        <w:t xml:space="preserve">Mills </w:t>
      </w:r>
      <w:r w:rsidRPr="000B50E3">
        <w:rPr>
          <w:rFonts w:eastAsiaTheme="minorHAnsi"/>
          <w:color w:val="222222"/>
          <w:lang w:eastAsia="en-US"/>
        </w:rPr>
        <w:t xml:space="preserve">C, Reid P, </w:t>
      </w:r>
      <w:proofErr w:type="spellStart"/>
      <w:r w:rsidRPr="000B50E3">
        <w:rPr>
          <w:rFonts w:eastAsiaTheme="minorHAnsi"/>
          <w:color w:val="222222"/>
          <w:lang w:eastAsia="en-US"/>
        </w:rPr>
        <w:t>Vaithianathan</w:t>
      </w:r>
      <w:proofErr w:type="spellEnd"/>
      <w:r w:rsidRPr="000B50E3">
        <w:rPr>
          <w:rFonts w:eastAsiaTheme="minorHAnsi"/>
          <w:color w:val="222222"/>
          <w:lang w:eastAsia="en-US"/>
        </w:rPr>
        <w:t xml:space="preserve"> R. 2012. </w:t>
      </w:r>
      <w:r w:rsidRPr="00260D04">
        <w:rPr>
          <w:rFonts w:eastAsiaTheme="minorHAnsi"/>
          <w:lang w:eastAsia="en-US"/>
        </w:rPr>
        <w:t xml:space="preserve">The cost of child health inequities in Aotearoa New Zealand: A preliminary scoping study. </w:t>
      </w:r>
      <w:r w:rsidRPr="00260D04">
        <w:rPr>
          <w:rFonts w:eastAsiaTheme="minorHAnsi"/>
          <w:i/>
          <w:lang w:eastAsia="en-US"/>
        </w:rPr>
        <w:t>BMC Public Health</w:t>
      </w:r>
      <w:r w:rsidRPr="00260D04">
        <w:rPr>
          <w:rFonts w:eastAsiaTheme="minorHAnsi"/>
          <w:lang w:eastAsia="en-US"/>
        </w:rPr>
        <w:t xml:space="preserve"> 12(1): 384. </w:t>
      </w:r>
      <w:r>
        <w:t xml:space="preserve">URL: </w:t>
      </w:r>
      <w:hyperlink r:id="rId44" w:history="1">
        <w:r w:rsidRPr="00385646">
          <w:rPr>
            <w:rStyle w:val="Hyperlink"/>
            <w:rFonts w:eastAsia="MS Gothic"/>
          </w:rPr>
          <w:t>https://bmcpublichealth.biomedcentral.com/articles/10.1186/1471-2458-12-384</w:t>
        </w:r>
      </w:hyperlink>
      <w:r>
        <w:t xml:space="preserve"> (accessed 1 August 2018).</w:t>
      </w:r>
    </w:p>
    <w:p w14:paraId="5F166131" w14:textId="0E4A0E52" w:rsidR="00CC5FDE" w:rsidRPr="00260D04" w:rsidRDefault="00CC5FDE" w:rsidP="007A4780">
      <w:pPr>
        <w:pStyle w:val="References"/>
        <w:rPr>
          <w:rFonts w:eastAsiaTheme="minorHAnsi"/>
          <w:lang w:eastAsia="en-US"/>
        </w:rPr>
      </w:pPr>
      <w:r w:rsidRPr="00CC5FDE">
        <w:rPr>
          <w:rFonts w:eastAsiaTheme="minorHAnsi"/>
          <w:lang w:eastAsia="en-US"/>
        </w:rPr>
        <w:lastRenderedPageBreak/>
        <w:t xml:space="preserve">Minister of Health and Associate Minister of Health. 2006. </w:t>
      </w:r>
      <w:proofErr w:type="spellStart"/>
      <w:r w:rsidRPr="00CC5FDE">
        <w:rPr>
          <w:rFonts w:eastAsiaTheme="minorHAnsi"/>
          <w:i/>
          <w:lang w:eastAsia="en-US"/>
        </w:rPr>
        <w:t>Whakatātaka</w:t>
      </w:r>
      <w:proofErr w:type="spellEnd"/>
      <w:r w:rsidRPr="00CC5FDE">
        <w:rPr>
          <w:rFonts w:eastAsiaTheme="minorHAnsi"/>
          <w:i/>
          <w:lang w:eastAsia="en-US"/>
        </w:rPr>
        <w:t xml:space="preserve"> </w:t>
      </w:r>
      <w:proofErr w:type="spellStart"/>
      <w:r w:rsidRPr="00CC5FDE">
        <w:rPr>
          <w:rFonts w:eastAsiaTheme="minorHAnsi"/>
          <w:i/>
          <w:lang w:eastAsia="en-US"/>
        </w:rPr>
        <w:t>Tuarua</w:t>
      </w:r>
      <w:proofErr w:type="spellEnd"/>
      <w:r w:rsidRPr="00CC5FDE">
        <w:rPr>
          <w:rFonts w:eastAsiaTheme="minorHAnsi"/>
          <w:i/>
          <w:lang w:eastAsia="en-US"/>
        </w:rPr>
        <w:t>: Māori Health Action Plan 2006–2011</w:t>
      </w:r>
      <w:r>
        <w:rPr>
          <w:rFonts w:eastAsiaTheme="minorHAnsi"/>
          <w:i/>
          <w:lang w:eastAsia="en-US"/>
        </w:rPr>
        <w:t>.</w:t>
      </w:r>
      <w:r w:rsidRPr="00CC5FDE">
        <w:rPr>
          <w:rFonts w:eastAsiaTheme="minorHAnsi"/>
          <w:lang w:eastAsia="en-US"/>
        </w:rPr>
        <w:t xml:space="preserve"> Wellington</w:t>
      </w:r>
      <w:r>
        <w:rPr>
          <w:rFonts w:eastAsiaTheme="minorHAnsi"/>
          <w:lang w:eastAsia="en-US"/>
        </w:rPr>
        <w:t>.</w:t>
      </w:r>
      <w:r w:rsidRPr="00CC5FDE">
        <w:rPr>
          <w:rFonts w:eastAsiaTheme="minorHAnsi"/>
          <w:lang w:eastAsia="en-US"/>
        </w:rPr>
        <w:t xml:space="preserve"> Ministry of Health</w:t>
      </w:r>
    </w:p>
    <w:p w14:paraId="7394271F" w14:textId="680F1B6A" w:rsidR="007A4780" w:rsidRPr="00260D04" w:rsidRDefault="007A4780" w:rsidP="007A4780">
      <w:pPr>
        <w:pStyle w:val="References"/>
        <w:rPr>
          <w:rFonts w:eastAsiaTheme="minorHAnsi"/>
          <w:lang w:eastAsia="en-US"/>
        </w:rPr>
      </w:pPr>
      <w:proofErr w:type="spellStart"/>
      <w:r>
        <w:rPr>
          <w:rFonts w:eastAsiaTheme="minorHAnsi"/>
          <w:lang w:val="mi-NZ" w:eastAsia="en-US"/>
        </w:rPr>
        <w:t>Ministry</w:t>
      </w:r>
      <w:proofErr w:type="spellEnd"/>
      <w:r>
        <w:rPr>
          <w:rFonts w:eastAsiaTheme="minorHAnsi"/>
          <w:lang w:val="mi-NZ" w:eastAsia="en-US"/>
        </w:rPr>
        <w:t xml:space="preserve"> </w:t>
      </w:r>
      <w:proofErr w:type="spellStart"/>
      <w:r>
        <w:rPr>
          <w:rFonts w:eastAsiaTheme="minorHAnsi"/>
          <w:lang w:val="mi-NZ" w:eastAsia="en-US"/>
        </w:rPr>
        <w:t>of</w:t>
      </w:r>
      <w:proofErr w:type="spellEnd"/>
      <w:r>
        <w:rPr>
          <w:rFonts w:eastAsiaTheme="minorHAnsi"/>
          <w:lang w:val="mi-NZ" w:eastAsia="en-US"/>
        </w:rPr>
        <w:t xml:space="preserve"> </w:t>
      </w:r>
      <w:proofErr w:type="spellStart"/>
      <w:r>
        <w:rPr>
          <w:rFonts w:eastAsiaTheme="minorHAnsi"/>
          <w:lang w:val="mi-NZ" w:eastAsia="en-US"/>
        </w:rPr>
        <w:t>Health</w:t>
      </w:r>
      <w:proofErr w:type="spellEnd"/>
      <w:r w:rsidRPr="000B50E3">
        <w:rPr>
          <w:rFonts w:eastAsiaTheme="minorHAnsi"/>
          <w:lang w:val="mi-NZ" w:eastAsia="en-US"/>
        </w:rPr>
        <w:t>. 2002</w:t>
      </w:r>
      <w:r w:rsidR="00CC5FDE">
        <w:rPr>
          <w:rFonts w:eastAsiaTheme="minorHAnsi"/>
          <w:lang w:val="mi-NZ" w:eastAsia="en-US"/>
        </w:rPr>
        <w:t>a</w:t>
      </w:r>
      <w:r w:rsidRPr="000B50E3">
        <w:rPr>
          <w:rFonts w:eastAsiaTheme="minorHAnsi"/>
          <w:lang w:val="mi-NZ" w:eastAsia="en-US"/>
        </w:rPr>
        <w:t xml:space="preserve">. </w:t>
      </w:r>
      <w:r w:rsidRPr="000B50E3">
        <w:rPr>
          <w:rFonts w:eastAsiaTheme="minorHAnsi"/>
          <w:i/>
          <w:lang w:val="mi-NZ" w:eastAsia="en-US"/>
        </w:rPr>
        <w:t xml:space="preserve">He Korowai Oranga: Māori </w:t>
      </w:r>
      <w:proofErr w:type="spellStart"/>
      <w:r w:rsidRPr="000B50E3">
        <w:rPr>
          <w:rFonts w:eastAsiaTheme="minorHAnsi"/>
          <w:i/>
          <w:lang w:val="mi-NZ" w:eastAsia="en-US"/>
        </w:rPr>
        <w:t>Health</w:t>
      </w:r>
      <w:proofErr w:type="spellEnd"/>
      <w:r w:rsidRPr="000B50E3">
        <w:rPr>
          <w:rFonts w:eastAsiaTheme="minorHAnsi"/>
          <w:i/>
          <w:lang w:val="mi-NZ" w:eastAsia="en-US"/>
        </w:rPr>
        <w:t xml:space="preserve"> </w:t>
      </w:r>
      <w:proofErr w:type="spellStart"/>
      <w:r w:rsidRPr="000B50E3">
        <w:rPr>
          <w:rFonts w:eastAsiaTheme="minorHAnsi"/>
          <w:i/>
          <w:lang w:val="mi-NZ" w:eastAsia="en-US"/>
        </w:rPr>
        <w:t>Strategy</w:t>
      </w:r>
      <w:proofErr w:type="spellEnd"/>
      <w:r w:rsidRPr="000B50E3">
        <w:rPr>
          <w:rFonts w:eastAsiaTheme="minorHAnsi"/>
          <w:lang w:val="mi-NZ" w:eastAsia="en-US"/>
        </w:rPr>
        <w:t xml:space="preserve">. </w:t>
      </w:r>
      <w:proofErr w:type="spellStart"/>
      <w:r w:rsidRPr="000B50E3">
        <w:rPr>
          <w:rFonts w:eastAsiaTheme="minorHAnsi"/>
          <w:lang w:val="mi-NZ" w:eastAsia="en-US"/>
        </w:rPr>
        <w:t>Wellington</w:t>
      </w:r>
      <w:proofErr w:type="spellEnd"/>
      <w:r w:rsidRPr="000B50E3">
        <w:rPr>
          <w:rFonts w:eastAsiaTheme="minorHAnsi"/>
          <w:lang w:val="mi-NZ" w:eastAsia="en-US"/>
        </w:rPr>
        <w:t xml:space="preserve">: </w:t>
      </w:r>
      <w:proofErr w:type="spellStart"/>
      <w:r w:rsidRPr="000B50E3">
        <w:rPr>
          <w:rFonts w:eastAsiaTheme="minorHAnsi"/>
          <w:lang w:val="mi-NZ" w:eastAsia="en-US"/>
        </w:rPr>
        <w:t>Ministry</w:t>
      </w:r>
      <w:proofErr w:type="spellEnd"/>
      <w:r w:rsidRPr="000B50E3">
        <w:rPr>
          <w:rFonts w:eastAsiaTheme="minorHAnsi"/>
          <w:lang w:val="mi-NZ" w:eastAsia="en-US"/>
        </w:rPr>
        <w:t xml:space="preserve"> </w:t>
      </w:r>
      <w:proofErr w:type="spellStart"/>
      <w:r w:rsidRPr="000B50E3">
        <w:rPr>
          <w:rFonts w:eastAsiaTheme="minorHAnsi"/>
          <w:lang w:val="mi-NZ" w:eastAsia="en-US"/>
        </w:rPr>
        <w:t>of</w:t>
      </w:r>
      <w:proofErr w:type="spellEnd"/>
      <w:r w:rsidRPr="000B50E3">
        <w:rPr>
          <w:rFonts w:eastAsiaTheme="minorHAnsi"/>
          <w:lang w:val="mi-NZ" w:eastAsia="en-US"/>
        </w:rPr>
        <w:t xml:space="preserve"> </w:t>
      </w:r>
      <w:proofErr w:type="spellStart"/>
      <w:r w:rsidRPr="000B50E3">
        <w:rPr>
          <w:rFonts w:eastAsiaTheme="minorHAnsi"/>
          <w:lang w:val="mi-NZ" w:eastAsia="en-US"/>
        </w:rPr>
        <w:t>Health</w:t>
      </w:r>
      <w:proofErr w:type="spellEnd"/>
      <w:r w:rsidRPr="000B50E3">
        <w:rPr>
          <w:rFonts w:eastAsiaTheme="minorHAnsi"/>
          <w:lang w:val="mi-NZ" w:eastAsia="en-US"/>
        </w:rPr>
        <w:t xml:space="preserve">. URL: </w:t>
      </w:r>
      <w:hyperlink r:id="rId45" w:history="1">
        <w:r w:rsidRPr="0092763E">
          <w:rPr>
            <w:rStyle w:val="Hyperlink"/>
            <w:rFonts w:eastAsiaTheme="minorHAnsi" w:cstheme="minorBidi"/>
            <w:szCs w:val="22"/>
            <w:lang w:val="mi-NZ"/>
          </w:rPr>
          <w:t>www.health.govt.nz/system/files/documents/publications/mhs-english.pdf</w:t>
        </w:r>
      </w:hyperlink>
      <w:r w:rsidRPr="000B50E3">
        <w:rPr>
          <w:rFonts w:eastAsiaTheme="minorHAnsi"/>
          <w:lang w:val="mi-NZ" w:eastAsia="en-US"/>
        </w:rPr>
        <w:t xml:space="preserve"> </w:t>
      </w:r>
      <w:r w:rsidRPr="00260D04">
        <w:rPr>
          <w:rFonts w:eastAsiaTheme="minorHAnsi"/>
          <w:lang w:eastAsia="en-US"/>
        </w:rPr>
        <w:t>(accessed 25 July 2018).</w:t>
      </w:r>
    </w:p>
    <w:p w14:paraId="15ADBC9C" w14:textId="5D1366E6" w:rsidR="007A4780" w:rsidRDefault="007A4780" w:rsidP="007A4780">
      <w:pPr>
        <w:pStyle w:val="References"/>
        <w:rPr>
          <w:rFonts w:eastAsiaTheme="minorHAnsi"/>
          <w:lang w:eastAsia="en-US"/>
        </w:rPr>
      </w:pPr>
      <w:r w:rsidRPr="000B50E3">
        <w:rPr>
          <w:rFonts w:eastAsiaTheme="minorHAnsi"/>
          <w:lang w:eastAsia="en-US"/>
        </w:rPr>
        <w:t>Ministry of Health. 2002</w:t>
      </w:r>
      <w:r>
        <w:rPr>
          <w:rFonts w:eastAsiaTheme="minorHAnsi"/>
          <w:lang w:eastAsia="en-US"/>
        </w:rPr>
        <w:t>b</w:t>
      </w:r>
      <w:r w:rsidRPr="000B50E3">
        <w:rPr>
          <w:rFonts w:eastAsiaTheme="minorHAnsi"/>
          <w:lang w:eastAsia="en-US"/>
        </w:rPr>
        <w:t xml:space="preserve">. </w:t>
      </w:r>
      <w:r w:rsidRPr="000B50E3">
        <w:rPr>
          <w:rFonts w:eastAsiaTheme="minorHAnsi"/>
          <w:i/>
          <w:lang w:eastAsia="en-US"/>
        </w:rPr>
        <w:t>Reducing Inequalities in Health</w:t>
      </w:r>
      <w:r w:rsidRPr="000B50E3">
        <w:rPr>
          <w:rFonts w:eastAsiaTheme="minorHAnsi"/>
          <w:lang w:eastAsia="en-US"/>
        </w:rPr>
        <w:t xml:space="preserve">. URL: </w:t>
      </w:r>
      <w:hyperlink r:id="rId46" w:history="1">
        <w:r w:rsidRPr="0092763E">
          <w:rPr>
            <w:rStyle w:val="Hyperlink"/>
            <w:rFonts w:eastAsiaTheme="minorHAnsi" w:cstheme="minorBidi"/>
            <w:szCs w:val="22"/>
          </w:rPr>
          <w:t>www.health.govt.nz/publication/reducing-inequalities-health</w:t>
        </w:r>
      </w:hyperlink>
      <w:r w:rsidRPr="000B50E3">
        <w:rPr>
          <w:rFonts w:eastAsiaTheme="minorHAnsi"/>
          <w:lang w:eastAsia="en-US"/>
        </w:rPr>
        <w:t xml:space="preserve"> </w:t>
      </w:r>
      <w:r w:rsidRPr="00260D04">
        <w:rPr>
          <w:rFonts w:eastAsiaTheme="minorHAnsi"/>
          <w:lang w:eastAsia="en-US"/>
        </w:rPr>
        <w:t>(accessed 24 July 2017).</w:t>
      </w:r>
    </w:p>
    <w:p w14:paraId="4C5F7845" w14:textId="2E7A0339" w:rsidR="00CC5FDE" w:rsidRPr="00260D04" w:rsidRDefault="00CC5FDE" w:rsidP="00CC5FDE">
      <w:pPr>
        <w:pStyle w:val="References"/>
        <w:rPr>
          <w:rFonts w:eastAsiaTheme="minorHAnsi"/>
          <w:lang w:eastAsia="en-US"/>
        </w:rPr>
      </w:pPr>
      <w:r>
        <w:rPr>
          <w:rFonts w:eastAsiaTheme="minorHAnsi"/>
          <w:lang w:eastAsia="en-US"/>
        </w:rPr>
        <w:t xml:space="preserve">Ministry of Health. 2002c. </w:t>
      </w:r>
      <w:proofErr w:type="spellStart"/>
      <w:r w:rsidRPr="00CC5FDE">
        <w:rPr>
          <w:rFonts w:eastAsiaTheme="minorHAnsi"/>
          <w:i/>
          <w:lang w:eastAsia="en-US"/>
        </w:rPr>
        <w:t>Whakatātaka</w:t>
      </w:r>
      <w:proofErr w:type="spellEnd"/>
      <w:r w:rsidRPr="00CC5FDE">
        <w:rPr>
          <w:rFonts w:eastAsiaTheme="minorHAnsi"/>
          <w:i/>
          <w:lang w:eastAsia="en-US"/>
        </w:rPr>
        <w:t>: Māori Health Action Plan 2002–2005</w:t>
      </w:r>
      <w:r>
        <w:rPr>
          <w:rFonts w:eastAsiaTheme="minorHAnsi"/>
          <w:lang w:eastAsia="en-US"/>
        </w:rPr>
        <w:t>. Wellington. Ministry of Health.</w:t>
      </w:r>
    </w:p>
    <w:p w14:paraId="45297953" w14:textId="77777777" w:rsidR="007A4780" w:rsidRPr="00260D04" w:rsidRDefault="007A4780" w:rsidP="007A4780">
      <w:pPr>
        <w:pStyle w:val="References"/>
        <w:rPr>
          <w:rFonts w:eastAsiaTheme="minorHAnsi"/>
          <w:lang w:eastAsia="en-US"/>
        </w:rPr>
      </w:pPr>
      <w:r w:rsidRPr="00260D04">
        <w:rPr>
          <w:rFonts w:eastAsiaTheme="minorHAnsi"/>
          <w:lang w:eastAsia="en-US"/>
        </w:rPr>
        <w:t xml:space="preserve">Ministry of Health. 20o4. </w:t>
      </w:r>
      <w:r w:rsidRPr="00260D04">
        <w:rPr>
          <w:rFonts w:eastAsiaTheme="minorHAnsi"/>
          <w:i/>
          <w:lang w:eastAsia="en-US"/>
        </w:rPr>
        <w:t>A Health Equity Assessment Tool (Equity Lens) for Tackling Inequalities in Health</w:t>
      </w:r>
      <w:r w:rsidRPr="00260D04">
        <w:rPr>
          <w:rFonts w:eastAsiaTheme="minorHAnsi"/>
          <w:lang w:eastAsia="en-US"/>
        </w:rPr>
        <w:t xml:space="preserve">. URL: </w:t>
      </w:r>
      <w:hyperlink r:id="rId47" w:history="1">
        <w:r w:rsidRPr="00260D04">
          <w:rPr>
            <w:rStyle w:val="Hyperlink"/>
            <w:rFonts w:eastAsiaTheme="minorHAnsi" w:cstheme="minorBidi"/>
            <w:szCs w:val="22"/>
          </w:rPr>
          <w:t>www.health.govt.nz/publication/health-equity-assessment-tool-equity-lens-tackling-inequalities-health</w:t>
        </w:r>
      </w:hyperlink>
      <w:r w:rsidRPr="00260D04">
        <w:rPr>
          <w:rFonts w:eastAsiaTheme="minorHAnsi"/>
          <w:lang w:eastAsia="en-US"/>
        </w:rPr>
        <w:t xml:space="preserve"> (accessed 24 July 2018).</w:t>
      </w:r>
    </w:p>
    <w:p w14:paraId="63203805" w14:textId="77777777" w:rsidR="007A4780" w:rsidRPr="00260D04" w:rsidRDefault="007A4780" w:rsidP="007A4780">
      <w:pPr>
        <w:pStyle w:val="References"/>
        <w:rPr>
          <w:rFonts w:eastAsiaTheme="minorHAnsi"/>
          <w:lang w:eastAsia="en-US"/>
        </w:rPr>
      </w:pPr>
      <w:r w:rsidRPr="00260D04">
        <w:rPr>
          <w:rFonts w:eastAsiaTheme="minorHAnsi"/>
          <w:lang w:eastAsia="en-US"/>
        </w:rPr>
        <w:t xml:space="preserve">Ministry of Health. 2007. </w:t>
      </w:r>
      <w:r w:rsidRPr="00260D04">
        <w:rPr>
          <w:rFonts w:eastAsiaTheme="minorHAnsi"/>
          <w:i/>
          <w:lang w:eastAsia="en-US"/>
        </w:rPr>
        <w:t>Whānau Ora Health Impact Assessment</w:t>
      </w:r>
      <w:r w:rsidRPr="00260D04">
        <w:rPr>
          <w:rFonts w:eastAsiaTheme="minorHAnsi"/>
          <w:lang w:eastAsia="en-US"/>
        </w:rPr>
        <w:t xml:space="preserve">. Wellington, New Zealand: Ministry of Health. URL: </w:t>
      </w:r>
      <w:hyperlink r:id="rId48" w:history="1">
        <w:r w:rsidRPr="00260D04">
          <w:rPr>
            <w:rStyle w:val="Hyperlink"/>
            <w:rFonts w:eastAsiaTheme="minorHAnsi" w:cstheme="minorBidi"/>
            <w:szCs w:val="22"/>
          </w:rPr>
          <w:t>www.health.govt.nz/system/files/documents/publications/whanau-ora-hia-2007.pdf</w:t>
        </w:r>
      </w:hyperlink>
      <w:r w:rsidRPr="00260D04">
        <w:rPr>
          <w:rFonts w:eastAsiaTheme="minorHAnsi"/>
          <w:lang w:eastAsia="en-US"/>
        </w:rPr>
        <w:t xml:space="preserve"> (accessed 2 August 2018).</w:t>
      </w:r>
    </w:p>
    <w:p w14:paraId="661213F8" w14:textId="77777777" w:rsidR="007A4780" w:rsidRDefault="007A4780" w:rsidP="007A4780">
      <w:pPr>
        <w:pStyle w:val="References"/>
        <w:rPr>
          <w:rFonts w:eastAsiaTheme="minorHAnsi"/>
          <w:lang w:eastAsia="en-US"/>
        </w:rPr>
      </w:pPr>
      <w:r w:rsidRPr="00260D04">
        <w:rPr>
          <w:rFonts w:eastAsiaTheme="minorHAnsi"/>
          <w:lang w:eastAsia="en-US"/>
        </w:rPr>
        <w:t xml:space="preserve">Ministry of Health. 2011. </w:t>
      </w:r>
      <w:r w:rsidRPr="00260D04">
        <w:rPr>
          <w:rFonts w:eastAsiaTheme="minorHAnsi"/>
          <w:i/>
          <w:lang w:eastAsia="en-US"/>
        </w:rPr>
        <w:t>Targeting Immunisation: Increased immunisation</w:t>
      </w:r>
      <w:r w:rsidRPr="00260D04">
        <w:rPr>
          <w:rFonts w:eastAsiaTheme="minorHAnsi"/>
          <w:lang w:eastAsia="en-US"/>
        </w:rPr>
        <w:t xml:space="preserve">. Wellington: Ministry of Health. URL: </w:t>
      </w:r>
      <w:hyperlink r:id="rId49" w:history="1">
        <w:r w:rsidRPr="00260D04">
          <w:rPr>
            <w:rStyle w:val="Hyperlink"/>
            <w:rFonts w:eastAsiaTheme="minorHAnsi" w:cstheme="minorBidi"/>
            <w:szCs w:val="22"/>
          </w:rPr>
          <w:t>www.health.govt.nz/system/files/documents/publications/targeting-immunisation-health-target.pdf</w:t>
        </w:r>
      </w:hyperlink>
      <w:r w:rsidRPr="00260D04">
        <w:rPr>
          <w:rFonts w:eastAsiaTheme="minorHAnsi"/>
          <w:lang w:eastAsia="en-US"/>
        </w:rPr>
        <w:t xml:space="preserve"> (accessed 25 July 2018).</w:t>
      </w:r>
    </w:p>
    <w:p w14:paraId="5FDFE4D9" w14:textId="2CB16BA7" w:rsidR="004F6B9D" w:rsidRDefault="004F6B9D" w:rsidP="007A4780">
      <w:pPr>
        <w:pStyle w:val="References"/>
        <w:rPr>
          <w:noProof/>
        </w:rPr>
      </w:pPr>
      <w:r w:rsidRPr="00CA63D0">
        <w:t xml:space="preserve">Ministry of Health. 2015. </w:t>
      </w:r>
      <w:r w:rsidRPr="00CA63D0">
        <w:rPr>
          <w:i/>
        </w:rPr>
        <w:t xml:space="preserve">Tatau </w:t>
      </w:r>
      <w:proofErr w:type="spellStart"/>
      <w:r w:rsidRPr="00CA63D0">
        <w:rPr>
          <w:i/>
        </w:rPr>
        <w:t>Kahukura</w:t>
      </w:r>
      <w:proofErr w:type="spellEnd"/>
      <w:r w:rsidRPr="00CA63D0">
        <w:rPr>
          <w:i/>
        </w:rPr>
        <w:t xml:space="preserve">: Māori Health Chart Book 2015 </w:t>
      </w:r>
      <w:r w:rsidRPr="00CA63D0">
        <w:t>(</w:t>
      </w:r>
      <w:r>
        <w:t xml:space="preserve">3rd </w:t>
      </w:r>
      <w:r w:rsidRPr="00CA63D0">
        <w:t>edition). Wellington: Ministry of Health.</w:t>
      </w:r>
    </w:p>
    <w:p w14:paraId="5E951078" w14:textId="53222485" w:rsidR="007A4780" w:rsidRDefault="007A4780" w:rsidP="007A4780">
      <w:pPr>
        <w:pStyle w:val="References"/>
        <w:rPr>
          <w:noProof/>
        </w:rPr>
      </w:pPr>
      <w:r>
        <w:rPr>
          <w:noProof/>
        </w:rPr>
        <w:t xml:space="preserve">Ministry of Health. 2016. </w:t>
      </w:r>
      <w:r>
        <w:rPr>
          <w:i/>
          <w:iCs/>
          <w:noProof/>
        </w:rPr>
        <w:t>New Zealand Health Strategy: Future direction.</w:t>
      </w:r>
      <w:r>
        <w:rPr>
          <w:noProof/>
        </w:rPr>
        <w:t xml:space="preserve"> Wellington: Ministry of Health.</w:t>
      </w:r>
    </w:p>
    <w:p w14:paraId="17A5C3B5" w14:textId="77777777" w:rsidR="007A4780" w:rsidRDefault="007A4780" w:rsidP="007A4780">
      <w:pPr>
        <w:pStyle w:val="References"/>
        <w:rPr>
          <w:noProof/>
        </w:rPr>
      </w:pPr>
      <w:r>
        <w:rPr>
          <w:noProof/>
        </w:rPr>
        <w:t xml:space="preserve">Ministry of Health. 2017. </w:t>
      </w:r>
      <w:r>
        <w:rPr>
          <w:i/>
          <w:iCs/>
          <w:noProof/>
        </w:rPr>
        <w:t>Statement of Strategic Intentions 2017–2021.</w:t>
      </w:r>
      <w:r>
        <w:rPr>
          <w:noProof/>
        </w:rPr>
        <w:t xml:space="preserve"> Wellington: Ministry of Health.</w:t>
      </w:r>
    </w:p>
    <w:p w14:paraId="4D51B0BF" w14:textId="77777777" w:rsidR="007A4780" w:rsidRPr="00260D04" w:rsidRDefault="007A4780" w:rsidP="007A4780">
      <w:pPr>
        <w:pStyle w:val="References"/>
        <w:rPr>
          <w:rFonts w:eastAsiaTheme="minorHAnsi"/>
          <w:lang w:eastAsia="en-US"/>
        </w:rPr>
      </w:pPr>
      <w:r w:rsidRPr="00260D04">
        <w:rPr>
          <w:rFonts w:eastAsiaTheme="minorHAnsi"/>
          <w:lang w:eastAsia="en-US"/>
        </w:rPr>
        <w:t>Ministry of Health. 2018</w:t>
      </w:r>
      <w:r>
        <w:rPr>
          <w:rFonts w:eastAsiaTheme="minorHAnsi"/>
          <w:lang w:eastAsia="en-US"/>
        </w:rPr>
        <w:t>a</w:t>
      </w:r>
      <w:r w:rsidRPr="00260D04">
        <w:rPr>
          <w:rFonts w:eastAsiaTheme="minorHAnsi"/>
          <w:lang w:eastAsia="en-US"/>
        </w:rPr>
        <w:t xml:space="preserve">. </w:t>
      </w:r>
      <w:r w:rsidRPr="00260D04">
        <w:rPr>
          <w:rFonts w:eastAsiaTheme="minorHAnsi"/>
          <w:i/>
          <w:lang w:eastAsia="en-US"/>
        </w:rPr>
        <w:t>Rheumatic Fever</w:t>
      </w:r>
      <w:r w:rsidRPr="00260D04">
        <w:rPr>
          <w:rFonts w:eastAsiaTheme="minorHAnsi"/>
          <w:lang w:eastAsia="en-US"/>
        </w:rPr>
        <w:t xml:space="preserve">. URL: </w:t>
      </w:r>
      <w:hyperlink r:id="rId50" w:history="1">
        <w:r w:rsidRPr="00260D04">
          <w:rPr>
            <w:rStyle w:val="Hyperlink"/>
            <w:rFonts w:eastAsiaTheme="minorHAnsi" w:cstheme="minorBidi"/>
            <w:szCs w:val="22"/>
          </w:rPr>
          <w:t>www.health.govt.nz/our-work/diseases-and-conditions/rheumatic-fever</w:t>
        </w:r>
      </w:hyperlink>
      <w:r w:rsidRPr="00260D04">
        <w:rPr>
          <w:rFonts w:eastAsiaTheme="minorHAnsi"/>
          <w:lang w:eastAsia="en-US"/>
        </w:rPr>
        <w:t xml:space="preserve"> (accessed 25 July 2018).</w:t>
      </w:r>
    </w:p>
    <w:p w14:paraId="51F67FDA" w14:textId="77777777" w:rsidR="007A4780" w:rsidRDefault="007A4780" w:rsidP="007A4780">
      <w:pPr>
        <w:pStyle w:val="References"/>
        <w:rPr>
          <w:rFonts w:eastAsiaTheme="minorHAnsi"/>
          <w:lang w:eastAsia="en-US"/>
        </w:rPr>
      </w:pPr>
      <w:r w:rsidRPr="00260D04">
        <w:rPr>
          <w:rFonts w:eastAsiaTheme="minorHAnsi"/>
          <w:lang w:eastAsia="en-US"/>
        </w:rPr>
        <w:t>Ministry of Health. 2018</w:t>
      </w:r>
      <w:r>
        <w:rPr>
          <w:rFonts w:eastAsiaTheme="minorHAnsi"/>
          <w:lang w:eastAsia="en-US"/>
        </w:rPr>
        <w:t>b</w:t>
      </w:r>
      <w:r w:rsidRPr="00260D04">
        <w:rPr>
          <w:rFonts w:eastAsiaTheme="minorHAnsi"/>
          <w:lang w:eastAsia="en-US"/>
        </w:rPr>
        <w:t xml:space="preserve">. </w:t>
      </w:r>
      <w:r w:rsidRPr="00260D04">
        <w:rPr>
          <w:rFonts w:eastAsiaTheme="minorHAnsi"/>
          <w:i/>
          <w:lang w:eastAsia="en-US"/>
        </w:rPr>
        <w:t>System Level Measures Framework</w:t>
      </w:r>
      <w:r w:rsidRPr="00260D04">
        <w:rPr>
          <w:rFonts w:eastAsiaTheme="minorHAnsi"/>
          <w:lang w:eastAsia="en-US"/>
        </w:rPr>
        <w:t xml:space="preserve">. URL </w:t>
      </w:r>
      <w:hyperlink r:id="rId51" w:history="1">
        <w:r w:rsidRPr="00260D04">
          <w:rPr>
            <w:rStyle w:val="Hyperlink"/>
            <w:rFonts w:eastAsiaTheme="minorHAnsi" w:cstheme="minorBidi"/>
            <w:szCs w:val="22"/>
          </w:rPr>
          <w:t>www.health.govt.nz/new-zealand-health-system/system-level-measures-framework</w:t>
        </w:r>
      </w:hyperlink>
      <w:r w:rsidRPr="00260D04">
        <w:rPr>
          <w:rFonts w:eastAsiaTheme="minorHAnsi"/>
          <w:lang w:eastAsia="en-US"/>
        </w:rPr>
        <w:t xml:space="preserve"> (accessed 25 July 2018).</w:t>
      </w:r>
    </w:p>
    <w:p w14:paraId="7893C0AF" w14:textId="2A941B13" w:rsidR="007A4780" w:rsidRDefault="007A4780" w:rsidP="007A4780">
      <w:pPr>
        <w:pStyle w:val="References"/>
        <w:rPr>
          <w:noProof/>
        </w:rPr>
      </w:pPr>
      <w:r>
        <w:rPr>
          <w:noProof/>
        </w:rPr>
        <w:t xml:space="preserve">Ministry of Health. 2018c. </w:t>
      </w:r>
      <w:r>
        <w:rPr>
          <w:i/>
          <w:iCs/>
          <w:noProof/>
        </w:rPr>
        <w:t>Life Expectancy</w:t>
      </w:r>
      <w:r>
        <w:rPr>
          <w:noProof/>
        </w:rPr>
        <w:t xml:space="preserve">. Retrieved 22 March 2019 from Ministry of Health: </w:t>
      </w:r>
      <w:r w:rsidRPr="005222E9">
        <w:rPr>
          <w:rStyle w:val="Hyperlink"/>
        </w:rPr>
        <w:t>https://www.health.govt.nz/our-work/populations/</w:t>
      </w:r>
      <w:r w:rsidR="00281A2B">
        <w:rPr>
          <w:rStyle w:val="Hyperlink"/>
        </w:rPr>
        <w:t>Māori</w:t>
      </w:r>
      <w:r w:rsidRPr="005222E9">
        <w:rPr>
          <w:rStyle w:val="Hyperlink"/>
        </w:rPr>
        <w:t>-health/tatau-kahukura-</w:t>
      </w:r>
      <w:r w:rsidR="00281A2B">
        <w:rPr>
          <w:rStyle w:val="Hyperlink"/>
        </w:rPr>
        <w:t>Māori</w:t>
      </w:r>
      <w:r w:rsidRPr="005222E9">
        <w:rPr>
          <w:rStyle w:val="Hyperlink"/>
        </w:rPr>
        <w:t>-health-statistics/nga-mana-hauora-tutohu-health-status-indicators/life-expectancy</w:t>
      </w:r>
    </w:p>
    <w:p w14:paraId="5753E864" w14:textId="77777777" w:rsidR="007A4780" w:rsidRDefault="007A4780" w:rsidP="007A4780">
      <w:pPr>
        <w:pStyle w:val="References"/>
        <w:rPr>
          <w:noProof/>
        </w:rPr>
      </w:pPr>
      <w:r>
        <w:rPr>
          <w:noProof/>
        </w:rPr>
        <w:t xml:space="preserve">Ministry of Health. 2018d. </w:t>
      </w:r>
      <w:r>
        <w:rPr>
          <w:i/>
          <w:iCs/>
          <w:noProof/>
        </w:rPr>
        <w:t>Annual Report for the year ended 30 June 2018.</w:t>
      </w:r>
      <w:r>
        <w:rPr>
          <w:noProof/>
        </w:rPr>
        <w:t xml:space="preserve"> Wellington: Ministry of Health.</w:t>
      </w:r>
    </w:p>
    <w:p w14:paraId="4907370B" w14:textId="77777777" w:rsidR="007A4780" w:rsidRDefault="007A4780" w:rsidP="007A4780">
      <w:pPr>
        <w:pStyle w:val="References"/>
        <w:keepLines/>
        <w:rPr>
          <w:noProof/>
        </w:rPr>
      </w:pPr>
      <w:r>
        <w:rPr>
          <w:noProof/>
        </w:rPr>
        <w:t xml:space="preserve">Ministry of Health. 2018e. </w:t>
      </w:r>
      <w:r>
        <w:rPr>
          <w:i/>
          <w:iCs/>
          <w:noProof/>
        </w:rPr>
        <w:t>Changes to the Ministry’s Second-tier Structure.</w:t>
      </w:r>
      <w:r>
        <w:rPr>
          <w:noProof/>
        </w:rPr>
        <w:t xml:space="preserve"> Retrieved 25 March 2019 from Ministry of Health: </w:t>
      </w:r>
      <w:r w:rsidRPr="005222E9">
        <w:rPr>
          <w:rStyle w:val="Hyperlink"/>
        </w:rPr>
        <w:t>https://www.health.govt.nz/about-ministry/leadership-ministry/executive-leadership-team/changes-ministrys-second-tier-structure</w:t>
      </w:r>
    </w:p>
    <w:p w14:paraId="34D77E5C" w14:textId="77777777" w:rsidR="007A4780" w:rsidRDefault="007A4780" w:rsidP="007A4780">
      <w:pPr>
        <w:pStyle w:val="References"/>
        <w:rPr>
          <w:noProof/>
        </w:rPr>
      </w:pPr>
      <w:r>
        <w:rPr>
          <w:noProof/>
        </w:rPr>
        <w:t xml:space="preserve">Ministry of Health. 2018f. </w:t>
      </w:r>
      <w:r>
        <w:rPr>
          <w:i/>
          <w:iCs/>
          <w:noProof/>
        </w:rPr>
        <w:t>Achieving Equity in Health Outcomes: Highlights of important national and international papers.</w:t>
      </w:r>
      <w:r>
        <w:rPr>
          <w:noProof/>
        </w:rPr>
        <w:t xml:space="preserve"> Wellington: Ministry of Health.</w:t>
      </w:r>
    </w:p>
    <w:p w14:paraId="4A174F56" w14:textId="2B59978C" w:rsidR="007A4780" w:rsidRDefault="007A4780" w:rsidP="007A4780">
      <w:pPr>
        <w:pStyle w:val="References"/>
        <w:rPr>
          <w:noProof/>
        </w:rPr>
      </w:pPr>
      <w:r>
        <w:rPr>
          <w:noProof/>
        </w:rPr>
        <w:lastRenderedPageBreak/>
        <w:t xml:space="preserve">Ministry of Health. 2018g. </w:t>
      </w:r>
      <w:r>
        <w:rPr>
          <w:i/>
          <w:iCs/>
          <w:noProof/>
        </w:rPr>
        <w:t>Wai 2575 Health Services and Outcomes Kaupapa Inquiry</w:t>
      </w:r>
      <w:r>
        <w:rPr>
          <w:noProof/>
        </w:rPr>
        <w:t xml:space="preserve">. Retrieved 25 March 2019 from Ministry of Health: </w:t>
      </w:r>
      <w:r w:rsidRPr="005222E9">
        <w:rPr>
          <w:rStyle w:val="Hyperlink"/>
        </w:rPr>
        <w:t>https://www.health.govt.nz/our-work/populations/</w:t>
      </w:r>
      <w:r w:rsidR="00281A2B">
        <w:rPr>
          <w:rStyle w:val="Hyperlink"/>
        </w:rPr>
        <w:t>Māori</w:t>
      </w:r>
      <w:r w:rsidRPr="005222E9">
        <w:rPr>
          <w:rStyle w:val="Hyperlink"/>
        </w:rPr>
        <w:t>-health/wai-2575-health-services-and-outcomes-kaupapa-inquiry</w:t>
      </w:r>
    </w:p>
    <w:p w14:paraId="7B4B6DC1" w14:textId="51354949" w:rsidR="007A4780" w:rsidRDefault="007A4780" w:rsidP="007A4780">
      <w:pPr>
        <w:pStyle w:val="References"/>
        <w:rPr>
          <w:noProof/>
        </w:rPr>
      </w:pPr>
      <w:r>
        <w:rPr>
          <w:noProof/>
        </w:rPr>
        <w:t xml:space="preserve">Ministry of Health. 2018h. </w:t>
      </w:r>
      <w:r>
        <w:rPr>
          <w:i/>
          <w:iCs/>
          <w:noProof/>
        </w:rPr>
        <w:t>He Korowai Oranga</w:t>
      </w:r>
      <w:r>
        <w:rPr>
          <w:noProof/>
        </w:rPr>
        <w:t xml:space="preserve">. Retrieved 25 March 2019 from Ministry of Health: </w:t>
      </w:r>
      <w:r w:rsidRPr="005222E9">
        <w:rPr>
          <w:rStyle w:val="Hyperlink"/>
        </w:rPr>
        <w:t>https://www.health.govt.nz/our-work/populations/</w:t>
      </w:r>
      <w:r w:rsidR="00281A2B">
        <w:rPr>
          <w:rStyle w:val="Hyperlink"/>
        </w:rPr>
        <w:t>Māori</w:t>
      </w:r>
      <w:r w:rsidRPr="005222E9">
        <w:rPr>
          <w:rStyle w:val="Hyperlink"/>
        </w:rPr>
        <w:t>-health/he-korowai-oranga</w:t>
      </w:r>
    </w:p>
    <w:p w14:paraId="17BE8B50" w14:textId="77777777" w:rsidR="007A4780" w:rsidRDefault="007A4780" w:rsidP="007A4780">
      <w:pPr>
        <w:pStyle w:val="References"/>
        <w:rPr>
          <w:noProof/>
        </w:rPr>
      </w:pPr>
      <w:r>
        <w:rPr>
          <w:noProof/>
        </w:rPr>
        <w:t xml:space="preserve">Ministry of Health. 2018i. </w:t>
      </w:r>
      <w:r>
        <w:rPr>
          <w:i/>
          <w:iCs/>
          <w:noProof/>
        </w:rPr>
        <w:t>Health and Independence Report 2017. The Director-General of Health’s Annual Report on the State of Public Health.</w:t>
      </w:r>
      <w:r>
        <w:rPr>
          <w:noProof/>
        </w:rPr>
        <w:t xml:space="preserve"> Wellington: Ministry of Health.</w:t>
      </w:r>
    </w:p>
    <w:p w14:paraId="03F33BD5" w14:textId="77777777" w:rsidR="007A4780" w:rsidRDefault="007A4780" w:rsidP="007A4780">
      <w:pPr>
        <w:pStyle w:val="References"/>
        <w:rPr>
          <w:noProof/>
        </w:rPr>
      </w:pPr>
      <w:r>
        <w:rPr>
          <w:noProof/>
        </w:rPr>
        <w:t xml:space="preserve">Ministry of Health. 2018j. </w:t>
      </w:r>
      <w:r>
        <w:rPr>
          <w:i/>
          <w:iCs/>
          <w:noProof/>
        </w:rPr>
        <w:t>System Level Measures Framework</w:t>
      </w:r>
      <w:r>
        <w:rPr>
          <w:noProof/>
        </w:rPr>
        <w:t xml:space="preserve">. Retrieved 25 March 2019 from Ministry of Health: </w:t>
      </w:r>
      <w:r w:rsidRPr="005222E9">
        <w:rPr>
          <w:rStyle w:val="Hyperlink"/>
        </w:rPr>
        <w:t>https://www.health.govt.nz/new-zealand-health-system/system-level-measures-framework</w:t>
      </w:r>
    </w:p>
    <w:p w14:paraId="254AFD99" w14:textId="77777777" w:rsidR="007A4780" w:rsidRDefault="007A4780" w:rsidP="007A4780">
      <w:pPr>
        <w:pStyle w:val="References"/>
        <w:rPr>
          <w:noProof/>
        </w:rPr>
      </w:pPr>
      <w:r>
        <w:rPr>
          <w:noProof/>
        </w:rPr>
        <w:t xml:space="preserve">Ministry of Health. 2018k. </w:t>
      </w:r>
      <w:r>
        <w:rPr>
          <w:i/>
          <w:iCs/>
          <w:noProof/>
        </w:rPr>
        <w:t>Results Based Accountability</w:t>
      </w:r>
      <w:r>
        <w:rPr>
          <w:noProof/>
        </w:rPr>
        <w:t xml:space="preserve">. Retrieved 25 March 2019 from Ministry of Health: </w:t>
      </w:r>
      <w:r w:rsidRPr="005222E9">
        <w:rPr>
          <w:rStyle w:val="Hyperlink"/>
        </w:rPr>
        <w:t>https://www.health.govt.nz/about-ministry/what-we-do/streamlined-contracting/results-based-accountability</w:t>
      </w:r>
    </w:p>
    <w:p w14:paraId="48EF984B" w14:textId="77777777" w:rsidR="007A4780" w:rsidRPr="00260D04" w:rsidRDefault="007A4780" w:rsidP="007A4780">
      <w:pPr>
        <w:pStyle w:val="References"/>
        <w:rPr>
          <w:rFonts w:eastAsiaTheme="minorHAnsi"/>
          <w:lang w:eastAsia="en-US"/>
        </w:rPr>
      </w:pPr>
      <w:r w:rsidRPr="00260D04">
        <w:rPr>
          <w:rFonts w:eastAsiaTheme="minorHAnsi"/>
          <w:lang w:eastAsia="en-US"/>
        </w:rPr>
        <w:t xml:space="preserve">Ministry of Health, </w:t>
      </w:r>
      <w:proofErr w:type="spellStart"/>
      <w:r w:rsidRPr="00260D04">
        <w:rPr>
          <w:rFonts w:eastAsiaTheme="minorHAnsi"/>
          <w:lang w:eastAsia="en-US"/>
        </w:rPr>
        <w:t>ThinkPlace</w:t>
      </w:r>
      <w:proofErr w:type="spellEnd"/>
      <w:r w:rsidRPr="00260D04">
        <w:rPr>
          <w:rFonts w:eastAsiaTheme="minorHAnsi"/>
          <w:lang w:eastAsia="en-US"/>
        </w:rPr>
        <w:t xml:space="preserve">. 2017. </w:t>
      </w:r>
      <w:r w:rsidRPr="00260D04">
        <w:rPr>
          <w:rFonts w:eastAsiaTheme="minorHAnsi"/>
          <w:i/>
          <w:lang w:eastAsia="en-US"/>
        </w:rPr>
        <w:t>Exploring Why Young Māori Women Smoke: Taking a new approach to understanding the experiences of people in our communities</w:t>
      </w:r>
      <w:r w:rsidRPr="00260D04">
        <w:rPr>
          <w:rFonts w:eastAsiaTheme="minorHAnsi"/>
          <w:lang w:eastAsia="en-US"/>
        </w:rPr>
        <w:t xml:space="preserve">. Wellington: Ministry of Health. URL: </w:t>
      </w:r>
      <w:hyperlink r:id="rId52" w:history="1">
        <w:r w:rsidRPr="00260D04">
          <w:rPr>
            <w:rStyle w:val="Hyperlink"/>
            <w:rFonts w:eastAsiaTheme="minorHAnsi" w:cstheme="minorBidi"/>
            <w:szCs w:val="22"/>
          </w:rPr>
          <w:t>www.health.govt.nz/system/files/documents/pages/exploring-why-young-Māori-women-smoke-final-10oct2017.pdf</w:t>
        </w:r>
      </w:hyperlink>
      <w:r w:rsidRPr="00260D04">
        <w:rPr>
          <w:rFonts w:eastAsiaTheme="minorHAnsi"/>
          <w:lang w:eastAsia="en-US"/>
        </w:rPr>
        <w:t xml:space="preserve"> (accessed 25 July 2018).</w:t>
      </w:r>
    </w:p>
    <w:p w14:paraId="2AB25A8D" w14:textId="77777777" w:rsidR="007A4780" w:rsidRDefault="007A4780" w:rsidP="007A4780">
      <w:pPr>
        <w:pStyle w:val="References"/>
        <w:rPr>
          <w:rStyle w:val="Hyperlink"/>
        </w:rPr>
      </w:pPr>
      <w:r>
        <w:rPr>
          <w:noProof/>
        </w:rPr>
        <w:t xml:space="preserve">Ministry of Health. 2019a. </w:t>
      </w:r>
      <w:r>
        <w:rPr>
          <w:i/>
          <w:iCs/>
          <w:noProof/>
        </w:rPr>
        <w:t>Operational Policy Framework 2019/20.</w:t>
      </w:r>
      <w:r>
        <w:rPr>
          <w:noProof/>
        </w:rPr>
        <w:t xml:space="preserve"> Retrieved 22 March 2019 from Nationwide Service Framework Library: </w:t>
      </w:r>
      <w:hyperlink r:id="rId53" w:history="1">
        <w:r w:rsidRPr="006112FA">
          <w:rPr>
            <w:rStyle w:val="Hyperlink"/>
          </w:rPr>
          <w:t>https://nsfl.health.govt.nz/accountability/operational-policy-framework-0/operational-policy-framework-201920</w:t>
        </w:r>
      </w:hyperlink>
    </w:p>
    <w:p w14:paraId="17489CE1" w14:textId="77E65F01" w:rsidR="007A4780" w:rsidRDefault="007A4780" w:rsidP="007A4780">
      <w:pPr>
        <w:pStyle w:val="References"/>
        <w:rPr>
          <w:rFonts w:cs="Segoe UI"/>
        </w:rPr>
      </w:pPr>
      <w:r w:rsidRPr="00C05132">
        <w:rPr>
          <w:rFonts w:cs="Segoe UI"/>
        </w:rPr>
        <w:t xml:space="preserve">Ministry of Health. </w:t>
      </w:r>
      <w:r>
        <w:rPr>
          <w:rFonts w:cs="Segoe UI"/>
        </w:rPr>
        <w:t>2019b</w:t>
      </w:r>
      <w:r w:rsidRPr="00C05132">
        <w:rPr>
          <w:rFonts w:cs="Segoe UI"/>
        </w:rPr>
        <w:t xml:space="preserve">. </w:t>
      </w:r>
      <w:r>
        <w:rPr>
          <w:rFonts w:cs="Segoe UI"/>
          <w:i/>
        </w:rPr>
        <w:t>Achieving Equity in Health Outcomes: Summary of a discovery process</w:t>
      </w:r>
      <w:r w:rsidRPr="00C05132">
        <w:rPr>
          <w:rFonts w:cs="Segoe UI"/>
        </w:rPr>
        <w:t>. Wellington: Ministry of Health.</w:t>
      </w:r>
    </w:p>
    <w:p w14:paraId="5BD79230" w14:textId="3297B627" w:rsidR="004F6B9D" w:rsidRDefault="004F6B9D" w:rsidP="007A4780">
      <w:pPr>
        <w:pStyle w:val="References"/>
      </w:pPr>
      <w:r w:rsidRPr="00C05132">
        <w:rPr>
          <w:rFonts w:cs="Segoe UI"/>
        </w:rPr>
        <w:t xml:space="preserve">Ministry of Health. </w:t>
      </w:r>
      <w:r>
        <w:rPr>
          <w:rFonts w:cs="Segoe UI"/>
        </w:rPr>
        <w:t>2019c.</w:t>
      </w:r>
      <w:r w:rsidRPr="004F6B9D">
        <w:rPr>
          <w:rFonts w:eastAsiaTheme="minorHAnsi"/>
          <w:lang w:eastAsia="en-US"/>
        </w:rPr>
        <w:t xml:space="preserve"> </w:t>
      </w:r>
      <w:r w:rsidRPr="004F6B9D">
        <w:rPr>
          <w:rFonts w:eastAsiaTheme="minorHAnsi"/>
          <w:i/>
          <w:lang w:eastAsia="en-US"/>
        </w:rPr>
        <w:t>Annual Update of Key Results 2017/18: New Zealand Health Survey</w:t>
      </w:r>
      <w:r>
        <w:rPr>
          <w:rFonts w:eastAsiaTheme="minorHAnsi"/>
          <w:lang w:eastAsia="en-US"/>
        </w:rPr>
        <w:t xml:space="preserve"> </w:t>
      </w:r>
      <w:r>
        <w:rPr>
          <w:noProof/>
        </w:rPr>
        <w:t xml:space="preserve">Retrieved 15 August 2019 from Ministry of Health: </w:t>
      </w:r>
      <w:hyperlink r:id="rId54" w:history="1">
        <w:r>
          <w:rPr>
            <w:rStyle w:val="Hyperlink"/>
            <w:rFonts w:eastAsiaTheme="majorEastAsia"/>
          </w:rPr>
          <w:t>https://www.health.govt.nz/publication/annual-update-key-results-2017-18-new-zealand-health-survey</w:t>
        </w:r>
      </w:hyperlink>
    </w:p>
    <w:p w14:paraId="0133D4BB" w14:textId="1F0367DF" w:rsidR="004F6B9D" w:rsidRPr="004F6B9D" w:rsidRDefault="004F6B9D" w:rsidP="007A4780">
      <w:pPr>
        <w:pStyle w:val="References"/>
        <w:rPr>
          <w:rFonts w:eastAsiaTheme="minorHAnsi"/>
          <w:lang w:eastAsia="en-US"/>
        </w:rPr>
      </w:pPr>
      <w:r w:rsidRPr="00C05132">
        <w:rPr>
          <w:rFonts w:cs="Segoe UI"/>
        </w:rPr>
        <w:t xml:space="preserve">Ministry of Health. </w:t>
      </w:r>
      <w:r>
        <w:rPr>
          <w:rFonts w:cs="Segoe UI"/>
        </w:rPr>
        <w:t>2019d.</w:t>
      </w:r>
      <w:r w:rsidRPr="004F6B9D">
        <w:rPr>
          <w:rFonts w:eastAsiaTheme="minorHAnsi"/>
          <w:lang w:eastAsia="en-US"/>
        </w:rPr>
        <w:t xml:space="preserve"> </w:t>
      </w:r>
      <w:r w:rsidR="001F53CB" w:rsidRPr="001F53CB">
        <w:rPr>
          <w:rFonts w:eastAsiaTheme="minorHAnsi"/>
          <w:i/>
          <w:lang w:eastAsia="en-US"/>
        </w:rPr>
        <w:t>Ambulatory sensitive (avoidable) hospital admissions</w:t>
      </w:r>
      <w:r w:rsidR="001F53CB">
        <w:rPr>
          <w:rFonts w:eastAsiaTheme="minorHAnsi"/>
          <w:lang w:eastAsia="en-US"/>
        </w:rPr>
        <w:t>.</w:t>
      </w:r>
      <w:r w:rsidR="001F53CB" w:rsidRPr="001F53CB">
        <w:rPr>
          <w:rFonts w:eastAsiaTheme="minorHAnsi"/>
          <w:lang w:eastAsia="en-US"/>
        </w:rPr>
        <w:t xml:space="preserve"> </w:t>
      </w:r>
      <w:r>
        <w:rPr>
          <w:noProof/>
        </w:rPr>
        <w:t xml:space="preserve">Retrieved 15 August 2019 from </w:t>
      </w:r>
      <w:r w:rsidR="001F53CB">
        <w:rPr>
          <w:noProof/>
        </w:rPr>
        <w:t>Nationwide Service Framework Library</w:t>
      </w:r>
      <w:r>
        <w:rPr>
          <w:noProof/>
        </w:rPr>
        <w:t xml:space="preserve">: </w:t>
      </w:r>
      <w:hyperlink r:id="rId55" w:history="1">
        <w:r w:rsidRPr="00892BA3">
          <w:rPr>
            <w:rStyle w:val="Hyperlink"/>
            <w:rFonts w:eastAsiaTheme="minorHAnsi"/>
            <w:lang w:eastAsia="en-US"/>
          </w:rPr>
          <w:t>https://nsfl.health.govt.nz/accountability/performance-and-monitoring/data-quarterly-reports-and-reporting/ambulatory-sensitive</w:t>
        </w:r>
      </w:hyperlink>
      <w:r>
        <w:rPr>
          <w:rFonts w:eastAsiaTheme="minorHAnsi"/>
          <w:lang w:eastAsia="en-US"/>
        </w:rPr>
        <w:t xml:space="preserve"> </w:t>
      </w:r>
    </w:p>
    <w:p w14:paraId="57B72C6B" w14:textId="77777777" w:rsidR="007A4780" w:rsidRPr="000B50E3" w:rsidRDefault="007A4780" w:rsidP="007A4780">
      <w:pPr>
        <w:pStyle w:val="References"/>
        <w:rPr>
          <w:rFonts w:eastAsiaTheme="minorHAnsi"/>
          <w:lang w:eastAsia="en-US"/>
        </w:rPr>
      </w:pPr>
      <w:r w:rsidRPr="000B50E3">
        <w:rPr>
          <w:rFonts w:eastAsiaTheme="minorHAnsi"/>
          <w:lang w:eastAsia="en-US"/>
        </w:rPr>
        <w:t xml:space="preserve">Mooney G. 1983. Equity in </w:t>
      </w:r>
      <w:r>
        <w:rPr>
          <w:rFonts w:eastAsiaTheme="minorHAnsi"/>
          <w:lang w:eastAsia="en-US"/>
        </w:rPr>
        <w:t>h</w:t>
      </w:r>
      <w:r w:rsidRPr="000B50E3">
        <w:rPr>
          <w:rFonts w:eastAsiaTheme="minorHAnsi"/>
          <w:lang w:eastAsia="en-US"/>
        </w:rPr>
        <w:t xml:space="preserve">ealth </w:t>
      </w:r>
      <w:r>
        <w:rPr>
          <w:rFonts w:eastAsiaTheme="minorHAnsi"/>
          <w:lang w:eastAsia="en-US"/>
        </w:rPr>
        <w:t>c</w:t>
      </w:r>
      <w:r w:rsidRPr="000B50E3">
        <w:rPr>
          <w:rFonts w:eastAsiaTheme="minorHAnsi"/>
          <w:lang w:eastAsia="en-US"/>
        </w:rPr>
        <w:t xml:space="preserve">are: Confronting the confusion. </w:t>
      </w:r>
      <w:r w:rsidRPr="000B50E3">
        <w:rPr>
          <w:rFonts w:eastAsiaTheme="minorHAnsi"/>
          <w:i/>
          <w:lang w:eastAsia="en-US"/>
        </w:rPr>
        <w:t>Effective Health Care</w:t>
      </w:r>
      <w:r w:rsidRPr="000B50E3">
        <w:rPr>
          <w:rFonts w:eastAsiaTheme="minorHAnsi"/>
          <w:lang w:eastAsia="en-US"/>
        </w:rPr>
        <w:t xml:space="preserve"> 1(4): 179–85.</w:t>
      </w:r>
    </w:p>
    <w:p w14:paraId="292FE60E" w14:textId="77777777" w:rsidR="007A4780" w:rsidRDefault="007A4780" w:rsidP="007A4780">
      <w:pPr>
        <w:pStyle w:val="References"/>
        <w:rPr>
          <w:noProof/>
        </w:rPr>
      </w:pPr>
      <w:r>
        <w:rPr>
          <w:noProof/>
        </w:rPr>
        <w:t xml:space="preserve">Office for Disability Issues. 2016. </w:t>
      </w:r>
      <w:r>
        <w:rPr>
          <w:i/>
          <w:iCs/>
          <w:noProof/>
        </w:rPr>
        <w:t>New Zealand Disability Strategy 2016–2026.</w:t>
      </w:r>
      <w:r>
        <w:rPr>
          <w:noProof/>
        </w:rPr>
        <w:t xml:space="preserve"> Wellington: Ministry for Social Development.</w:t>
      </w:r>
    </w:p>
    <w:p w14:paraId="2D99711E" w14:textId="77777777" w:rsidR="007A4780" w:rsidRDefault="007A4780" w:rsidP="007A4780">
      <w:pPr>
        <w:pStyle w:val="References"/>
        <w:rPr>
          <w:rFonts w:eastAsiaTheme="minorHAnsi"/>
          <w:lang w:eastAsia="en-US"/>
        </w:rPr>
      </w:pPr>
      <w:r w:rsidRPr="00B25053">
        <w:rPr>
          <w:rFonts w:eastAsiaTheme="minorHAnsi"/>
          <w:lang w:eastAsia="en-US"/>
        </w:rPr>
        <w:t xml:space="preserve">Office of Disease Prevention and Health Promotion (US). 2018. </w:t>
      </w:r>
      <w:r w:rsidRPr="001B277C">
        <w:rPr>
          <w:rFonts w:eastAsiaTheme="minorHAnsi"/>
          <w:lang w:eastAsia="en-US"/>
        </w:rPr>
        <w:t>HealthyPeople.gov</w:t>
      </w:r>
      <w:r w:rsidRPr="007702A5">
        <w:rPr>
          <w:rFonts w:eastAsiaTheme="minorHAnsi"/>
          <w:lang w:eastAsia="en-US"/>
        </w:rPr>
        <w:t>.</w:t>
      </w:r>
      <w:r w:rsidRPr="00B25053">
        <w:rPr>
          <w:rFonts w:eastAsiaTheme="minorHAnsi"/>
          <w:lang w:eastAsia="en-US"/>
        </w:rPr>
        <w:t xml:space="preserve"> URL: www.healthypeople.gov (</w:t>
      </w:r>
      <w:r>
        <w:rPr>
          <w:rFonts w:eastAsiaTheme="minorHAnsi"/>
          <w:lang w:eastAsia="en-US"/>
        </w:rPr>
        <w:t>a</w:t>
      </w:r>
      <w:r w:rsidRPr="00B25053">
        <w:rPr>
          <w:rFonts w:eastAsiaTheme="minorHAnsi"/>
          <w:lang w:eastAsia="en-US"/>
        </w:rPr>
        <w:t>ccessed 2 August 2018).</w:t>
      </w:r>
    </w:p>
    <w:p w14:paraId="7295510E" w14:textId="77777777" w:rsidR="007A4780" w:rsidRPr="004E3C6C" w:rsidRDefault="007A4780" w:rsidP="007A4780">
      <w:pPr>
        <w:pStyle w:val="References"/>
        <w:rPr>
          <w:rFonts w:eastAsiaTheme="minorHAnsi"/>
          <w:lang w:eastAsia="en-US"/>
        </w:rPr>
      </w:pPr>
      <w:r>
        <w:rPr>
          <w:rFonts w:eastAsiaTheme="minorHAnsi"/>
          <w:lang w:eastAsia="en-US"/>
        </w:rPr>
        <w:t xml:space="preserve">Office of Health Equity. 2015. </w:t>
      </w:r>
      <w:r>
        <w:rPr>
          <w:rFonts w:eastAsiaTheme="minorHAnsi"/>
          <w:i/>
          <w:lang w:eastAsia="en-US"/>
        </w:rPr>
        <w:t xml:space="preserve">Portrait of Promise: The California </w:t>
      </w:r>
      <w:proofErr w:type="spellStart"/>
      <w:r>
        <w:rPr>
          <w:rFonts w:eastAsiaTheme="minorHAnsi"/>
          <w:i/>
          <w:lang w:eastAsia="en-US"/>
        </w:rPr>
        <w:t>statewide</w:t>
      </w:r>
      <w:proofErr w:type="spellEnd"/>
      <w:r>
        <w:rPr>
          <w:rFonts w:eastAsiaTheme="minorHAnsi"/>
          <w:i/>
          <w:lang w:eastAsia="en-US"/>
        </w:rPr>
        <w:t xml:space="preserve"> plan to promote health and mental health equity: Report to the legislature and the people of California by the Office of Health Equity. California Department of Public Health, August 2015</w:t>
      </w:r>
      <w:r>
        <w:rPr>
          <w:rFonts w:eastAsiaTheme="minorHAnsi"/>
          <w:lang w:eastAsia="en-US"/>
        </w:rPr>
        <w:t xml:space="preserve">. Sacramento, CA: Office of Health Equity, California Department of Public Health. URL: </w:t>
      </w:r>
      <w:hyperlink r:id="rId56" w:history="1">
        <w:r w:rsidRPr="007702A5">
          <w:rPr>
            <w:rStyle w:val="Hyperlink"/>
            <w:rFonts w:eastAsiaTheme="minorHAnsi" w:cstheme="minorBidi"/>
            <w:szCs w:val="22"/>
          </w:rPr>
          <w:t>www.cdph.ca.gov/Programs/OHE/CDPH%20Document%20Library/Accessible-CDPH_OHE_Disparity_Report_Final%20(2).pdf</w:t>
        </w:r>
      </w:hyperlink>
      <w:r>
        <w:rPr>
          <w:rFonts w:eastAsiaTheme="minorHAnsi"/>
          <w:lang w:eastAsia="en-US"/>
        </w:rPr>
        <w:t xml:space="preserve"> (accessed 1 August 2018).</w:t>
      </w:r>
    </w:p>
    <w:p w14:paraId="65537906" w14:textId="77777777" w:rsidR="007A4780" w:rsidRPr="000B50E3" w:rsidRDefault="007A4780" w:rsidP="007A4780">
      <w:pPr>
        <w:pStyle w:val="References"/>
        <w:rPr>
          <w:rFonts w:eastAsiaTheme="minorHAnsi"/>
          <w:lang w:eastAsia="en-US"/>
        </w:rPr>
      </w:pPr>
      <w:r w:rsidRPr="000B50E3">
        <w:rPr>
          <w:rFonts w:eastAsiaTheme="minorHAnsi"/>
          <w:lang w:eastAsia="en-US"/>
        </w:rPr>
        <w:t xml:space="preserve">OHCHR. 2008. The right to health. </w:t>
      </w:r>
      <w:r w:rsidRPr="001B277C">
        <w:rPr>
          <w:rFonts w:eastAsiaTheme="minorHAnsi"/>
          <w:lang w:eastAsia="en-US"/>
        </w:rPr>
        <w:t>Fact Sheet</w:t>
      </w:r>
      <w:r w:rsidRPr="000B50E3">
        <w:rPr>
          <w:rFonts w:eastAsiaTheme="minorHAnsi"/>
          <w:lang w:eastAsia="en-US"/>
        </w:rPr>
        <w:t xml:space="preserve"> 31. Office of the United Nations High Commissioner for Human Rights</w:t>
      </w:r>
      <w:r>
        <w:rPr>
          <w:rFonts w:eastAsiaTheme="minorHAnsi"/>
          <w:lang w:eastAsia="en-US"/>
        </w:rPr>
        <w:t>.</w:t>
      </w:r>
      <w:r w:rsidRPr="000B50E3">
        <w:rPr>
          <w:rFonts w:eastAsiaTheme="minorHAnsi"/>
          <w:lang w:eastAsia="en-US"/>
        </w:rPr>
        <w:t xml:space="preserve"> URL: </w:t>
      </w:r>
      <w:hyperlink r:id="rId57" w:history="1">
        <w:r w:rsidRPr="0092763E">
          <w:rPr>
            <w:rStyle w:val="Hyperlink"/>
            <w:rFonts w:eastAsiaTheme="minorHAnsi" w:cstheme="minorBidi"/>
            <w:szCs w:val="22"/>
          </w:rPr>
          <w:t>www.ohchr.org/Documents/Publications/Factsheet31.pdf</w:t>
        </w:r>
      </w:hyperlink>
      <w:r w:rsidRPr="000B50E3">
        <w:rPr>
          <w:rFonts w:eastAsiaTheme="minorHAnsi"/>
          <w:lang w:eastAsia="en-US"/>
        </w:rPr>
        <w:t xml:space="preserve"> </w:t>
      </w:r>
      <w:r w:rsidRPr="00260D04">
        <w:rPr>
          <w:rFonts w:eastAsiaTheme="minorHAnsi"/>
          <w:lang w:eastAsia="en-US"/>
        </w:rPr>
        <w:t>(accessed 25 July 2018).</w:t>
      </w:r>
    </w:p>
    <w:p w14:paraId="4E56CD98" w14:textId="77777777" w:rsidR="007A4780" w:rsidRDefault="007A4780" w:rsidP="007A4780">
      <w:pPr>
        <w:pStyle w:val="References"/>
        <w:rPr>
          <w:rFonts w:eastAsiaTheme="minorHAnsi"/>
          <w:lang w:eastAsia="en-US"/>
        </w:rPr>
      </w:pPr>
      <w:r w:rsidRPr="000B50E3">
        <w:rPr>
          <w:rFonts w:eastAsiaTheme="minorHAnsi"/>
          <w:lang w:eastAsia="en-US"/>
        </w:rPr>
        <w:t xml:space="preserve">PHARMAC. 2018. </w:t>
      </w:r>
      <w:r w:rsidRPr="000B50E3">
        <w:rPr>
          <w:rFonts w:eastAsiaTheme="minorHAnsi"/>
          <w:i/>
          <w:lang w:eastAsia="en-US"/>
        </w:rPr>
        <w:t>Medicine Access Equity</w:t>
      </w:r>
      <w:r>
        <w:rPr>
          <w:rFonts w:eastAsiaTheme="minorHAnsi"/>
          <w:i/>
          <w:lang w:eastAsia="en-US"/>
        </w:rPr>
        <w:t>: D</w:t>
      </w:r>
      <w:r w:rsidRPr="000B50E3">
        <w:rPr>
          <w:rFonts w:eastAsiaTheme="minorHAnsi"/>
          <w:i/>
          <w:lang w:eastAsia="en-US"/>
        </w:rPr>
        <w:t xml:space="preserve">raft </w:t>
      </w:r>
      <w:r>
        <w:rPr>
          <w:rFonts w:eastAsiaTheme="minorHAnsi"/>
          <w:i/>
          <w:lang w:eastAsia="en-US"/>
        </w:rPr>
        <w:t>p</w:t>
      </w:r>
      <w:r w:rsidRPr="000B50E3">
        <w:rPr>
          <w:rFonts w:eastAsiaTheme="minorHAnsi"/>
          <w:i/>
          <w:lang w:eastAsia="en-US"/>
        </w:rPr>
        <w:t xml:space="preserve">roblem </w:t>
      </w:r>
      <w:r>
        <w:rPr>
          <w:rFonts w:eastAsiaTheme="minorHAnsi"/>
          <w:i/>
          <w:lang w:eastAsia="en-US"/>
        </w:rPr>
        <w:t>d</w:t>
      </w:r>
      <w:r w:rsidRPr="000B50E3">
        <w:rPr>
          <w:rFonts w:eastAsiaTheme="minorHAnsi"/>
          <w:i/>
          <w:lang w:eastAsia="en-US"/>
        </w:rPr>
        <w:t xml:space="preserve">efinition </w:t>
      </w:r>
      <w:r>
        <w:rPr>
          <w:rFonts w:eastAsiaTheme="minorHAnsi"/>
          <w:i/>
          <w:lang w:eastAsia="en-US"/>
        </w:rPr>
        <w:t>a</w:t>
      </w:r>
      <w:r w:rsidRPr="000B50E3">
        <w:rPr>
          <w:rFonts w:eastAsiaTheme="minorHAnsi"/>
          <w:i/>
          <w:lang w:eastAsia="en-US"/>
        </w:rPr>
        <w:t xml:space="preserve">nd </w:t>
      </w:r>
      <w:r>
        <w:rPr>
          <w:rFonts w:eastAsiaTheme="minorHAnsi"/>
          <w:i/>
          <w:lang w:eastAsia="en-US"/>
        </w:rPr>
        <w:t>s</w:t>
      </w:r>
      <w:r w:rsidRPr="000B50E3">
        <w:rPr>
          <w:rFonts w:eastAsiaTheme="minorHAnsi"/>
          <w:i/>
          <w:lang w:eastAsia="en-US"/>
        </w:rPr>
        <w:t xml:space="preserve">cope </w:t>
      </w:r>
      <w:r>
        <w:rPr>
          <w:rFonts w:eastAsiaTheme="minorHAnsi"/>
          <w:i/>
          <w:lang w:eastAsia="en-US"/>
        </w:rPr>
        <w:t>d</w:t>
      </w:r>
      <w:r w:rsidRPr="000B50E3">
        <w:rPr>
          <w:rFonts w:eastAsiaTheme="minorHAnsi"/>
          <w:i/>
          <w:lang w:eastAsia="en-US"/>
        </w:rPr>
        <w:t xml:space="preserve">iscussion </w:t>
      </w:r>
      <w:r>
        <w:rPr>
          <w:rFonts w:eastAsiaTheme="minorHAnsi"/>
          <w:i/>
          <w:lang w:eastAsia="en-US"/>
        </w:rPr>
        <w:t>p</w:t>
      </w:r>
      <w:r w:rsidRPr="000B50E3">
        <w:rPr>
          <w:rFonts w:eastAsiaTheme="minorHAnsi"/>
          <w:i/>
          <w:lang w:eastAsia="en-US"/>
        </w:rPr>
        <w:t>aper</w:t>
      </w:r>
      <w:r w:rsidRPr="000B50E3">
        <w:rPr>
          <w:rFonts w:eastAsiaTheme="minorHAnsi"/>
          <w:lang w:eastAsia="en-US"/>
        </w:rPr>
        <w:t xml:space="preserve">. Wellington: </w:t>
      </w:r>
      <w:r>
        <w:rPr>
          <w:rFonts w:eastAsiaTheme="minorHAnsi"/>
          <w:lang w:eastAsia="en-US"/>
        </w:rPr>
        <w:t>Pharmaceutical Management Agency (PHARMAC)</w:t>
      </w:r>
      <w:r w:rsidRPr="000B50E3">
        <w:rPr>
          <w:rFonts w:eastAsiaTheme="minorHAnsi"/>
          <w:lang w:eastAsia="en-US"/>
        </w:rPr>
        <w:t>.</w:t>
      </w:r>
    </w:p>
    <w:p w14:paraId="731A2811" w14:textId="77777777" w:rsidR="007A4780" w:rsidRPr="00260D04" w:rsidRDefault="007A4780" w:rsidP="007A4780">
      <w:pPr>
        <w:pStyle w:val="References"/>
        <w:rPr>
          <w:rFonts w:eastAsiaTheme="minorHAnsi"/>
          <w:lang w:eastAsia="en-US"/>
        </w:rPr>
      </w:pPr>
      <w:r w:rsidRPr="00260D04">
        <w:rPr>
          <w:rFonts w:eastAsiaTheme="minorHAnsi"/>
          <w:lang w:eastAsia="en-US"/>
        </w:rPr>
        <w:t xml:space="preserve">Poynter M, Hamblin R, Shuker C, et al. 2017. </w:t>
      </w:r>
      <w:r w:rsidRPr="00260D04">
        <w:rPr>
          <w:rFonts w:eastAsiaTheme="minorHAnsi"/>
          <w:i/>
          <w:lang w:eastAsia="en-US"/>
        </w:rPr>
        <w:t xml:space="preserve">Quality Improvement: No quality without equity? </w:t>
      </w:r>
      <w:r w:rsidRPr="00260D04">
        <w:rPr>
          <w:rFonts w:eastAsiaTheme="minorHAnsi"/>
          <w:lang w:eastAsia="en-US"/>
        </w:rPr>
        <w:t xml:space="preserve">Wellington: Health, Quality &amp; Safety Commission. URL: </w:t>
      </w:r>
      <w:hyperlink r:id="rId58" w:history="1">
        <w:r w:rsidRPr="00260D04">
          <w:rPr>
            <w:rStyle w:val="Hyperlink"/>
            <w:rFonts w:eastAsiaTheme="minorHAnsi" w:cstheme="minorBidi"/>
            <w:szCs w:val="22"/>
          </w:rPr>
          <w:t>www.hqsc.govt.nz/assets/Other-Topics/Equity/Quality_improvement_-_no_quality_without_equity.pdf</w:t>
        </w:r>
      </w:hyperlink>
      <w:r w:rsidRPr="00260D04">
        <w:rPr>
          <w:rFonts w:eastAsiaTheme="minorHAnsi"/>
          <w:lang w:eastAsia="en-US"/>
        </w:rPr>
        <w:t xml:space="preserve"> (accessed 25 July 2018).</w:t>
      </w:r>
    </w:p>
    <w:p w14:paraId="4D800AF0" w14:textId="77777777" w:rsidR="007A4780" w:rsidRDefault="007A4780" w:rsidP="007A4780">
      <w:pPr>
        <w:pStyle w:val="References"/>
        <w:rPr>
          <w:rFonts w:eastAsiaTheme="minorHAnsi"/>
          <w:lang w:eastAsia="en-US"/>
        </w:rPr>
      </w:pPr>
      <w:r>
        <w:rPr>
          <w:rFonts w:eastAsiaTheme="minorHAnsi"/>
          <w:lang w:eastAsia="en-US"/>
        </w:rPr>
        <w:t xml:space="preserve">Ramsden I. 2002. </w:t>
      </w:r>
      <w:r>
        <w:rPr>
          <w:rFonts w:eastAsiaTheme="minorHAnsi"/>
          <w:i/>
          <w:lang w:eastAsia="en-US"/>
        </w:rPr>
        <w:t>Cultural Safety and Nursing E</w:t>
      </w:r>
      <w:r w:rsidRPr="00E335DC">
        <w:rPr>
          <w:rFonts w:eastAsiaTheme="minorHAnsi"/>
          <w:i/>
          <w:lang w:eastAsia="en-US"/>
        </w:rPr>
        <w:t xml:space="preserve">ducation in Aotearoa and Te </w:t>
      </w:r>
      <w:proofErr w:type="spellStart"/>
      <w:r w:rsidRPr="00E335DC">
        <w:rPr>
          <w:rFonts w:eastAsiaTheme="minorHAnsi"/>
          <w:i/>
          <w:lang w:eastAsia="en-US"/>
        </w:rPr>
        <w:t>Waipounamu</w:t>
      </w:r>
      <w:proofErr w:type="spellEnd"/>
      <w:r>
        <w:rPr>
          <w:rFonts w:eastAsiaTheme="minorHAnsi"/>
          <w:lang w:eastAsia="en-US"/>
        </w:rPr>
        <w:t xml:space="preserve">. </w:t>
      </w:r>
      <w:r w:rsidRPr="00E335DC">
        <w:rPr>
          <w:rFonts w:eastAsiaTheme="minorHAnsi"/>
          <w:lang w:eastAsia="en-US"/>
        </w:rPr>
        <w:t>Doctoral dissertation, Nursing, Massey University.</w:t>
      </w:r>
    </w:p>
    <w:p w14:paraId="44306F48" w14:textId="77777777" w:rsidR="007A4780" w:rsidRPr="000B50E3" w:rsidRDefault="007A4780" w:rsidP="007A4780">
      <w:pPr>
        <w:pStyle w:val="References"/>
        <w:rPr>
          <w:rFonts w:eastAsiaTheme="minorHAnsi"/>
          <w:lang w:eastAsia="en-US"/>
        </w:rPr>
      </w:pPr>
      <w:r w:rsidRPr="000B50E3">
        <w:rPr>
          <w:rFonts w:eastAsiaTheme="minorHAnsi"/>
          <w:lang w:eastAsia="en-US"/>
        </w:rPr>
        <w:t xml:space="preserve">Rawls J. 2001. </w:t>
      </w:r>
      <w:r>
        <w:rPr>
          <w:rFonts w:eastAsiaTheme="minorHAnsi"/>
          <w:i/>
          <w:lang w:eastAsia="en-US"/>
        </w:rPr>
        <w:t>Justice as Fairness: A r</w:t>
      </w:r>
      <w:r w:rsidRPr="000B50E3">
        <w:rPr>
          <w:rFonts w:eastAsiaTheme="minorHAnsi"/>
          <w:i/>
          <w:lang w:eastAsia="en-US"/>
        </w:rPr>
        <w:t>estatement</w:t>
      </w:r>
      <w:r w:rsidRPr="000B50E3">
        <w:rPr>
          <w:rFonts w:eastAsiaTheme="minorHAnsi"/>
          <w:lang w:eastAsia="en-US"/>
        </w:rPr>
        <w:t>. Harvard University Press.</w:t>
      </w:r>
    </w:p>
    <w:p w14:paraId="1129EBAF" w14:textId="77777777" w:rsidR="007A4780" w:rsidRPr="000B50E3" w:rsidRDefault="007A4780" w:rsidP="007A4780">
      <w:pPr>
        <w:pStyle w:val="References"/>
        <w:rPr>
          <w:rFonts w:eastAsiaTheme="minorHAnsi" w:cs="Segoe UI"/>
          <w:lang w:eastAsia="en-US"/>
        </w:rPr>
      </w:pPr>
      <w:r w:rsidRPr="000B50E3">
        <w:rPr>
          <w:rFonts w:eastAsiaTheme="minorHAnsi" w:cs="Segoe UI"/>
          <w:lang w:eastAsia="en-US"/>
        </w:rPr>
        <w:t xml:space="preserve">Reid P, Paine SJ, Curtis E, et al. 2017. Achieving health equity in Aotearoa: Strengthening responsiveness to </w:t>
      </w:r>
      <w:r>
        <w:rPr>
          <w:rFonts w:eastAsiaTheme="minorHAnsi" w:cs="Segoe UI"/>
          <w:lang w:eastAsia="en-US"/>
        </w:rPr>
        <w:t>Māori</w:t>
      </w:r>
      <w:r w:rsidRPr="000B50E3">
        <w:rPr>
          <w:rFonts w:eastAsiaTheme="minorHAnsi" w:cs="Segoe UI"/>
          <w:lang w:eastAsia="en-US"/>
        </w:rPr>
        <w:t xml:space="preserve"> in health research. </w:t>
      </w:r>
      <w:r>
        <w:rPr>
          <w:rFonts w:eastAsiaTheme="minorHAnsi" w:cs="Segoe UI"/>
          <w:i/>
          <w:lang w:eastAsia="en-US"/>
        </w:rPr>
        <w:t xml:space="preserve">The </w:t>
      </w:r>
      <w:r w:rsidRPr="000B50E3">
        <w:rPr>
          <w:rFonts w:eastAsiaTheme="minorHAnsi" w:cs="Segoe UI"/>
          <w:i/>
          <w:iCs/>
          <w:lang w:eastAsia="en-US"/>
        </w:rPr>
        <w:t>New Zealand Medical Journal</w:t>
      </w:r>
      <w:r w:rsidRPr="000B50E3">
        <w:rPr>
          <w:rFonts w:eastAsiaTheme="minorHAnsi" w:cs="Segoe UI"/>
          <w:lang w:eastAsia="en-US"/>
        </w:rPr>
        <w:t xml:space="preserve"> 130(1465): 96</w:t>
      </w:r>
      <w:r>
        <w:rPr>
          <w:rFonts w:eastAsiaTheme="minorHAnsi" w:cs="Segoe UI"/>
          <w:lang w:eastAsia="en-US"/>
        </w:rPr>
        <w:t>–</w:t>
      </w:r>
      <w:r w:rsidRPr="000B50E3">
        <w:rPr>
          <w:rFonts w:eastAsiaTheme="minorHAnsi" w:cs="Segoe UI"/>
          <w:lang w:eastAsia="en-US"/>
        </w:rPr>
        <w:t>103.</w:t>
      </w:r>
    </w:p>
    <w:p w14:paraId="104359D7" w14:textId="77777777" w:rsidR="007A4780" w:rsidRPr="000B50E3" w:rsidRDefault="007A4780" w:rsidP="007A4780">
      <w:pPr>
        <w:pStyle w:val="References"/>
        <w:rPr>
          <w:rFonts w:eastAsiaTheme="minorHAnsi"/>
          <w:lang w:eastAsia="en-US"/>
        </w:rPr>
      </w:pPr>
      <w:r w:rsidRPr="000B50E3">
        <w:rPr>
          <w:rFonts w:eastAsiaTheme="minorHAnsi"/>
          <w:lang w:eastAsia="en-US"/>
        </w:rPr>
        <w:t xml:space="preserve">Reid P, Robson B. 2007.Understanding health inequities. In Robson B, Harris R. (eds). </w:t>
      </w:r>
      <w:r w:rsidRPr="000B50E3">
        <w:rPr>
          <w:rFonts w:eastAsiaTheme="minorHAnsi"/>
          <w:i/>
          <w:iCs/>
          <w:color w:val="222222"/>
          <w:lang w:eastAsia="en-US"/>
        </w:rPr>
        <w:t>Hauora: Māori Standards of Health IV. A study of the years</w:t>
      </w:r>
      <w:r w:rsidRPr="000B50E3">
        <w:rPr>
          <w:rFonts w:eastAsiaTheme="minorHAnsi"/>
          <w:color w:val="222222"/>
          <w:lang w:eastAsia="en-US"/>
        </w:rPr>
        <w:t xml:space="preserve"> 2000</w:t>
      </w:r>
      <w:r>
        <w:rPr>
          <w:rFonts w:eastAsiaTheme="minorHAnsi"/>
          <w:color w:val="222222"/>
          <w:lang w:eastAsia="en-US"/>
        </w:rPr>
        <w:t>–</w:t>
      </w:r>
      <w:r w:rsidRPr="000B50E3">
        <w:rPr>
          <w:rFonts w:eastAsiaTheme="minorHAnsi"/>
          <w:i/>
          <w:iCs/>
          <w:color w:val="222222"/>
          <w:lang w:eastAsia="en-US"/>
        </w:rPr>
        <w:t>2005</w:t>
      </w:r>
      <w:r>
        <w:rPr>
          <w:rFonts w:eastAsiaTheme="minorHAnsi"/>
          <w:i/>
          <w:iCs/>
          <w:color w:val="222222"/>
          <w:lang w:eastAsia="en-US"/>
        </w:rPr>
        <w:t>.</w:t>
      </w:r>
      <w:r w:rsidRPr="000B50E3">
        <w:rPr>
          <w:rFonts w:eastAsiaTheme="minorHAnsi"/>
          <w:color w:val="222222"/>
          <w:lang w:eastAsia="en-US"/>
        </w:rPr>
        <w:t xml:space="preserve"> 3</w:t>
      </w:r>
      <w:r>
        <w:rPr>
          <w:rFonts w:eastAsiaTheme="minorHAnsi"/>
          <w:color w:val="222222"/>
          <w:lang w:eastAsia="en-US"/>
        </w:rPr>
        <w:t>–</w:t>
      </w:r>
      <w:r w:rsidRPr="000B50E3">
        <w:rPr>
          <w:rFonts w:eastAsiaTheme="minorHAnsi"/>
          <w:color w:val="222222"/>
          <w:lang w:eastAsia="en-US"/>
        </w:rPr>
        <w:t>10.</w:t>
      </w:r>
    </w:p>
    <w:p w14:paraId="02DA489A" w14:textId="77777777" w:rsidR="007A4780" w:rsidRPr="000B50E3" w:rsidRDefault="007A4780" w:rsidP="007A4780">
      <w:pPr>
        <w:pStyle w:val="References"/>
        <w:rPr>
          <w:rFonts w:eastAsiaTheme="minorHAnsi"/>
          <w:lang w:eastAsia="en-US"/>
        </w:rPr>
      </w:pPr>
      <w:r w:rsidRPr="000B50E3">
        <w:rPr>
          <w:rFonts w:eastAsiaTheme="minorHAnsi"/>
          <w:lang w:eastAsia="en-US"/>
        </w:rPr>
        <w:t xml:space="preserve">Sapolsky RM, Mott GE. 1987. Social subordinance in wild baboons is associated with suppressed </w:t>
      </w:r>
      <w:proofErr w:type="gramStart"/>
      <w:r w:rsidRPr="000B50E3">
        <w:rPr>
          <w:rFonts w:eastAsiaTheme="minorHAnsi"/>
          <w:lang w:eastAsia="en-US"/>
        </w:rPr>
        <w:t>high density</w:t>
      </w:r>
      <w:proofErr w:type="gramEnd"/>
      <w:r w:rsidRPr="000B50E3">
        <w:rPr>
          <w:rFonts w:eastAsiaTheme="minorHAnsi"/>
          <w:lang w:eastAsia="en-US"/>
        </w:rPr>
        <w:t xml:space="preserve"> lipoprotein-cholesterol concentrations: </w:t>
      </w:r>
      <w:r>
        <w:rPr>
          <w:rFonts w:eastAsiaTheme="minorHAnsi"/>
          <w:lang w:eastAsia="en-US"/>
        </w:rPr>
        <w:t>T</w:t>
      </w:r>
      <w:r w:rsidRPr="000B50E3">
        <w:rPr>
          <w:rFonts w:eastAsiaTheme="minorHAnsi"/>
          <w:lang w:eastAsia="en-US"/>
        </w:rPr>
        <w:t xml:space="preserve">he possible role of chronic social stress. </w:t>
      </w:r>
      <w:r w:rsidRPr="000B50E3">
        <w:rPr>
          <w:rFonts w:eastAsiaTheme="minorHAnsi"/>
          <w:i/>
          <w:lang w:eastAsia="en-US"/>
        </w:rPr>
        <w:t xml:space="preserve">Endocrinology </w:t>
      </w:r>
      <w:r w:rsidRPr="000B50E3">
        <w:rPr>
          <w:rFonts w:eastAsiaTheme="minorHAnsi"/>
          <w:lang w:eastAsia="en-US"/>
        </w:rPr>
        <w:t>121(5): 1605–10.</w:t>
      </w:r>
    </w:p>
    <w:p w14:paraId="0B1FF7F7" w14:textId="77777777" w:rsidR="007A4780" w:rsidRPr="00A25F38" w:rsidRDefault="007A4780" w:rsidP="007A4780">
      <w:pPr>
        <w:pStyle w:val="References"/>
      </w:pPr>
      <w:r w:rsidRPr="00A25F38">
        <w:t xml:space="preserve">Schneider E, </w:t>
      </w:r>
      <w:proofErr w:type="spellStart"/>
      <w:r w:rsidRPr="00A25F38">
        <w:t>Sarnak</w:t>
      </w:r>
      <w:proofErr w:type="spellEnd"/>
      <w:r w:rsidRPr="00A25F38">
        <w:t xml:space="preserve"> D, Squires D, </w:t>
      </w:r>
      <w:r>
        <w:t>et al</w:t>
      </w:r>
      <w:r w:rsidRPr="00A25F38">
        <w:t xml:space="preserve">. </w:t>
      </w:r>
      <w:r>
        <w:t xml:space="preserve">2017. </w:t>
      </w:r>
      <w:r w:rsidRPr="003F4B6A">
        <w:rPr>
          <w:i/>
        </w:rPr>
        <w:t xml:space="preserve">Mirror, Mirror </w:t>
      </w:r>
      <w:r>
        <w:rPr>
          <w:i/>
        </w:rPr>
        <w:t>2017: International comparison r</w:t>
      </w:r>
      <w:r w:rsidRPr="003F4B6A">
        <w:rPr>
          <w:i/>
        </w:rPr>
        <w:t xml:space="preserve">eflects </w:t>
      </w:r>
      <w:r>
        <w:rPr>
          <w:i/>
        </w:rPr>
        <w:t>f</w:t>
      </w:r>
      <w:r w:rsidRPr="003F4B6A">
        <w:rPr>
          <w:i/>
        </w:rPr>
        <w:t xml:space="preserve">laws and </w:t>
      </w:r>
      <w:r>
        <w:rPr>
          <w:i/>
        </w:rPr>
        <w:t>o</w:t>
      </w:r>
      <w:r w:rsidRPr="003F4B6A">
        <w:rPr>
          <w:i/>
        </w:rPr>
        <w:t xml:space="preserve">pportunities for </w:t>
      </w:r>
      <w:r>
        <w:rPr>
          <w:i/>
        </w:rPr>
        <w:t>b</w:t>
      </w:r>
      <w:r w:rsidRPr="003F4B6A">
        <w:rPr>
          <w:i/>
        </w:rPr>
        <w:t>etter U.S</w:t>
      </w:r>
      <w:r>
        <w:rPr>
          <w:i/>
        </w:rPr>
        <w:t>.</w:t>
      </w:r>
      <w:r w:rsidRPr="003F4B6A">
        <w:rPr>
          <w:i/>
        </w:rPr>
        <w:t xml:space="preserve"> </w:t>
      </w:r>
      <w:r>
        <w:rPr>
          <w:i/>
        </w:rPr>
        <w:t>h</w:t>
      </w:r>
      <w:r w:rsidRPr="003F4B6A">
        <w:rPr>
          <w:i/>
        </w:rPr>
        <w:t xml:space="preserve">ealth </w:t>
      </w:r>
      <w:r>
        <w:rPr>
          <w:i/>
        </w:rPr>
        <w:t>c</w:t>
      </w:r>
      <w:r w:rsidRPr="003F4B6A">
        <w:rPr>
          <w:i/>
        </w:rPr>
        <w:t>are</w:t>
      </w:r>
      <w:r>
        <w:t>.</w:t>
      </w:r>
      <w:r w:rsidRPr="00A25F38">
        <w:t xml:space="preserve"> </w:t>
      </w:r>
      <w:r w:rsidRPr="003F4B6A">
        <w:t>The Commonwealth Fund</w:t>
      </w:r>
      <w:r>
        <w:t>.</w:t>
      </w:r>
    </w:p>
    <w:p w14:paraId="6478852A" w14:textId="77777777" w:rsidR="007A4780" w:rsidRDefault="007A4780" w:rsidP="007A4780">
      <w:pPr>
        <w:pStyle w:val="References"/>
        <w:rPr>
          <w:rFonts w:eastAsiaTheme="minorHAnsi"/>
          <w:lang w:eastAsia="en-US"/>
        </w:rPr>
      </w:pPr>
      <w:proofErr w:type="spellStart"/>
      <w:r w:rsidRPr="000B50E3">
        <w:rPr>
          <w:rFonts w:eastAsiaTheme="minorHAnsi"/>
          <w:lang w:eastAsia="en-US"/>
        </w:rPr>
        <w:t>Tager</w:t>
      </w:r>
      <w:proofErr w:type="spellEnd"/>
      <w:r w:rsidRPr="000B50E3">
        <w:rPr>
          <w:rFonts w:eastAsiaTheme="minorHAnsi"/>
          <w:lang w:eastAsia="en-US"/>
        </w:rPr>
        <w:t xml:space="preserve"> IB, Weiss ST, Muñoz A, et al. 1983. Longitudinal study of the effects of maternal smoking on pulmonary function in children. </w:t>
      </w:r>
      <w:r w:rsidRPr="000B50E3">
        <w:rPr>
          <w:rFonts w:eastAsiaTheme="minorHAnsi"/>
          <w:i/>
          <w:lang w:eastAsia="en-US"/>
        </w:rPr>
        <w:t>New England Journal of Medicine</w:t>
      </w:r>
      <w:r w:rsidRPr="000B50E3">
        <w:rPr>
          <w:rFonts w:eastAsiaTheme="minorHAnsi"/>
          <w:lang w:eastAsia="en-US"/>
        </w:rPr>
        <w:t xml:space="preserve"> 309(12): 699–703.</w:t>
      </w:r>
    </w:p>
    <w:p w14:paraId="7E998332" w14:textId="77777777" w:rsidR="007A4780" w:rsidRDefault="007A4780" w:rsidP="007A4780">
      <w:pPr>
        <w:pStyle w:val="References"/>
        <w:rPr>
          <w:noProof/>
        </w:rPr>
      </w:pPr>
      <w:r>
        <w:rPr>
          <w:noProof/>
        </w:rPr>
        <w:t xml:space="preserve">Te Puni Kōkiri. 2019. </w:t>
      </w:r>
      <w:r>
        <w:rPr>
          <w:i/>
          <w:iCs/>
          <w:noProof/>
        </w:rPr>
        <w:t>Whānau Ora</w:t>
      </w:r>
      <w:r>
        <w:rPr>
          <w:noProof/>
        </w:rPr>
        <w:t xml:space="preserve">. Retrieved 25 March 2019, from Te Puni Kōkiri: </w:t>
      </w:r>
      <w:r w:rsidRPr="005222E9">
        <w:rPr>
          <w:rStyle w:val="Hyperlink"/>
        </w:rPr>
        <w:t>https://www.tpk.govt.nz/en/whakamahia/whanau-ora</w:t>
      </w:r>
    </w:p>
    <w:p w14:paraId="624B1C1C" w14:textId="79BB4AF8" w:rsidR="007A4780" w:rsidRDefault="007A4780" w:rsidP="007A4780">
      <w:pPr>
        <w:pStyle w:val="References"/>
        <w:rPr>
          <w:rFonts w:eastAsiaTheme="minorHAnsi"/>
          <w:lang w:eastAsia="en-US"/>
        </w:rPr>
      </w:pPr>
      <w:r>
        <w:rPr>
          <w:rFonts w:eastAsiaTheme="minorHAnsi"/>
          <w:lang w:eastAsia="en-US"/>
        </w:rPr>
        <w:t xml:space="preserve">Te </w:t>
      </w:r>
      <w:proofErr w:type="spellStart"/>
      <w:r>
        <w:rPr>
          <w:rFonts w:eastAsiaTheme="minorHAnsi"/>
          <w:lang w:eastAsia="en-US"/>
        </w:rPr>
        <w:t>Rōpū</w:t>
      </w:r>
      <w:proofErr w:type="spellEnd"/>
      <w:r>
        <w:rPr>
          <w:rFonts w:eastAsiaTheme="minorHAnsi"/>
          <w:lang w:eastAsia="en-US"/>
        </w:rPr>
        <w:t xml:space="preserve"> </w:t>
      </w:r>
      <w:proofErr w:type="spellStart"/>
      <w:r>
        <w:rPr>
          <w:rFonts w:eastAsiaTheme="minorHAnsi"/>
          <w:lang w:eastAsia="en-US"/>
        </w:rPr>
        <w:t>Rangahau</w:t>
      </w:r>
      <w:proofErr w:type="spellEnd"/>
      <w:r>
        <w:rPr>
          <w:rFonts w:eastAsiaTheme="minorHAnsi"/>
          <w:lang w:eastAsia="en-US"/>
        </w:rPr>
        <w:t xml:space="preserve"> Hauora a </w:t>
      </w:r>
      <w:proofErr w:type="spellStart"/>
      <w:r>
        <w:rPr>
          <w:rFonts w:eastAsiaTheme="minorHAnsi"/>
          <w:lang w:eastAsia="en-US"/>
        </w:rPr>
        <w:t>Eru</w:t>
      </w:r>
      <w:proofErr w:type="spellEnd"/>
      <w:r>
        <w:rPr>
          <w:rFonts w:eastAsiaTheme="minorHAnsi"/>
          <w:lang w:eastAsia="en-US"/>
        </w:rPr>
        <w:t xml:space="preserve"> </w:t>
      </w:r>
      <w:proofErr w:type="spellStart"/>
      <w:r>
        <w:rPr>
          <w:rFonts w:eastAsiaTheme="minorHAnsi"/>
          <w:lang w:eastAsia="en-US"/>
        </w:rPr>
        <w:t>Pōmare</w:t>
      </w:r>
      <w:proofErr w:type="spellEnd"/>
      <w:r>
        <w:rPr>
          <w:rFonts w:eastAsiaTheme="minorHAnsi"/>
          <w:lang w:eastAsia="en-US"/>
        </w:rPr>
        <w:t xml:space="preserve">. 1980. </w:t>
      </w:r>
      <w:r w:rsidRPr="00A27A87">
        <w:rPr>
          <w:rFonts w:eastAsiaTheme="minorHAnsi"/>
          <w:i/>
          <w:lang w:eastAsia="en-US"/>
        </w:rPr>
        <w:t xml:space="preserve">Hauora: </w:t>
      </w:r>
      <w:r w:rsidR="00281A2B">
        <w:rPr>
          <w:rFonts w:eastAsiaTheme="minorHAnsi"/>
          <w:i/>
          <w:lang w:eastAsia="en-US"/>
        </w:rPr>
        <w:t>Māori</w:t>
      </w:r>
      <w:r w:rsidRPr="00A27A87">
        <w:rPr>
          <w:rFonts w:eastAsiaTheme="minorHAnsi"/>
          <w:i/>
          <w:lang w:eastAsia="en-US"/>
        </w:rPr>
        <w:t xml:space="preserve"> standards of health</w:t>
      </w:r>
      <w:r>
        <w:rPr>
          <w:rFonts w:eastAsiaTheme="minorHAnsi"/>
          <w:lang w:eastAsia="en-US"/>
        </w:rPr>
        <w:t>. Wellington: Wellington School of Medicine.</w:t>
      </w:r>
    </w:p>
    <w:p w14:paraId="2137FAB1" w14:textId="3950A0A7" w:rsidR="001F53CB" w:rsidRPr="000B50E3" w:rsidRDefault="001F53CB" w:rsidP="007A4780">
      <w:pPr>
        <w:pStyle w:val="References"/>
        <w:rPr>
          <w:rFonts w:eastAsiaTheme="minorHAnsi"/>
          <w:lang w:eastAsia="en-US"/>
        </w:rPr>
      </w:pPr>
      <w:r w:rsidRPr="001F53CB">
        <w:rPr>
          <w:rFonts w:eastAsiaTheme="minorHAnsi"/>
          <w:lang w:eastAsia="en-US"/>
        </w:rPr>
        <w:t>Teng AM</w:t>
      </w:r>
      <w:r>
        <w:rPr>
          <w:rFonts w:eastAsiaTheme="minorHAnsi"/>
          <w:lang w:eastAsia="en-US"/>
        </w:rPr>
        <w:t>.</w:t>
      </w:r>
      <w:r w:rsidRPr="001F53CB">
        <w:rPr>
          <w:rFonts w:eastAsiaTheme="minorHAnsi"/>
          <w:lang w:eastAsia="en-US"/>
        </w:rPr>
        <w:t xml:space="preserve"> Atkinson J</w:t>
      </w:r>
      <w:r>
        <w:rPr>
          <w:rFonts w:eastAsiaTheme="minorHAnsi"/>
          <w:lang w:eastAsia="en-US"/>
        </w:rPr>
        <w:t>.</w:t>
      </w:r>
      <w:r w:rsidRPr="001F53CB">
        <w:rPr>
          <w:rFonts w:eastAsiaTheme="minorHAnsi"/>
          <w:lang w:eastAsia="en-US"/>
        </w:rPr>
        <w:t xml:space="preserve"> Disney G</w:t>
      </w:r>
      <w:r>
        <w:rPr>
          <w:rFonts w:eastAsiaTheme="minorHAnsi"/>
          <w:lang w:eastAsia="en-US"/>
        </w:rPr>
        <w:t>.</w:t>
      </w:r>
      <w:r w:rsidRPr="001F53CB">
        <w:rPr>
          <w:rFonts w:eastAsiaTheme="minorHAnsi"/>
          <w:lang w:eastAsia="en-US"/>
        </w:rPr>
        <w:t xml:space="preserve"> et al. 2016. </w:t>
      </w:r>
      <w:r w:rsidRPr="001F53CB">
        <w:rPr>
          <w:rFonts w:eastAsiaTheme="minorHAnsi"/>
          <w:i/>
          <w:lang w:eastAsia="en-US"/>
        </w:rPr>
        <w:t>Ethnic inequalities in cancer incidence and mortality: census-linked cohort studies with 87 million years of person-time follow-up</w:t>
      </w:r>
      <w:r w:rsidRPr="001F53CB">
        <w:rPr>
          <w:rFonts w:eastAsiaTheme="minorHAnsi"/>
          <w:lang w:eastAsia="en-US"/>
        </w:rPr>
        <w:t>. BMC Cancer 16(1):755.</w:t>
      </w:r>
    </w:p>
    <w:p w14:paraId="76823D41" w14:textId="77777777" w:rsidR="007A4780" w:rsidRPr="000B50E3" w:rsidRDefault="007A4780" w:rsidP="007A4780">
      <w:pPr>
        <w:pStyle w:val="References"/>
        <w:rPr>
          <w:rFonts w:eastAsiaTheme="minorHAnsi"/>
          <w:lang w:eastAsia="en-US"/>
        </w:rPr>
      </w:pPr>
      <w:r w:rsidRPr="000B50E3">
        <w:rPr>
          <w:rFonts w:eastAsiaTheme="minorHAnsi"/>
          <w:lang w:eastAsia="en-US"/>
        </w:rPr>
        <w:t>The Treasury. 2018</w:t>
      </w:r>
      <w:r>
        <w:rPr>
          <w:rFonts w:eastAsiaTheme="minorHAnsi"/>
          <w:lang w:eastAsia="en-US"/>
        </w:rPr>
        <w:t>a</w:t>
      </w:r>
      <w:r w:rsidRPr="000B50E3">
        <w:rPr>
          <w:rFonts w:eastAsiaTheme="minorHAnsi"/>
          <w:lang w:eastAsia="en-US"/>
        </w:rPr>
        <w:t xml:space="preserve">. </w:t>
      </w:r>
      <w:r w:rsidRPr="000B50E3">
        <w:rPr>
          <w:rFonts w:eastAsiaTheme="minorHAnsi"/>
          <w:i/>
          <w:lang w:eastAsia="en-US"/>
        </w:rPr>
        <w:t>Our Living Standards Framework</w:t>
      </w:r>
      <w:r w:rsidRPr="000B50E3">
        <w:rPr>
          <w:rFonts w:eastAsiaTheme="minorHAnsi"/>
          <w:lang w:eastAsia="en-US"/>
        </w:rPr>
        <w:t xml:space="preserve">. URL: </w:t>
      </w:r>
      <w:hyperlink r:id="rId59" w:history="1">
        <w:r w:rsidRPr="00E646D7">
          <w:rPr>
            <w:rFonts w:eastAsiaTheme="minorHAnsi"/>
          </w:rPr>
          <w:t>https://treasury.govt.nz/information-and-services/nz-economy/living-standards/our-living-standards-framework</w:t>
        </w:r>
      </w:hyperlink>
      <w:r w:rsidRPr="00E646D7">
        <w:rPr>
          <w:rFonts w:eastAsiaTheme="minorHAnsi"/>
        </w:rPr>
        <w:t xml:space="preserve"> (accessed 25 July 2018).</w:t>
      </w:r>
    </w:p>
    <w:p w14:paraId="7D74D3B5" w14:textId="77777777" w:rsidR="007A4780" w:rsidRPr="00260D04" w:rsidRDefault="007A4780" w:rsidP="007A4780">
      <w:pPr>
        <w:pStyle w:val="References"/>
        <w:rPr>
          <w:rFonts w:eastAsiaTheme="minorHAnsi"/>
          <w:lang w:eastAsia="en-US"/>
        </w:rPr>
      </w:pPr>
      <w:r w:rsidRPr="000B50E3">
        <w:rPr>
          <w:rFonts w:eastAsiaTheme="minorHAnsi"/>
          <w:lang w:eastAsia="en-US"/>
        </w:rPr>
        <w:t>The Treasury. 2018</w:t>
      </w:r>
      <w:r>
        <w:rPr>
          <w:rFonts w:eastAsiaTheme="minorHAnsi"/>
          <w:lang w:eastAsia="en-US"/>
        </w:rPr>
        <w:t>b</w:t>
      </w:r>
      <w:r w:rsidRPr="000B50E3">
        <w:rPr>
          <w:rFonts w:eastAsiaTheme="minorHAnsi"/>
          <w:lang w:eastAsia="en-US"/>
        </w:rPr>
        <w:t xml:space="preserve">. </w:t>
      </w:r>
      <w:r w:rsidRPr="001B277C">
        <w:rPr>
          <w:rFonts w:eastAsiaTheme="minorHAnsi"/>
          <w:lang w:eastAsia="en-US"/>
        </w:rPr>
        <w:t xml:space="preserve">Tim Ng </w:t>
      </w:r>
      <w:r>
        <w:rPr>
          <w:rFonts w:eastAsiaTheme="minorHAnsi"/>
          <w:lang w:eastAsia="en-US"/>
        </w:rPr>
        <w:t>t</w:t>
      </w:r>
      <w:r w:rsidRPr="001B277C">
        <w:rPr>
          <w:rFonts w:eastAsiaTheme="minorHAnsi"/>
          <w:lang w:eastAsia="en-US"/>
        </w:rPr>
        <w:t>alking with NBR</w:t>
      </w:r>
      <w:r>
        <w:rPr>
          <w:rFonts w:eastAsiaTheme="minorHAnsi"/>
          <w:lang w:eastAsia="en-US"/>
        </w:rPr>
        <w:t>’</w:t>
      </w:r>
      <w:r w:rsidRPr="001B277C">
        <w:rPr>
          <w:rFonts w:eastAsiaTheme="minorHAnsi"/>
          <w:lang w:eastAsia="en-US"/>
        </w:rPr>
        <w:t xml:space="preserve">s Grant Walker about the </w:t>
      </w:r>
      <w:r>
        <w:rPr>
          <w:rFonts w:eastAsiaTheme="minorHAnsi"/>
          <w:lang w:eastAsia="en-US"/>
        </w:rPr>
        <w:t>w</w:t>
      </w:r>
      <w:r w:rsidRPr="001B277C">
        <w:rPr>
          <w:rFonts w:eastAsiaTheme="minorHAnsi"/>
          <w:lang w:eastAsia="en-US"/>
        </w:rPr>
        <w:t xml:space="preserve">ellbeing </w:t>
      </w:r>
      <w:r>
        <w:rPr>
          <w:rFonts w:eastAsiaTheme="minorHAnsi"/>
          <w:lang w:eastAsia="en-US"/>
        </w:rPr>
        <w:t>b</w:t>
      </w:r>
      <w:r w:rsidRPr="001B277C">
        <w:rPr>
          <w:rFonts w:eastAsiaTheme="minorHAnsi"/>
          <w:lang w:eastAsia="en-US"/>
        </w:rPr>
        <w:t>udget</w:t>
      </w:r>
      <w:r w:rsidRPr="000B50E3">
        <w:rPr>
          <w:rFonts w:eastAsiaTheme="minorHAnsi"/>
          <w:i/>
          <w:lang w:eastAsia="en-US"/>
        </w:rPr>
        <w:t>.</w:t>
      </w:r>
      <w:r w:rsidRPr="000B50E3">
        <w:rPr>
          <w:rFonts w:eastAsiaTheme="minorHAnsi"/>
          <w:lang w:eastAsia="en-US"/>
        </w:rPr>
        <w:t xml:space="preserve"> URL</w:t>
      </w:r>
      <w:r w:rsidRPr="00E646D7">
        <w:rPr>
          <w:rFonts w:eastAsiaTheme="minorHAnsi"/>
        </w:rPr>
        <w:t xml:space="preserve">: </w:t>
      </w:r>
      <w:hyperlink r:id="rId60" w:history="1">
        <w:r w:rsidRPr="00E646D7">
          <w:rPr>
            <w:rFonts w:eastAsiaTheme="minorHAnsi"/>
          </w:rPr>
          <w:t>https://treasury.govt.nz/news-and-events/news/tim-ng-talking-nbrs-grant-walker-about-wellbeing-budget</w:t>
        </w:r>
      </w:hyperlink>
      <w:r w:rsidRPr="00E646D7">
        <w:rPr>
          <w:rFonts w:eastAsiaTheme="minorHAnsi"/>
        </w:rPr>
        <w:t xml:space="preserve"> (accessed 25 July 2018).</w:t>
      </w:r>
    </w:p>
    <w:p w14:paraId="05EAB294" w14:textId="77777777" w:rsidR="007A4780" w:rsidRDefault="007A4780" w:rsidP="007A4780">
      <w:pPr>
        <w:pStyle w:val="References"/>
        <w:rPr>
          <w:rFonts w:eastAsiaTheme="minorHAnsi"/>
          <w:lang w:eastAsia="en-US"/>
        </w:rPr>
      </w:pPr>
      <w:proofErr w:type="spellStart"/>
      <w:r>
        <w:rPr>
          <w:rFonts w:eastAsiaTheme="minorHAnsi"/>
          <w:lang w:eastAsia="en-US"/>
        </w:rPr>
        <w:t>Turia</w:t>
      </w:r>
      <w:proofErr w:type="spellEnd"/>
      <w:r>
        <w:rPr>
          <w:rFonts w:eastAsiaTheme="minorHAnsi"/>
          <w:lang w:eastAsia="en-US"/>
        </w:rPr>
        <w:t xml:space="preserve"> T. 2014. </w:t>
      </w:r>
      <w:r w:rsidRPr="007372EC">
        <w:rPr>
          <w:rFonts w:eastAsiaTheme="minorHAnsi"/>
          <w:i/>
          <w:lang w:eastAsia="en-US"/>
        </w:rPr>
        <w:t>Launch of He Korowai Oranga</w:t>
      </w:r>
      <w:r>
        <w:rPr>
          <w:rFonts w:eastAsiaTheme="minorHAnsi"/>
          <w:i/>
          <w:lang w:eastAsia="en-US"/>
        </w:rPr>
        <w:t>:</w:t>
      </w:r>
      <w:r w:rsidRPr="007372EC">
        <w:rPr>
          <w:rFonts w:eastAsiaTheme="minorHAnsi"/>
          <w:i/>
          <w:lang w:eastAsia="en-US"/>
        </w:rPr>
        <w:t xml:space="preserve"> Māori Health Strategy</w:t>
      </w:r>
      <w:r>
        <w:rPr>
          <w:rFonts w:eastAsiaTheme="minorHAnsi"/>
          <w:lang w:eastAsia="en-US"/>
        </w:rPr>
        <w:t xml:space="preserve">. URL: </w:t>
      </w:r>
      <w:hyperlink r:id="rId61" w:history="1">
        <w:r w:rsidRPr="007702A5">
          <w:rPr>
            <w:rStyle w:val="Hyperlink"/>
            <w:rFonts w:eastAsiaTheme="minorHAnsi" w:cstheme="minorBidi"/>
            <w:szCs w:val="22"/>
          </w:rPr>
          <w:t>www.beehive.govt.nz/speech/launch-he-korowai-oranga-–-māori-health-strategy</w:t>
        </w:r>
      </w:hyperlink>
      <w:r>
        <w:rPr>
          <w:rFonts w:eastAsiaTheme="minorHAnsi"/>
          <w:lang w:eastAsia="en-US"/>
        </w:rPr>
        <w:t xml:space="preserve"> (accessed 1 August 2018).</w:t>
      </w:r>
    </w:p>
    <w:p w14:paraId="17D199EE" w14:textId="77777777" w:rsidR="007A4780" w:rsidRDefault="007A4780" w:rsidP="007A4780">
      <w:pPr>
        <w:pStyle w:val="References"/>
        <w:rPr>
          <w:noProof/>
        </w:rPr>
      </w:pPr>
      <w:r>
        <w:rPr>
          <w:noProof/>
        </w:rPr>
        <w:lastRenderedPageBreak/>
        <w:t xml:space="preserve">Waitangi Tribunal. 2019a. </w:t>
      </w:r>
      <w:r w:rsidRPr="002C225B">
        <w:rPr>
          <w:i/>
          <w:noProof/>
        </w:rPr>
        <w:t>HAUORA: Report on Stage One of the Health Services and Outcomes Kaupapa Inquiry</w:t>
      </w:r>
      <w:r>
        <w:rPr>
          <w:noProof/>
        </w:rPr>
        <w:t>. Wellington. Waitangi Tribunal</w:t>
      </w:r>
    </w:p>
    <w:p w14:paraId="5F0B01D9" w14:textId="77777777" w:rsidR="007A4780" w:rsidRDefault="007A4780" w:rsidP="007A4780">
      <w:pPr>
        <w:pStyle w:val="References"/>
        <w:rPr>
          <w:rStyle w:val="Hyperlink"/>
        </w:rPr>
      </w:pPr>
      <w:r>
        <w:rPr>
          <w:noProof/>
        </w:rPr>
        <w:t xml:space="preserve">Waitangi Tribunal. 2019b. </w:t>
      </w:r>
      <w:r>
        <w:rPr>
          <w:i/>
          <w:iCs/>
          <w:noProof/>
        </w:rPr>
        <w:t>Health Services and Outcomes Inquiry</w:t>
      </w:r>
      <w:r>
        <w:rPr>
          <w:noProof/>
        </w:rPr>
        <w:t xml:space="preserve">. Retrieved 6 May 2019 from Waitangi Tribunal: </w:t>
      </w:r>
      <w:hyperlink r:id="rId62" w:history="1">
        <w:r w:rsidRPr="00F60FA6">
          <w:rPr>
            <w:rStyle w:val="Hyperlink"/>
          </w:rPr>
          <w:t>https://www.waitangitribunal.govt.nz/inquiries/kaupapa-inquiries/health-services-and-outcomes-inquiry</w:t>
        </w:r>
      </w:hyperlink>
    </w:p>
    <w:p w14:paraId="4452B920" w14:textId="77777777" w:rsidR="007A4780" w:rsidRDefault="007A4780" w:rsidP="007A4780">
      <w:pPr>
        <w:pStyle w:val="References"/>
        <w:rPr>
          <w:noProof/>
        </w:rPr>
      </w:pPr>
      <w:r>
        <w:rPr>
          <w:noProof/>
        </w:rPr>
        <w:t xml:space="preserve">Wehipeihana N, Were L, Goodwin D, et al. 2018. </w:t>
      </w:r>
      <w:r>
        <w:rPr>
          <w:i/>
          <w:iCs/>
          <w:noProof/>
        </w:rPr>
        <w:t>Addressing the Challenges of Young Māori Women Who Smoke: A developmental evaluation of the phase two demonstration project. Evaluation Report.</w:t>
      </w:r>
      <w:r>
        <w:rPr>
          <w:noProof/>
        </w:rPr>
        <w:t xml:space="preserve"> Wellington: Ministry of Health.</w:t>
      </w:r>
    </w:p>
    <w:p w14:paraId="3494CB8E" w14:textId="77777777" w:rsidR="007A4780" w:rsidRPr="000B50E3" w:rsidRDefault="007A4780" w:rsidP="007A4780">
      <w:pPr>
        <w:pStyle w:val="References"/>
        <w:rPr>
          <w:rFonts w:eastAsiaTheme="minorHAnsi"/>
          <w:lang w:eastAsia="en-US"/>
        </w:rPr>
      </w:pPr>
      <w:r w:rsidRPr="000B50E3">
        <w:rPr>
          <w:rFonts w:eastAsiaTheme="minorHAnsi"/>
          <w:lang w:eastAsia="en-US"/>
        </w:rPr>
        <w:t xml:space="preserve">Wellesley Institute. 2016. </w:t>
      </w:r>
      <w:r w:rsidRPr="000B50E3">
        <w:rPr>
          <w:rFonts w:eastAsiaTheme="minorHAnsi"/>
          <w:i/>
          <w:lang w:eastAsia="en-US"/>
        </w:rPr>
        <w:t>International Review of Health Equity Strategies</w:t>
      </w:r>
      <w:r w:rsidRPr="000B50E3">
        <w:rPr>
          <w:rFonts w:eastAsiaTheme="minorHAnsi"/>
          <w:lang w:eastAsia="en-US"/>
        </w:rPr>
        <w:t xml:space="preserve">. Toronto: Wellesley Institute. URL: </w:t>
      </w:r>
      <w:hyperlink r:id="rId63" w:history="1">
        <w:r w:rsidRPr="0092763E">
          <w:rPr>
            <w:rStyle w:val="Hyperlink"/>
            <w:rFonts w:eastAsiaTheme="minorHAnsi" w:cstheme="minorBidi"/>
            <w:szCs w:val="22"/>
          </w:rPr>
          <w:t>www.wellesleyinstitute.com/wp-content/uploads/2016/07/International-Review-of-Health-Equity-Strategies.pdf</w:t>
        </w:r>
      </w:hyperlink>
      <w:r w:rsidRPr="000B50E3">
        <w:rPr>
          <w:rFonts w:eastAsiaTheme="minorHAnsi"/>
          <w:lang w:eastAsia="en-US"/>
        </w:rPr>
        <w:t xml:space="preserve"> </w:t>
      </w:r>
      <w:r w:rsidRPr="00260D04">
        <w:rPr>
          <w:rFonts w:eastAsiaTheme="minorHAnsi"/>
          <w:lang w:eastAsia="en-US"/>
        </w:rPr>
        <w:t>(accessed 25 July 2018).</w:t>
      </w:r>
    </w:p>
    <w:p w14:paraId="4B51D2A3" w14:textId="77777777" w:rsidR="007A4780" w:rsidRPr="000B50E3" w:rsidRDefault="007A4780" w:rsidP="007A4780">
      <w:pPr>
        <w:pStyle w:val="References"/>
        <w:rPr>
          <w:rFonts w:eastAsiaTheme="minorHAnsi"/>
          <w:lang w:eastAsia="en-US"/>
        </w:rPr>
      </w:pPr>
      <w:r>
        <w:t xml:space="preserve">Whitehead M. 1991. </w:t>
      </w:r>
      <w:r w:rsidRPr="00555767">
        <w:t xml:space="preserve">The concepts and </w:t>
      </w:r>
      <w:r>
        <w:t>principles of equity in health.</w:t>
      </w:r>
      <w:r w:rsidRPr="00555767">
        <w:t xml:space="preserve"> </w:t>
      </w:r>
      <w:r w:rsidRPr="00A008E1">
        <w:rPr>
          <w:i/>
        </w:rPr>
        <w:t>H</w:t>
      </w:r>
      <w:r>
        <w:rPr>
          <w:i/>
        </w:rPr>
        <w:t>ealth Promotion</w:t>
      </w:r>
      <w:r w:rsidRPr="00A008E1">
        <w:rPr>
          <w:i/>
        </w:rPr>
        <w:t xml:space="preserve"> International</w:t>
      </w:r>
      <w:r>
        <w:t xml:space="preserve"> 6(3): 217–28</w:t>
      </w:r>
      <w:r w:rsidRPr="000B50E3">
        <w:rPr>
          <w:rFonts w:eastAsiaTheme="minorHAnsi"/>
          <w:lang w:eastAsia="en-US"/>
        </w:rPr>
        <w:t>.</w:t>
      </w:r>
      <w:r>
        <w:rPr>
          <w:rFonts w:eastAsiaTheme="minorHAnsi"/>
          <w:lang w:eastAsia="en-US"/>
        </w:rPr>
        <w:t xml:space="preserve"> URL: </w:t>
      </w:r>
      <w:hyperlink r:id="rId64" w:history="1">
        <w:r>
          <w:rPr>
            <w:rStyle w:val="Hyperlink"/>
            <w:rFonts w:eastAsia="MS Gothic"/>
          </w:rPr>
          <w:t>https://doi.org/10.1093/heapro/6.3.217</w:t>
        </w:r>
      </w:hyperlink>
      <w:r>
        <w:t xml:space="preserve"> (accessed 2 September 2018).</w:t>
      </w:r>
    </w:p>
    <w:p w14:paraId="1D0A9F11" w14:textId="77777777" w:rsidR="007A4780" w:rsidRPr="000B50E3" w:rsidRDefault="007A4780" w:rsidP="007A4780">
      <w:pPr>
        <w:pStyle w:val="References"/>
        <w:rPr>
          <w:rFonts w:eastAsiaTheme="minorHAnsi"/>
          <w:lang w:eastAsia="en-US"/>
        </w:rPr>
      </w:pPr>
      <w:r w:rsidRPr="000B50E3">
        <w:rPr>
          <w:rFonts w:eastAsiaTheme="minorHAnsi"/>
          <w:lang w:eastAsia="en-US"/>
        </w:rPr>
        <w:t>Wilkinson RG. 1992</w:t>
      </w:r>
      <w:r>
        <w:rPr>
          <w:rFonts w:eastAsiaTheme="minorHAnsi"/>
          <w:lang w:eastAsia="en-US"/>
        </w:rPr>
        <w:t>a</w:t>
      </w:r>
      <w:r w:rsidRPr="000B50E3">
        <w:rPr>
          <w:rFonts w:eastAsiaTheme="minorHAnsi"/>
          <w:lang w:eastAsia="en-US"/>
        </w:rPr>
        <w:t xml:space="preserve">. Income distribution and life expectancy. </w:t>
      </w:r>
      <w:r w:rsidRPr="000B50E3">
        <w:rPr>
          <w:rFonts w:eastAsiaTheme="minorHAnsi"/>
          <w:i/>
          <w:lang w:eastAsia="en-US"/>
        </w:rPr>
        <w:t>British Medical Journal</w:t>
      </w:r>
      <w:r w:rsidRPr="000B50E3">
        <w:rPr>
          <w:rFonts w:eastAsiaTheme="minorHAnsi"/>
          <w:lang w:eastAsia="en-US"/>
        </w:rPr>
        <w:t xml:space="preserve"> 304(6820):</w:t>
      </w:r>
      <w:r>
        <w:rPr>
          <w:rFonts w:eastAsiaTheme="minorHAnsi"/>
          <w:lang w:eastAsia="en-US"/>
        </w:rPr>
        <w:t xml:space="preserve"> </w:t>
      </w:r>
      <w:r w:rsidRPr="000B50E3">
        <w:rPr>
          <w:rFonts w:eastAsiaTheme="minorHAnsi"/>
          <w:lang w:eastAsia="en-US"/>
        </w:rPr>
        <w:t>165–8.</w:t>
      </w:r>
    </w:p>
    <w:p w14:paraId="3B851F93" w14:textId="77777777" w:rsidR="007A4780" w:rsidRPr="000B50E3" w:rsidRDefault="007A4780" w:rsidP="007A4780">
      <w:pPr>
        <w:pStyle w:val="References"/>
        <w:rPr>
          <w:rFonts w:eastAsiaTheme="minorHAnsi"/>
          <w:lang w:eastAsia="en-US"/>
        </w:rPr>
      </w:pPr>
      <w:r w:rsidRPr="000B50E3">
        <w:rPr>
          <w:rFonts w:eastAsiaTheme="minorHAnsi"/>
          <w:lang w:eastAsia="en-US"/>
        </w:rPr>
        <w:t>Wilkinson RG. 1992</w:t>
      </w:r>
      <w:r>
        <w:rPr>
          <w:rFonts w:eastAsiaTheme="minorHAnsi"/>
          <w:lang w:eastAsia="en-US"/>
        </w:rPr>
        <w:t>b</w:t>
      </w:r>
      <w:r w:rsidRPr="000B50E3">
        <w:rPr>
          <w:rFonts w:eastAsiaTheme="minorHAnsi"/>
          <w:lang w:eastAsia="en-US"/>
        </w:rPr>
        <w:t xml:space="preserve">. National mortality rates: the impact of inequality? </w:t>
      </w:r>
      <w:r w:rsidRPr="000B50E3">
        <w:rPr>
          <w:rFonts w:eastAsiaTheme="minorHAnsi"/>
          <w:i/>
          <w:lang w:eastAsia="en-US"/>
        </w:rPr>
        <w:t>American Journal of Public Health</w:t>
      </w:r>
      <w:r w:rsidRPr="000B50E3">
        <w:rPr>
          <w:rFonts w:eastAsiaTheme="minorHAnsi"/>
          <w:lang w:eastAsia="en-US"/>
        </w:rPr>
        <w:t xml:space="preserve"> 82(8): 1082–4.</w:t>
      </w:r>
    </w:p>
    <w:p w14:paraId="7D19206B" w14:textId="77777777" w:rsidR="007A4780" w:rsidRDefault="007A4780" w:rsidP="007A4780">
      <w:pPr>
        <w:pStyle w:val="References"/>
        <w:rPr>
          <w:rFonts w:eastAsiaTheme="minorHAnsi"/>
          <w:lang w:eastAsia="en-US"/>
        </w:rPr>
      </w:pPr>
      <w:r w:rsidRPr="00EE6853">
        <w:rPr>
          <w:rFonts w:eastAsiaTheme="minorHAnsi"/>
          <w:lang w:eastAsia="en-US"/>
        </w:rPr>
        <w:t xml:space="preserve">Woodward A, </w:t>
      </w:r>
      <w:proofErr w:type="spellStart"/>
      <w:r w:rsidRPr="00EE6853">
        <w:rPr>
          <w:rFonts w:eastAsiaTheme="minorHAnsi"/>
          <w:lang w:eastAsia="en-US"/>
        </w:rPr>
        <w:t>Kawachi</w:t>
      </w:r>
      <w:proofErr w:type="spellEnd"/>
      <w:r w:rsidRPr="00EE6853">
        <w:rPr>
          <w:rFonts w:eastAsiaTheme="minorHAnsi"/>
          <w:lang w:eastAsia="en-US"/>
        </w:rPr>
        <w:t xml:space="preserve"> I. 2000. Why reduce health inequalities? </w:t>
      </w:r>
      <w:r w:rsidRPr="0003266C">
        <w:rPr>
          <w:rFonts w:eastAsiaTheme="minorHAnsi"/>
          <w:i/>
          <w:lang w:eastAsia="en-US"/>
        </w:rPr>
        <w:t>Journal of Epidemiology and Community Health</w:t>
      </w:r>
      <w:r w:rsidRPr="00EE6853">
        <w:rPr>
          <w:rFonts w:eastAsiaTheme="minorHAnsi"/>
          <w:lang w:eastAsia="en-US"/>
        </w:rPr>
        <w:t xml:space="preserve"> 54(12): 923.</w:t>
      </w:r>
    </w:p>
    <w:p w14:paraId="47FD96CA" w14:textId="77777777" w:rsidR="007A4780" w:rsidRPr="000B50E3" w:rsidRDefault="007A4780" w:rsidP="007A4780">
      <w:pPr>
        <w:pStyle w:val="References"/>
        <w:rPr>
          <w:rFonts w:eastAsiaTheme="minorHAnsi"/>
          <w:lang w:eastAsia="en-US"/>
        </w:rPr>
      </w:pPr>
      <w:proofErr w:type="gramStart"/>
      <w:r>
        <w:rPr>
          <w:rFonts w:eastAsiaTheme="minorHAnsi"/>
          <w:lang w:eastAsia="en-US"/>
        </w:rPr>
        <w:t>WHO</w:t>
      </w:r>
      <w:r w:rsidRPr="000B50E3">
        <w:rPr>
          <w:rFonts w:eastAsiaTheme="minorHAnsi"/>
          <w:lang w:eastAsia="en-US"/>
        </w:rPr>
        <w:t>.</w:t>
      </w:r>
      <w:proofErr w:type="gramEnd"/>
      <w:r w:rsidRPr="000B50E3">
        <w:rPr>
          <w:rFonts w:eastAsiaTheme="minorHAnsi"/>
          <w:lang w:eastAsia="en-US"/>
        </w:rPr>
        <w:t xml:space="preserve"> 1978. </w:t>
      </w:r>
      <w:r w:rsidRPr="000B50E3">
        <w:rPr>
          <w:rFonts w:eastAsiaTheme="minorHAnsi"/>
          <w:i/>
          <w:lang w:eastAsia="en-US"/>
        </w:rPr>
        <w:t>Declaration of Alma-Ata</w:t>
      </w:r>
      <w:r w:rsidRPr="000B50E3">
        <w:rPr>
          <w:rFonts w:eastAsiaTheme="minorHAnsi"/>
          <w:lang w:eastAsia="en-US"/>
        </w:rPr>
        <w:t>. International Conference on Primary Health Care, Alma-Ata, USSR, 6</w:t>
      </w:r>
      <w:r>
        <w:rPr>
          <w:rFonts w:eastAsiaTheme="minorHAnsi"/>
          <w:lang w:eastAsia="en-US"/>
        </w:rPr>
        <w:t>–</w:t>
      </w:r>
      <w:r w:rsidRPr="000B50E3">
        <w:rPr>
          <w:rFonts w:eastAsiaTheme="minorHAnsi"/>
          <w:lang w:eastAsia="en-US"/>
        </w:rPr>
        <w:t>12 September 1978. World Health Organization</w:t>
      </w:r>
      <w:r>
        <w:rPr>
          <w:rFonts w:eastAsiaTheme="minorHAnsi"/>
          <w:lang w:eastAsia="en-US"/>
        </w:rPr>
        <w:t>.</w:t>
      </w:r>
      <w:r w:rsidRPr="000B50E3">
        <w:rPr>
          <w:rFonts w:eastAsiaTheme="minorHAnsi"/>
          <w:lang w:eastAsia="en-US"/>
        </w:rPr>
        <w:t xml:space="preserve"> URL: </w:t>
      </w:r>
      <w:hyperlink r:id="rId65" w:history="1">
        <w:r w:rsidRPr="0092763E">
          <w:rPr>
            <w:rStyle w:val="Hyperlink"/>
            <w:rFonts w:eastAsiaTheme="minorHAnsi" w:cstheme="minorBidi"/>
            <w:szCs w:val="22"/>
          </w:rPr>
          <w:t>www.who.int/publications/almaata_declaration_en.pdf</w:t>
        </w:r>
      </w:hyperlink>
      <w:r w:rsidRPr="000B50E3">
        <w:rPr>
          <w:rFonts w:eastAsiaTheme="minorHAnsi"/>
          <w:lang w:eastAsia="en-US"/>
        </w:rPr>
        <w:t xml:space="preserve"> </w:t>
      </w:r>
      <w:r w:rsidRPr="00260D04">
        <w:rPr>
          <w:rFonts w:eastAsiaTheme="minorHAnsi"/>
          <w:lang w:eastAsia="en-US"/>
        </w:rPr>
        <w:t>(accessed 25 July 2018).</w:t>
      </w:r>
    </w:p>
    <w:p w14:paraId="668EAF34" w14:textId="77777777" w:rsidR="007A4780" w:rsidRDefault="007A4780" w:rsidP="007A4780">
      <w:pPr>
        <w:pStyle w:val="References"/>
        <w:rPr>
          <w:rFonts w:eastAsiaTheme="minorHAnsi"/>
        </w:rPr>
      </w:pPr>
      <w:proofErr w:type="gramStart"/>
      <w:r>
        <w:rPr>
          <w:rFonts w:eastAsiaTheme="minorHAnsi"/>
          <w:lang w:eastAsia="en-US"/>
        </w:rPr>
        <w:t>WHO</w:t>
      </w:r>
      <w:r w:rsidRPr="000B50E3">
        <w:rPr>
          <w:rFonts w:eastAsiaTheme="minorHAnsi"/>
          <w:lang w:eastAsia="en-US"/>
        </w:rPr>
        <w:t>.</w:t>
      </w:r>
      <w:proofErr w:type="gramEnd"/>
      <w:r w:rsidRPr="000B50E3">
        <w:rPr>
          <w:rFonts w:eastAsiaTheme="minorHAnsi"/>
          <w:lang w:eastAsia="en-US"/>
        </w:rPr>
        <w:t xml:space="preserve"> 2011. </w:t>
      </w:r>
      <w:r w:rsidRPr="000B50E3">
        <w:rPr>
          <w:rFonts w:eastAsiaTheme="minorHAnsi"/>
          <w:i/>
          <w:lang w:eastAsia="en-US"/>
        </w:rPr>
        <w:t>Rio Political Declaration on Social Determinants of Health</w:t>
      </w:r>
      <w:r w:rsidRPr="000B50E3">
        <w:rPr>
          <w:rFonts w:eastAsiaTheme="minorHAnsi"/>
          <w:lang w:eastAsia="en-US"/>
        </w:rPr>
        <w:t>. World Conference on Social Determinants of Health, Rio de Janeiro, Brazil, 21 October 2011. World Health Organization</w:t>
      </w:r>
      <w:r w:rsidRPr="00E646D7">
        <w:rPr>
          <w:rFonts w:eastAsiaTheme="minorHAnsi"/>
        </w:rPr>
        <w:t xml:space="preserve">. URL: </w:t>
      </w:r>
      <w:hyperlink r:id="rId66" w:history="1">
        <w:r w:rsidRPr="00E646D7">
          <w:rPr>
            <w:rFonts w:eastAsiaTheme="minorHAnsi"/>
          </w:rPr>
          <w:t>http://cmdss2011.org/site/wp-content/uploads/2011/10/Rio-Political-Declaration-on-SDH-20111021.pdf</w:t>
        </w:r>
      </w:hyperlink>
      <w:r w:rsidRPr="00E646D7">
        <w:rPr>
          <w:rFonts w:eastAsiaTheme="minorHAnsi"/>
        </w:rPr>
        <w:t xml:space="preserve"> (accessed 25 July 2018).</w:t>
      </w:r>
    </w:p>
    <w:p w14:paraId="0AE44658" w14:textId="77777777" w:rsidR="007A4780" w:rsidRPr="008E5C35" w:rsidRDefault="007A4780" w:rsidP="007A4780">
      <w:pPr>
        <w:rPr>
          <w:b/>
          <w:color w:val="595959" w:themeColor="text1" w:themeTint="A6"/>
        </w:rPr>
      </w:pPr>
      <w:r>
        <w:rPr>
          <w:noProof/>
        </w:rPr>
        <w:t xml:space="preserve">WHO. 2019. </w:t>
      </w:r>
      <w:r>
        <w:rPr>
          <w:i/>
          <w:iCs/>
          <w:noProof/>
        </w:rPr>
        <w:t>Health System: Equity</w:t>
      </w:r>
      <w:r>
        <w:rPr>
          <w:noProof/>
        </w:rPr>
        <w:t xml:space="preserve">. Retrieved 22 March 2019, from WHO: </w:t>
      </w:r>
      <w:r w:rsidRPr="00EC58A1">
        <w:rPr>
          <w:rStyle w:val="Hyperlink"/>
        </w:rPr>
        <w:t>https://www.who.int/healthsystems/topics/equity/en/</w:t>
      </w:r>
    </w:p>
    <w:p w14:paraId="672C011B" w14:textId="77777777" w:rsidR="007A4780" w:rsidRPr="007A4780" w:rsidRDefault="007A4780" w:rsidP="007A4780"/>
    <w:sectPr w:rsidR="007A4780" w:rsidRPr="007A4780" w:rsidSect="009E1C38">
      <w:headerReference w:type="even" r:id="rId67"/>
      <w:headerReference w:type="default" r:id="rId68"/>
      <w:footerReference w:type="even" r:id="rId69"/>
      <w:footerReference w:type="default" r:id="rId70"/>
      <w:headerReference w:type="first" r:id="rId71"/>
      <w:footerReference w:type="first" r:id="rI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F62B1" w14:textId="77777777" w:rsidR="0019636E" w:rsidRDefault="0019636E" w:rsidP="006A16D3">
      <w:pPr>
        <w:spacing w:after="0" w:line="240" w:lineRule="auto"/>
      </w:pPr>
      <w:r>
        <w:separator/>
      </w:r>
    </w:p>
  </w:endnote>
  <w:endnote w:type="continuationSeparator" w:id="0">
    <w:p w14:paraId="5DA326C1" w14:textId="77777777" w:rsidR="0019636E" w:rsidRDefault="0019636E" w:rsidP="006A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etric 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empos Text Regular">
    <w:altName w:val="Times New Roman"/>
    <w:panose1 w:val="00000000000000000000"/>
    <w:charset w:val="EE"/>
    <w:family w:val="roman"/>
    <w:notTrueType/>
    <w:pitch w:val="default"/>
    <w:sig w:usb0="00000001" w:usb1="00000000" w:usb2="00000000" w:usb3="00000000" w:csb0="00000003" w:csb1="00000000"/>
  </w:font>
  <w:font w:name="Tiempos Text Bold">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Mäori">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A809" w14:textId="77777777" w:rsidR="00214252" w:rsidRDefault="00214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985866"/>
      <w:docPartObj>
        <w:docPartGallery w:val="Page Numbers (Bottom of Page)"/>
        <w:docPartUnique/>
      </w:docPartObj>
    </w:sdtPr>
    <w:sdtEndPr>
      <w:rPr>
        <w:noProof/>
      </w:rPr>
    </w:sdtEndPr>
    <w:sdtContent>
      <w:p w14:paraId="4553F457" w14:textId="77777777" w:rsidR="00214252" w:rsidRDefault="0021425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0D1802D" w14:textId="77777777" w:rsidR="00214252" w:rsidRDefault="00214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125FA" w14:textId="77777777" w:rsidR="00214252" w:rsidRDefault="002142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ED090" w14:textId="77777777" w:rsidR="00214252" w:rsidRDefault="002142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321362"/>
      <w:docPartObj>
        <w:docPartGallery w:val="Page Numbers (Bottom of Page)"/>
        <w:docPartUnique/>
      </w:docPartObj>
    </w:sdtPr>
    <w:sdtEndPr>
      <w:rPr>
        <w:noProof/>
      </w:rPr>
    </w:sdtEndPr>
    <w:sdtContent>
      <w:p w14:paraId="2ED06C47" w14:textId="77777777" w:rsidR="00214252" w:rsidRDefault="00214252">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0CD6A46E" w14:textId="77777777" w:rsidR="00214252" w:rsidRDefault="0021425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3F487" w14:textId="77777777" w:rsidR="00214252" w:rsidRDefault="00214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463AA" w14:textId="77777777" w:rsidR="0019636E" w:rsidRDefault="0019636E" w:rsidP="006A16D3">
      <w:pPr>
        <w:spacing w:after="0" w:line="240" w:lineRule="auto"/>
      </w:pPr>
      <w:r>
        <w:separator/>
      </w:r>
    </w:p>
  </w:footnote>
  <w:footnote w:type="continuationSeparator" w:id="0">
    <w:p w14:paraId="2E642F39" w14:textId="77777777" w:rsidR="0019636E" w:rsidRDefault="0019636E" w:rsidP="006A16D3">
      <w:pPr>
        <w:spacing w:after="0" w:line="240" w:lineRule="auto"/>
      </w:pPr>
      <w:r>
        <w:continuationSeparator/>
      </w:r>
    </w:p>
  </w:footnote>
  <w:footnote w:id="1">
    <w:p w14:paraId="019CE1A4" w14:textId="75DF5860" w:rsidR="00214252" w:rsidRDefault="00214252">
      <w:pPr>
        <w:pStyle w:val="FootnoteText"/>
      </w:pPr>
      <w:r>
        <w:rPr>
          <w:rStyle w:val="FootnoteReference"/>
        </w:rPr>
        <w:footnoteRef/>
      </w:r>
      <w:r>
        <w:t xml:space="preserve"> The Ritenga Māori declaration (often commonly referred to as the ‘fourth article’) was drafted in te reo Māori and read out during discussions with rangatira concerning Te Tiriti o Waitangi. It provided for the protection of religious freedom and the protection of traditional spirituality and knowledge.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AD4B9" w14:textId="148438A8" w:rsidR="00214252" w:rsidRDefault="00117749">
    <w:pPr>
      <w:pStyle w:val="Header"/>
    </w:pPr>
    <w:r>
      <w:rPr>
        <w:noProof/>
      </w:rPr>
      <w:pict w14:anchorId="25B10E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0001" o:spid="_x0000_s2058" type="#_x0000_t136" style="position:absolute;margin-left:0;margin-top:0;width:565.55pt;height:70.65pt;rotation:315;z-index:-251645952;mso-position-horizontal:center;mso-position-horizontal-relative:margin;mso-position-vertical:center;mso-position-vertical-relative:margin" o:allowincell="f" fillcolor="silver" stroked="f">
          <v:fill opacity=".5"/>
          <v:textpath style="font-family:&quot;Segoe UI&quot;;font-size:1pt" string="DRAFT FOR DISCUSSION "/>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C33F" w14:textId="0098B1EF" w:rsidR="00214252" w:rsidRDefault="00117749">
    <w:pPr>
      <w:pStyle w:val="Header"/>
    </w:pPr>
    <w:r>
      <w:rPr>
        <w:noProof/>
      </w:rPr>
      <w:pict w14:anchorId="7119A9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0010" o:spid="_x0000_s2067" type="#_x0000_t136" style="position:absolute;margin-left:0;margin-top:0;width:565.55pt;height:70.65pt;rotation:315;z-index:-251627520;mso-position-horizontal:center;mso-position-horizontal-relative:margin;mso-position-vertical:center;mso-position-vertical-relative:margin" o:allowincell="f" fillcolor="silver" stroked="f">
          <v:fill opacity=".5"/>
          <v:textpath style="font-family:&quot;Segoe UI&quot;;font-size:1pt" string="DRAFT FOR DISCUSSION "/>
          <w10:wrap anchorx="margin" anchory="margin"/>
        </v:shape>
      </w:pict>
    </w:r>
    <w:r>
      <w:rPr>
        <w:noProof/>
      </w:rPr>
      <w:pict w14:anchorId="6259C7A0">
        <v:shape id="_x0000_s2053" type="#_x0000_t136" style="position:absolute;margin-left:0;margin-top:0;width:589.75pt;height:46.55pt;rotation:315;z-index:-251650048;mso-position-horizontal:center;mso-position-horizontal-relative:margin;mso-position-vertical:center;mso-position-vertical-relative:margin" o:allowincell="f" fillcolor="silver" stroked="f">
          <v:fill opacity=".5"/>
          <v:textpath style="font-family:&quot;Segoe UI&quot;;font-size:1pt" string="DRAFT NOT FOR WIDER CIRCULATION "/>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DAC9" w14:textId="01CD3038" w:rsidR="00214252" w:rsidRPr="009C4C27" w:rsidRDefault="00117749" w:rsidP="009C4C27">
    <w:pPr>
      <w:pStyle w:val="Header"/>
    </w:pPr>
    <w:r>
      <w:rPr>
        <w:noProof/>
      </w:rPr>
      <w:pict w14:anchorId="63C7C4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0011" o:spid="_x0000_s2068" type="#_x0000_t136" style="position:absolute;margin-left:0;margin-top:0;width:565.55pt;height:70.65pt;rotation:315;z-index:-251625472;mso-position-horizontal:center;mso-position-horizontal-relative:margin;mso-position-vertical:center;mso-position-vertical-relative:margin" o:allowincell="f" fillcolor="silver" stroked="f">
          <v:fill opacity=".5"/>
          <v:textpath style="font-family:&quot;Segoe UI&quot;;font-size:1pt" string="DRAFT FOR DISCUSSION "/>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FD803" w14:textId="4E649B30" w:rsidR="00214252" w:rsidRDefault="00117749">
    <w:pPr>
      <w:pStyle w:val="Header"/>
    </w:pPr>
    <w:r>
      <w:rPr>
        <w:noProof/>
      </w:rPr>
      <w:pict w14:anchorId="46B5F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0009" o:spid="_x0000_s2066" type="#_x0000_t136" style="position:absolute;margin-left:0;margin-top:0;width:565.55pt;height:70.65pt;rotation:315;z-index:-251629568;mso-position-horizontal:center;mso-position-horizontal-relative:margin;mso-position-vertical:center;mso-position-vertical-relative:margin" o:allowincell="f" fillcolor="silver" stroked="f">
          <v:fill opacity=".5"/>
          <v:textpath style="font-family:&quot;Segoe UI&quot;;font-size:1pt" string="DRAFT FOR DISCUSSION "/>
          <w10:wrap anchorx="margin" anchory="margin"/>
        </v:shape>
      </w:pict>
    </w:r>
    <w:r>
      <w:rPr>
        <w:noProof/>
      </w:rPr>
      <w:pict w14:anchorId="6A5DA39B">
        <v:shape id="_x0000_s2052" type="#_x0000_t136" style="position:absolute;margin-left:0;margin-top:0;width:589.75pt;height:46.55pt;rotation:315;z-index:-251651072;mso-position-horizontal:center;mso-position-horizontal-relative:margin;mso-position-vertical:center;mso-position-vertical-relative:margin" o:allowincell="f" fillcolor="silver" stroked="f">
          <v:fill opacity=".5"/>
          <v:textpath style="font-family:&quot;Segoe UI&quot;;font-size:1pt" string="DRAFT NOT FOR WIDER CIRCULATION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2A58" w14:textId="3509B39D" w:rsidR="00214252" w:rsidRPr="005E61C4" w:rsidRDefault="00117749" w:rsidP="005E61C4">
    <w:pPr>
      <w:pStyle w:val="Header"/>
    </w:pPr>
    <w:r>
      <w:rPr>
        <w:noProof/>
      </w:rPr>
      <w:pict w14:anchorId="73E50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0002" o:spid="_x0000_s2059" type="#_x0000_t136" style="position:absolute;margin-left:0;margin-top:0;width:565.55pt;height:70.65pt;rotation:315;z-index:-251643904;mso-position-horizontal:center;mso-position-horizontal-relative:margin;mso-position-vertical:center;mso-position-vertical-relative:margin" o:allowincell="f" fillcolor="silver" stroked="f">
          <v:fill opacity=".5"/>
          <v:textpath style="font-family:&quot;Segoe UI&quot;;font-size:1pt" string="DRAFT FOR DISCUSSION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EFFC" w14:textId="050FC40E" w:rsidR="00214252" w:rsidRDefault="00117749">
    <w:pPr>
      <w:pStyle w:val="Header"/>
    </w:pPr>
    <w:r>
      <w:rPr>
        <w:noProof/>
      </w:rPr>
      <w:pict w14:anchorId="39DD9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0000" o:spid="_x0000_s2057" type="#_x0000_t136" style="position:absolute;margin-left:0;margin-top:0;width:565.55pt;height:70.65pt;rotation:315;z-index:-251648000;mso-position-horizontal:center;mso-position-horizontal-relative:margin;mso-position-vertical:center;mso-position-vertical-relative:margin" o:allowincell="f" fillcolor="silver" stroked="f">
          <v:fill opacity=".5"/>
          <v:textpath style="font-family:&quot;Segoe UI&quot;;font-size:1pt" string="DRAFT FOR DISCUSSION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3D8A9" w14:textId="5634D19E" w:rsidR="00214252" w:rsidRDefault="00117749">
    <w:pPr>
      <w:pStyle w:val="Header"/>
    </w:pPr>
    <w:r>
      <w:rPr>
        <w:noProof/>
      </w:rPr>
      <w:pict w14:anchorId="6EA8A0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0004" o:spid="_x0000_s2061" type="#_x0000_t136" style="position:absolute;margin-left:0;margin-top:0;width:565.55pt;height:70.65pt;rotation:315;z-index:-251639808;mso-position-horizontal:center;mso-position-horizontal-relative:margin;mso-position-vertical:center;mso-position-vertical-relative:margin" o:allowincell="f" fillcolor="silver" stroked="f">
          <v:fill opacity=".5"/>
          <v:textpath style="font-family:&quot;Segoe UI&quot;;font-size:1pt" string="DRAFT FOR DISCUSSION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97BF4" w14:textId="7D174963" w:rsidR="00214252" w:rsidRPr="005E61C4" w:rsidRDefault="00117749" w:rsidP="005E61C4">
    <w:pPr>
      <w:pStyle w:val="Header"/>
    </w:pPr>
    <w:r>
      <w:rPr>
        <w:noProof/>
      </w:rPr>
      <w:pict w14:anchorId="681EB5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0005" o:spid="_x0000_s2062" type="#_x0000_t136" style="position:absolute;margin-left:0;margin-top:0;width:565.55pt;height:70.65pt;rotation:315;z-index:-251637760;mso-position-horizontal:center;mso-position-horizontal-relative:margin;mso-position-vertical:center;mso-position-vertical-relative:margin" o:allowincell="f" fillcolor="silver" stroked="f">
          <v:fill opacity=".5"/>
          <v:textpath style="font-family:&quot;Segoe UI&quot;;font-size:1pt" string="DRAFT FOR DISCUSSION "/>
          <w10:wrap anchorx="margin" anchory="margin"/>
        </v:shape>
      </w:pict>
    </w:r>
    <w:r w:rsidR="00214252" w:rsidRPr="005E61C4">
      <w:rPr>
        <w:b/>
        <w:color w:val="2E74B5" w:themeColor="accent1" w:themeShade="BF"/>
        <w:sz w:val="32"/>
      </w:rPr>
      <w:t>Appendix one</w:t>
    </w:r>
    <w:r w:rsidR="00214252">
      <w:rPr>
        <w:b/>
        <w:color w:val="2E74B5" w:themeColor="accent1" w:themeShade="BF"/>
        <w:sz w:val="32"/>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8795" w14:textId="78D7FCD1" w:rsidR="00214252" w:rsidRDefault="00117749">
    <w:pPr>
      <w:pStyle w:val="Header"/>
    </w:pPr>
    <w:r>
      <w:rPr>
        <w:noProof/>
      </w:rPr>
      <w:pict w14:anchorId="5AB1FA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0003" o:spid="_x0000_s2060" type="#_x0000_t136" style="position:absolute;margin-left:0;margin-top:0;width:565.55pt;height:70.65pt;rotation:315;z-index:-251641856;mso-position-horizontal:center;mso-position-horizontal-relative:margin;mso-position-vertical:center;mso-position-vertical-relative:margin" o:allowincell="f" fillcolor="silver" stroked="f">
          <v:fill opacity=".5"/>
          <v:textpath style="font-family:&quot;Segoe UI&quot;;font-size:1pt" string="DRAFT FOR DISCUSSION "/>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B1E4" w14:textId="3C09B3AC" w:rsidR="00214252" w:rsidRDefault="00117749">
    <w:pPr>
      <w:pStyle w:val="Header"/>
    </w:pPr>
    <w:r>
      <w:rPr>
        <w:noProof/>
      </w:rPr>
      <w:pict w14:anchorId="185CD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0007" o:spid="_x0000_s2064" type="#_x0000_t136" style="position:absolute;margin-left:0;margin-top:0;width:565.55pt;height:70.65pt;rotation:315;z-index:-251633664;mso-position-horizontal:center;mso-position-horizontal-relative:margin;mso-position-vertical:center;mso-position-vertical-relative:margin" o:allowincell="f" fillcolor="silver" stroked="f">
          <v:fill opacity=".5"/>
          <v:textpath style="font-family:&quot;Segoe UI&quot;;font-size:1pt" string="DRAFT FOR DISCUSSION "/>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BB76" w14:textId="59F784F9" w:rsidR="00214252" w:rsidRPr="009C4C27" w:rsidRDefault="00117749" w:rsidP="009C4C27">
    <w:pPr>
      <w:pStyle w:val="Header"/>
    </w:pPr>
    <w:r>
      <w:rPr>
        <w:noProof/>
      </w:rPr>
      <w:pict w14:anchorId="75C67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0008" o:spid="_x0000_s2065" type="#_x0000_t136" style="position:absolute;margin-left:0;margin-top:0;width:565.55pt;height:70.65pt;rotation:315;z-index:-251631616;mso-position-horizontal:center;mso-position-horizontal-relative:margin;mso-position-vertical:center;mso-position-vertical-relative:margin" o:allowincell="f" fillcolor="silver" stroked="f">
          <v:fill opacity=".5"/>
          <v:textpath style="font-family:&quot;Segoe UI&quot;;font-size:1pt" string="DRAFT FOR DISCUSSION "/>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A5DE0" w14:textId="1A89C3A6" w:rsidR="00214252" w:rsidRDefault="00117749">
    <w:pPr>
      <w:pStyle w:val="Header"/>
    </w:pPr>
    <w:r>
      <w:rPr>
        <w:noProof/>
      </w:rPr>
      <w:pict w14:anchorId="3140B5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0006" o:spid="_x0000_s2063" type="#_x0000_t136" style="position:absolute;margin-left:0;margin-top:0;width:565.55pt;height:70.65pt;rotation:315;z-index:-251635712;mso-position-horizontal:center;mso-position-horizontal-relative:margin;mso-position-vertical:center;mso-position-vertical-relative:margin" o:allowincell="f" fillcolor="silver" stroked="f">
          <v:fill opacity=".5"/>
          <v:textpath style="font-family:&quot;Segoe UI&quot;;font-size:1pt" string="DRAFT FOR DISCUSSION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F3B"/>
    <w:multiLevelType w:val="hybridMultilevel"/>
    <w:tmpl w:val="FAAAF9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052DFB"/>
    <w:multiLevelType w:val="hybridMultilevel"/>
    <w:tmpl w:val="5C8E19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80A6F"/>
    <w:multiLevelType w:val="hybridMultilevel"/>
    <w:tmpl w:val="F4F88D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2F3F20"/>
    <w:multiLevelType w:val="hybridMultilevel"/>
    <w:tmpl w:val="FEBE8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6D7128"/>
    <w:multiLevelType w:val="hybridMultilevel"/>
    <w:tmpl w:val="DDF8FF0E"/>
    <w:lvl w:ilvl="0" w:tplc="673E4EB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607C4"/>
    <w:multiLevelType w:val="hybridMultilevel"/>
    <w:tmpl w:val="430456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D0608A"/>
    <w:multiLevelType w:val="hybridMultilevel"/>
    <w:tmpl w:val="B9883A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FB73D0"/>
    <w:multiLevelType w:val="hybridMultilevel"/>
    <w:tmpl w:val="6CCC35C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2CA2C5A"/>
    <w:multiLevelType w:val="hybridMultilevel"/>
    <w:tmpl w:val="4D367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DF730DD"/>
    <w:multiLevelType w:val="hybridMultilevel"/>
    <w:tmpl w:val="B4083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82F45D7"/>
    <w:multiLevelType w:val="hybridMultilevel"/>
    <w:tmpl w:val="3E2435B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1" w15:restartNumberingAfterBreak="0">
    <w:nsid w:val="5BD53FE8"/>
    <w:multiLevelType w:val="hybridMultilevel"/>
    <w:tmpl w:val="B82E646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5D012989"/>
    <w:multiLevelType w:val="hybridMultilevel"/>
    <w:tmpl w:val="5178F5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26100F7"/>
    <w:multiLevelType w:val="hybridMultilevel"/>
    <w:tmpl w:val="4F0A82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2D5483A"/>
    <w:multiLevelType w:val="hybridMultilevel"/>
    <w:tmpl w:val="A23454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0"/>
  </w:num>
  <w:num w:numId="5">
    <w:abstractNumId w:val="12"/>
  </w:num>
  <w:num w:numId="6">
    <w:abstractNumId w:val="8"/>
  </w:num>
  <w:num w:numId="7">
    <w:abstractNumId w:val="3"/>
  </w:num>
  <w:num w:numId="8">
    <w:abstractNumId w:val="6"/>
  </w:num>
  <w:num w:numId="9">
    <w:abstractNumId w:val="10"/>
  </w:num>
  <w:num w:numId="10">
    <w:abstractNumId w:val="5"/>
  </w:num>
  <w:num w:numId="11">
    <w:abstractNumId w:val="7"/>
  </w:num>
  <w:num w:numId="12">
    <w:abstractNumId w:val="14"/>
  </w:num>
  <w:num w:numId="13">
    <w:abstractNumId w:val="9"/>
  </w:num>
  <w:num w:numId="14">
    <w:abstractNumId w:val="1"/>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B4"/>
    <w:rsid w:val="00005990"/>
    <w:rsid w:val="00011187"/>
    <w:rsid w:val="00017F4C"/>
    <w:rsid w:val="00025166"/>
    <w:rsid w:val="000307DF"/>
    <w:rsid w:val="00036631"/>
    <w:rsid w:val="00042C1C"/>
    <w:rsid w:val="00042F43"/>
    <w:rsid w:val="00045B4E"/>
    <w:rsid w:val="00047199"/>
    <w:rsid w:val="00047831"/>
    <w:rsid w:val="00060DBB"/>
    <w:rsid w:val="000658FB"/>
    <w:rsid w:val="000771EF"/>
    <w:rsid w:val="00080835"/>
    <w:rsid w:val="00090658"/>
    <w:rsid w:val="00093FCE"/>
    <w:rsid w:val="000974AD"/>
    <w:rsid w:val="000A0C5A"/>
    <w:rsid w:val="000A101E"/>
    <w:rsid w:val="000A2F0E"/>
    <w:rsid w:val="000B3BF7"/>
    <w:rsid w:val="000B7C0E"/>
    <w:rsid w:val="000C2BF7"/>
    <w:rsid w:val="000D3087"/>
    <w:rsid w:val="000D402E"/>
    <w:rsid w:val="000D4257"/>
    <w:rsid w:val="000E0E26"/>
    <w:rsid w:val="000E7BA3"/>
    <w:rsid w:val="000F2353"/>
    <w:rsid w:val="000F698F"/>
    <w:rsid w:val="000F7D36"/>
    <w:rsid w:val="00100374"/>
    <w:rsid w:val="00110A71"/>
    <w:rsid w:val="00111034"/>
    <w:rsid w:val="001131D9"/>
    <w:rsid w:val="001137C1"/>
    <w:rsid w:val="0011594D"/>
    <w:rsid w:val="00116C06"/>
    <w:rsid w:val="00117703"/>
    <w:rsid w:val="00117749"/>
    <w:rsid w:val="0012110F"/>
    <w:rsid w:val="00123BB5"/>
    <w:rsid w:val="001258CF"/>
    <w:rsid w:val="001353BB"/>
    <w:rsid w:val="00140E41"/>
    <w:rsid w:val="0015799C"/>
    <w:rsid w:val="00160B98"/>
    <w:rsid w:val="00164578"/>
    <w:rsid w:val="0016613C"/>
    <w:rsid w:val="00171B5B"/>
    <w:rsid w:val="00174F65"/>
    <w:rsid w:val="00181EA4"/>
    <w:rsid w:val="00182EDA"/>
    <w:rsid w:val="001864A5"/>
    <w:rsid w:val="00186721"/>
    <w:rsid w:val="001869C3"/>
    <w:rsid w:val="00187336"/>
    <w:rsid w:val="0018761D"/>
    <w:rsid w:val="0019202B"/>
    <w:rsid w:val="0019636E"/>
    <w:rsid w:val="001A01FE"/>
    <w:rsid w:val="001A3C8A"/>
    <w:rsid w:val="001B05B2"/>
    <w:rsid w:val="001B3B67"/>
    <w:rsid w:val="001C117B"/>
    <w:rsid w:val="001C2C75"/>
    <w:rsid w:val="001C642C"/>
    <w:rsid w:val="001C78DF"/>
    <w:rsid w:val="001D0564"/>
    <w:rsid w:val="001D17B8"/>
    <w:rsid w:val="001D785A"/>
    <w:rsid w:val="001E2E39"/>
    <w:rsid w:val="001E341D"/>
    <w:rsid w:val="001F0BBF"/>
    <w:rsid w:val="001F221F"/>
    <w:rsid w:val="001F53CB"/>
    <w:rsid w:val="001F5D70"/>
    <w:rsid w:val="001F6110"/>
    <w:rsid w:val="00200F0D"/>
    <w:rsid w:val="002011ED"/>
    <w:rsid w:val="002012BE"/>
    <w:rsid w:val="002040EE"/>
    <w:rsid w:val="00214252"/>
    <w:rsid w:val="00216015"/>
    <w:rsid w:val="00222E44"/>
    <w:rsid w:val="00227AFF"/>
    <w:rsid w:val="00234CA2"/>
    <w:rsid w:val="0023599F"/>
    <w:rsid w:val="00237B81"/>
    <w:rsid w:val="00246114"/>
    <w:rsid w:val="00256231"/>
    <w:rsid w:val="00262969"/>
    <w:rsid w:val="002647F5"/>
    <w:rsid w:val="00264EA1"/>
    <w:rsid w:val="002673B8"/>
    <w:rsid w:val="002763AE"/>
    <w:rsid w:val="00277FE7"/>
    <w:rsid w:val="002813C8"/>
    <w:rsid w:val="002815C1"/>
    <w:rsid w:val="00281A2B"/>
    <w:rsid w:val="00284B5D"/>
    <w:rsid w:val="00286DA9"/>
    <w:rsid w:val="0029280A"/>
    <w:rsid w:val="002A6B30"/>
    <w:rsid w:val="002A6E86"/>
    <w:rsid w:val="002B10CD"/>
    <w:rsid w:val="002B13B1"/>
    <w:rsid w:val="002B3F14"/>
    <w:rsid w:val="002D2236"/>
    <w:rsid w:val="002E5C2B"/>
    <w:rsid w:val="002E5F86"/>
    <w:rsid w:val="002E6175"/>
    <w:rsid w:val="002F22F4"/>
    <w:rsid w:val="002F287A"/>
    <w:rsid w:val="002F7E69"/>
    <w:rsid w:val="003027EF"/>
    <w:rsid w:val="0031320A"/>
    <w:rsid w:val="003146AA"/>
    <w:rsid w:val="003221C3"/>
    <w:rsid w:val="00326B33"/>
    <w:rsid w:val="003278D4"/>
    <w:rsid w:val="003340AF"/>
    <w:rsid w:val="003403D5"/>
    <w:rsid w:val="003435D5"/>
    <w:rsid w:val="003508CD"/>
    <w:rsid w:val="003525B2"/>
    <w:rsid w:val="00354DB1"/>
    <w:rsid w:val="00357361"/>
    <w:rsid w:val="00363B57"/>
    <w:rsid w:val="00363CF6"/>
    <w:rsid w:val="00364D7D"/>
    <w:rsid w:val="00370A6F"/>
    <w:rsid w:val="00371C5B"/>
    <w:rsid w:val="00372E6C"/>
    <w:rsid w:val="003820E3"/>
    <w:rsid w:val="00383B31"/>
    <w:rsid w:val="00390965"/>
    <w:rsid w:val="00390A40"/>
    <w:rsid w:val="00393D5A"/>
    <w:rsid w:val="00394102"/>
    <w:rsid w:val="003A1214"/>
    <w:rsid w:val="003A4657"/>
    <w:rsid w:val="003A5C86"/>
    <w:rsid w:val="003A71A4"/>
    <w:rsid w:val="003B3A36"/>
    <w:rsid w:val="003B6C17"/>
    <w:rsid w:val="003C0B65"/>
    <w:rsid w:val="003C5A38"/>
    <w:rsid w:val="003C730A"/>
    <w:rsid w:val="003D0B79"/>
    <w:rsid w:val="003E010A"/>
    <w:rsid w:val="003E2BCB"/>
    <w:rsid w:val="00403FD7"/>
    <w:rsid w:val="00405D88"/>
    <w:rsid w:val="00405FD1"/>
    <w:rsid w:val="00406209"/>
    <w:rsid w:val="004171E8"/>
    <w:rsid w:val="0043158A"/>
    <w:rsid w:val="004329F8"/>
    <w:rsid w:val="00436B86"/>
    <w:rsid w:val="00440BF1"/>
    <w:rsid w:val="00441BEA"/>
    <w:rsid w:val="004421E9"/>
    <w:rsid w:val="0044288E"/>
    <w:rsid w:val="0044418F"/>
    <w:rsid w:val="00455615"/>
    <w:rsid w:val="00457711"/>
    <w:rsid w:val="0046307E"/>
    <w:rsid w:val="00467315"/>
    <w:rsid w:val="00470A7F"/>
    <w:rsid w:val="00471E2B"/>
    <w:rsid w:val="00480A5A"/>
    <w:rsid w:val="00484BA9"/>
    <w:rsid w:val="00494F88"/>
    <w:rsid w:val="00495F89"/>
    <w:rsid w:val="004A221A"/>
    <w:rsid w:val="004A49EF"/>
    <w:rsid w:val="004B271D"/>
    <w:rsid w:val="004C12CE"/>
    <w:rsid w:val="004C552F"/>
    <w:rsid w:val="004E0DF4"/>
    <w:rsid w:val="004E131F"/>
    <w:rsid w:val="004E1FB7"/>
    <w:rsid w:val="004E2E69"/>
    <w:rsid w:val="004E3EC3"/>
    <w:rsid w:val="004F2A9D"/>
    <w:rsid w:val="004F6B9D"/>
    <w:rsid w:val="004F7CFA"/>
    <w:rsid w:val="0050063C"/>
    <w:rsid w:val="0050673F"/>
    <w:rsid w:val="00512A7B"/>
    <w:rsid w:val="00515C07"/>
    <w:rsid w:val="00521160"/>
    <w:rsid w:val="0052299E"/>
    <w:rsid w:val="00522CB5"/>
    <w:rsid w:val="00523047"/>
    <w:rsid w:val="00524B7E"/>
    <w:rsid w:val="0052680D"/>
    <w:rsid w:val="005324A0"/>
    <w:rsid w:val="00542515"/>
    <w:rsid w:val="00542896"/>
    <w:rsid w:val="00550680"/>
    <w:rsid w:val="00550962"/>
    <w:rsid w:val="005514B4"/>
    <w:rsid w:val="005547B5"/>
    <w:rsid w:val="0056009B"/>
    <w:rsid w:val="005632B4"/>
    <w:rsid w:val="0056558B"/>
    <w:rsid w:val="00565802"/>
    <w:rsid w:val="00567B25"/>
    <w:rsid w:val="005759A4"/>
    <w:rsid w:val="00576804"/>
    <w:rsid w:val="00577E98"/>
    <w:rsid w:val="00582B5E"/>
    <w:rsid w:val="00582EB5"/>
    <w:rsid w:val="0059281B"/>
    <w:rsid w:val="00592A37"/>
    <w:rsid w:val="00593AFA"/>
    <w:rsid w:val="00594760"/>
    <w:rsid w:val="005A2E5D"/>
    <w:rsid w:val="005A5E9E"/>
    <w:rsid w:val="005A5EBE"/>
    <w:rsid w:val="005A7BB9"/>
    <w:rsid w:val="005B0F21"/>
    <w:rsid w:val="005B18CE"/>
    <w:rsid w:val="005B26C1"/>
    <w:rsid w:val="005B5C14"/>
    <w:rsid w:val="005B7B0A"/>
    <w:rsid w:val="005C2031"/>
    <w:rsid w:val="005C20A1"/>
    <w:rsid w:val="005C49C8"/>
    <w:rsid w:val="005C6732"/>
    <w:rsid w:val="005D0054"/>
    <w:rsid w:val="005D0AE4"/>
    <w:rsid w:val="005D448A"/>
    <w:rsid w:val="005D5FDC"/>
    <w:rsid w:val="005E09BA"/>
    <w:rsid w:val="005E25A1"/>
    <w:rsid w:val="005E61C4"/>
    <w:rsid w:val="005E6462"/>
    <w:rsid w:val="005E64C2"/>
    <w:rsid w:val="005E6CD9"/>
    <w:rsid w:val="005F1990"/>
    <w:rsid w:val="005F3DC8"/>
    <w:rsid w:val="0060064A"/>
    <w:rsid w:val="006115F0"/>
    <w:rsid w:val="00616A83"/>
    <w:rsid w:val="006212A2"/>
    <w:rsid w:val="006240AC"/>
    <w:rsid w:val="00626638"/>
    <w:rsid w:val="00632919"/>
    <w:rsid w:val="00636BA9"/>
    <w:rsid w:val="00637057"/>
    <w:rsid w:val="006375B8"/>
    <w:rsid w:val="00641F9B"/>
    <w:rsid w:val="006442C7"/>
    <w:rsid w:val="00644D5D"/>
    <w:rsid w:val="0065115B"/>
    <w:rsid w:val="00651D5C"/>
    <w:rsid w:val="006662FA"/>
    <w:rsid w:val="0067017F"/>
    <w:rsid w:val="00670B6E"/>
    <w:rsid w:val="006767CD"/>
    <w:rsid w:val="0067778C"/>
    <w:rsid w:val="00681C58"/>
    <w:rsid w:val="00684184"/>
    <w:rsid w:val="006843AB"/>
    <w:rsid w:val="0068576D"/>
    <w:rsid w:val="00686461"/>
    <w:rsid w:val="0069373E"/>
    <w:rsid w:val="00696125"/>
    <w:rsid w:val="006A1185"/>
    <w:rsid w:val="006A16D3"/>
    <w:rsid w:val="006A330B"/>
    <w:rsid w:val="006A66CC"/>
    <w:rsid w:val="006B1AC1"/>
    <w:rsid w:val="006B261B"/>
    <w:rsid w:val="006B41B1"/>
    <w:rsid w:val="006B4E4B"/>
    <w:rsid w:val="006B6D2D"/>
    <w:rsid w:val="006B7CE2"/>
    <w:rsid w:val="006C1509"/>
    <w:rsid w:val="006C56AE"/>
    <w:rsid w:val="007050FE"/>
    <w:rsid w:val="007065D7"/>
    <w:rsid w:val="00707AA9"/>
    <w:rsid w:val="00707EBF"/>
    <w:rsid w:val="00710B33"/>
    <w:rsid w:val="007126C8"/>
    <w:rsid w:val="00730A3B"/>
    <w:rsid w:val="00731954"/>
    <w:rsid w:val="00731C0D"/>
    <w:rsid w:val="00737D89"/>
    <w:rsid w:val="00737EB4"/>
    <w:rsid w:val="00740D3D"/>
    <w:rsid w:val="0074342B"/>
    <w:rsid w:val="007544C4"/>
    <w:rsid w:val="007568D0"/>
    <w:rsid w:val="00757F79"/>
    <w:rsid w:val="007601A0"/>
    <w:rsid w:val="00760B5A"/>
    <w:rsid w:val="0076382A"/>
    <w:rsid w:val="00764F72"/>
    <w:rsid w:val="00781138"/>
    <w:rsid w:val="00781852"/>
    <w:rsid w:val="00785CCC"/>
    <w:rsid w:val="00786505"/>
    <w:rsid w:val="00786D90"/>
    <w:rsid w:val="00786FA5"/>
    <w:rsid w:val="00790EB2"/>
    <w:rsid w:val="00791173"/>
    <w:rsid w:val="00792C52"/>
    <w:rsid w:val="00794BDB"/>
    <w:rsid w:val="007957DA"/>
    <w:rsid w:val="007A4780"/>
    <w:rsid w:val="007A48B4"/>
    <w:rsid w:val="007A6355"/>
    <w:rsid w:val="007B3B13"/>
    <w:rsid w:val="007B50A6"/>
    <w:rsid w:val="007B5158"/>
    <w:rsid w:val="007B5D0D"/>
    <w:rsid w:val="007C3DF0"/>
    <w:rsid w:val="007C59CF"/>
    <w:rsid w:val="007D03C4"/>
    <w:rsid w:val="007D48B8"/>
    <w:rsid w:val="007D4AF2"/>
    <w:rsid w:val="007D5221"/>
    <w:rsid w:val="007E36C8"/>
    <w:rsid w:val="007E583F"/>
    <w:rsid w:val="007E7EBA"/>
    <w:rsid w:val="007F0310"/>
    <w:rsid w:val="008011D3"/>
    <w:rsid w:val="00801542"/>
    <w:rsid w:val="008049E5"/>
    <w:rsid w:val="008116F7"/>
    <w:rsid w:val="00823F9D"/>
    <w:rsid w:val="0082523B"/>
    <w:rsid w:val="0082722B"/>
    <w:rsid w:val="00832034"/>
    <w:rsid w:val="008322EF"/>
    <w:rsid w:val="008324C9"/>
    <w:rsid w:val="00834C60"/>
    <w:rsid w:val="0084291E"/>
    <w:rsid w:val="0085012E"/>
    <w:rsid w:val="00850FBC"/>
    <w:rsid w:val="00856BEF"/>
    <w:rsid w:val="00861342"/>
    <w:rsid w:val="0086161C"/>
    <w:rsid w:val="00867C2C"/>
    <w:rsid w:val="008727D2"/>
    <w:rsid w:val="00875BB5"/>
    <w:rsid w:val="008776D4"/>
    <w:rsid w:val="0088168C"/>
    <w:rsid w:val="00885947"/>
    <w:rsid w:val="008865A6"/>
    <w:rsid w:val="00887487"/>
    <w:rsid w:val="0089359F"/>
    <w:rsid w:val="00895636"/>
    <w:rsid w:val="008A1418"/>
    <w:rsid w:val="008A2A6A"/>
    <w:rsid w:val="008A4AD9"/>
    <w:rsid w:val="008A7C7D"/>
    <w:rsid w:val="008B2D54"/>
    <w:rsid w:val="008B4373"/>
    <w:rsid w:val="008B4E03"/>
    <w:rsid w:val="008B52E0"/>
    <w:rsid w:val="008C321B"/>
    <w:rsid w:val="008D05DA"/>
    <w:rsid w:val="008D726A"/>
    <w:rsid w:val="008E60DF"/>
    <w:rsid w:val="008E6298"/>
    <w:rsid w:val="008F06C1"/>
    <w:rsid w:val="008F35B0"/>
    <w:rsid w:val="008F63B8"/>
    <w:rsid w:val="00900A9F"/>
    <w:rsid w:val="00902E36"/>
    <w:rsid w:val="009050FC"/>
    <w:rsid w:val="0090679C"/>
    <w:rsid w:val="00907046"/>
    <w:rsid w:val="0093330E"/>
    <w:rsid w:val="009421F5"/>
    <w:rsid w:val="009434ED"/>
    <w:rsid w:val="00943CF1"/>
    <w:rsid w:val="00953CD5"/>
    <w:rsid w:val="00954A04"/>
    <w:rsid w:val="009647E3"/>
    <w:rsid w:val="009747E2"/>
    <w:rsid w:val="00974BA7"/>
    <w:rsid w:val="009755CA"/>
    <w:rsid w:val="00991E95"/>
    <w:rsid w:val="00991F75"/>
    <w:rsid w:val="009A0315"/>
    <w:rsid w:val="009A22D5"/>
    <w:rsid w:val="009A514D"/>
    <w:rsid w:val="009B51B4"/>
    <w:rsid w:val="009C02AF"/>
    <w:rsid w:val="009C1301"/>
    <w:rsid w:val="009C4C27"/>
    <w:rsid w:val="009C60E1"/>
    <w:rsid w:val="009D2DB0"/>
    <w:rsid w:val="009D32D4"/>
    <w:rsid w:val="009D6523"/>
    <w:rsid w:val="009E1C38"/>
    <w:rsid w:val="00A01DDC"/>
    <w:rsid w:val="00A05A67"/>
    <w:rsid w:val="00A06109"/>
    <w:rsid w:val="00A130BA"/>
    <w:rsid w:val="00A13C2E"/>
    <w:rsid w:val="00A1560C"/>
    <w:rsid w:val="00A172CD"/>
    <w:rsid w:val="00A214CB"/>
    <w:rsid w:val="00A22A9E"/>
    <w:rsid w:val="00A22B2A"/>
    <w:rsid w:val="00A25946"/>
    <w:rsid w:val="00A41800"/>
    <w:rsid w:val="00A43055"/>
    <w:rsid w:val="00A4324D"/>
    <w:rsid w:val="00A45D26"/>
    <w:rsid w:val="00A60776"/>
    <w:rsid w:val="00A64D33"/>
    <w:rsid w:val="00A65E5A"/>
    <w:rsid w:val="00A6674A"/>
    <w:rsid w:val="00A668F0"/>
    <w:rsid w:val="00A70DF8"/>
    <w:rsid w:val="00A72289"/>
    <w:rsid w:val="00A72918"/>
    <w:rsid w:val="00A742CE"/>
    <w:rsid w:val="00A87ABD"/>
    <w:rsid w:val="00A93882"/>
    <w:rsid w:val="00A95185"/>
    <w:rsid w:val="00AA27E2"/>
    <w:rsid w:val="00AA5FD7"/>
    <w:rsid w:val="00AA6B8C"/>
    <w:rsid w:val="00AA7EDC"/>
    <w:rsid w:val="00AB0E20"/>
    <w:rsid w:val="00AB3B8C"/>
    <w:rsid w:val="00AD1640"/>
    <w:rsid w:val="00AE0F48"/>
    <w:rsid w:val="00AF02B0"/>
    <w:rsid w:val="00B01A60"/>
    <w:rsid w:val="00B01C76"/>
    <w:rsid w:val="00B04E9D"/>
    <w:rsid w:val="00B05314"/>
    <w:rsid w:val="00B10704"/>
    <w:rsid w:val="00B10AE6"/>
    <w:rsid w:val="00B10B54"/>
    <w:rsid w:val="00B21091"/>
    <w:rsid w:val="00B217A5"/>
    <w:rsid w:val="00B233C9"/>
    <w:rsid w:val="00B24600"/>
    <w:rsid w:val="00B25095"/>
    <w:rsid w:val="00B2651F"/>
    <w:rsid w:val="00B30DBE"/>
    <w:rsid w:val="00B33EC3"/>
    <w:rsid w:val="00B3609D"/>
    <w:rsid w:val="00B41248"/>
    <w:rsid w:val="00B45D32"/>
    <w:rsid w:val="00B53898"/>
    <w:rsid w:val="00B55B01"/>
    <w:rsid w:val="00B563B6"/>
    <w:rsid w:val="00B57239"/>
    <w:rsid w:val="00B62CA0"/>
    <w:rsid w:val="00B62F91"/>
    <w:rsid w:val="00B63F0D"/>
    <w:rsid w:val="00B6635C"/>
    <w:rsid w:val="00B81EA0"/>
    <w:rsid w:val="00B829AE"/>
    <w:rsid w:val="00B83022"/>
    <w:rsid w:val="00B83DBA"/>
    <w:rsid w:val="00B86037"/>
    <w:rsid w:val="00B90588"/>
    <w:rsid w:val="00B94438"/>
    <w:rsid w:val="00B957F5"/>
    <w:rsid w:val="00B96885"/>
    <w:rsid w:val="00BA2481"/>
    <w:rsid w:val="00BA4730"/>
    <w:rsid w:val="00BA5E77"/>
    <w:rsid w:val="00BC0CF7"/>
    <w:rsid w:val="00BC334E"/>
    <w:rsid w:val="00BC3ED7"/>
    <w:rsid w:val="00BD08C2"/>
    <w:rsid w:val="00BD6F86"/>
    <w:rsid w:val="00BD7C08"/>
    <w:rsid w:val="00BE016C"/>
    <w:rsid w:val="00BE105B"/>
    <w:rsid w:val="00BE463E"/>
    <w:rsid w:val="00BE6846"/>
    <w:rsid w:val="00BF2DA0"/>
    <w:rsid w:val="00BF5239"/>
    <w:rsid w:val="00C00A2E"/>
    <w:rsid w:val="00C0436D"/>
    <w:rsid w:val="00C05CBC"/>
    <w:rsid w:val="00C106E5"/>
    <w:rsid w:val="00C11DD9"/>
    <w:rsid w:val="00C22805"/>
    <w:rsid w:val="00C2723F"/>
    <w:rsid w:val="00C31874"/>
    <w:rsid w:val="00C31F1D"/>
    <w:rsid w:val="00C32BCB"/>
    <w:rsid w:val="00C341AA"/>
    <w:rsid w:val="00C408C5"/>
    <w:rsid w:val="00C42C43"/>
    <w:rsid w:val="00C4526F"/>
    <w:rsid w:val="00C466B8"/>
    <w:rsid w:val="00C47048"/>
    <w:rsid w:val="00C639D0"/>
    <w:rsid w:val="00C70DE7"/>
    <w:rsid w:val="00C73539"/>
    <w:rsid w:val="00C75245"/>
    <w:rsid w:val="00C83EA9"/>
    <w:rsid w:val="00C84B47"/>
    <w:rsid w:val="00C91ED6"/>
    <w:rsid w:val="00C9220B"/>
    <w:rsid w:val="00CA63D0"/>
    <w:rsid w:val="00CA719D"/>
    <w:rsid w:val="00CB33AF"/>
    <w:rsid w:val="00CB66C8"/>
    <w:rsid w:val="00CB73A1"/>
    <w:rsid w:val="00CB789B"/>
    <w:rsid w:val="00CC2974"/>
    <w:rsid w:val="00CC46BD"/>
    <w:rsid w:val="00CC5FDE"/>
    <w:rsid w:val="00CD4B85"/>
    <w:rsid w:val="00CE2B80"/>
    <w:rsid w:val="00CE59FD"/>
    <w:rsid w:val="00CF0736"/>
    <w:rsid w:val="00CF2420"/>
    <w:rsid w:val="00CF3BCC"/>
    <w:rsid w:val="00CF7414"/>
    <w:rsid w:val="00D0106D"/>
    <w:rsid w:val="00D017B2"/>
    <w:rsid w:val="00D14031"/>
    <w:rsid w:val="00D15BBE"/>
    <w:rsid w:val="00D17465"/>
    <w:rsid w:val="00D216A9"/>
    <w:rsid w:val="00D42A3A"/>
    <w:rsid w:val="00D52241"/>
    <w:rsid w:val="00D602DE"/>
    <w:rsid w:val="00D628C3"/>
    <w:rsid w:val="00D64479"/>
    <w:rsid w:val="00D64CE4"/>
    <w:rsid w:val="00D66926"/>
    <w:rsid w:val="00D66E6E"/>
    <w:rsid w:val="00D67CB6"/>
    <w:rsid w:val="00D73D91"/>
    <w:rsid w:val="00D74D40"/>
    <w:rsid w:val="00D819A1"/>
    <w:rsid w:val="00D91F3D"/>
    <w:rsid w:val="00D9317E"/>
    <w:rsid w:val="00D97924"/>
    <w:rsid w:val="00DA1FA2"/>
    <w:rsid w:val="00DB543B"/>
    <w:rsid w:val="00DB7A8E"/>
    <w:rsid w:val="00DC219C"/>
    <w:rsid w:val="00DC7915"/>
    <w:rsid w:val="00DD03B7"/>
    <w:rsid w:val="00DD0B98"/>
    <w:rsid w:val="00DD547E"/>
    <w:rsid w:val="00DE79AE"/>
    <w:rsid w:val="00DF4441"/>
    <w:rsid w:val="00DF68AD"/>
    <w:rsid w:val="00DF780A"/>
    <w:rsid w:val="00E0484B"/>
    <w:rsid w:val="00E06572"/>
    <w:rsid w:val="00E11B77"/>
    <w:rsid w:val="00E13DC0"/>
    <w:rsid w:val="00E1452D"/>
    <w:rsid w:val="00E16681"/>
    <w:rsid w:val="00E17861"/>
    <w:rsid w:val="00E20DB3"/>
    <w:rsid w:val="00E20F35"/>
    <w:rsid w:val="00E2560B"/>
    <w:rsid w:val="00E33B27"/>
    <w:rsid w:val="00E34EDE"/>
    <w:rsid w:val="00E47B9C"/>
    <w:rsid w:val="00E50454"/>
    <w:rsid w:val="00E50805"/>
    <w:rsid w:val="00E54DB4"/>
    <w:rsid w:val="00E60E3A"/>
    <w:rsid w:val="00E613F0"/>
    <w:rsid w:val="00E6150C"/>
    <w:rsid w:val="00E62DBB"/>
    <w:rsid w:val="00E85339"/>
    <w:rsid w:val="00E94778"/>
    <w:rsid w:val="00EA0499"/>
    <w:rsid w:val="00EA4859"/>
    <w:rsid w:val="00EA6F32"/>
    <w:rsid w:val="00EB21EF"/>
    <w:rsid w:val="00EC1D3A"/>
    <w:rsid w:val="00EC61D4"/>
    <w:rsid w:val="00EC6417"/>
    <w:rsid w:val="00EE4CBD"/>
    <w:rsid w:val="00EF1A31"/>
    <w:rsid w:val="00EF1B75"/>
    <w:rsid w:val="00EF2002"/>
    <w:rsid w:val="00EF59F0"/>
    <w:rsid w:val="00F00CB8"/>
    <w:rsid w:val="00F01E8D"/>
    <w:rsid w:val="00F04390"/>
    <w:rsid w:val="00F0569E"/>
    <w:rsid w:val="00F059FA"/>
    <w:rsid w:val="00F11743"/>
    <w:rsid w:val="00F1502F"/>
    <w:rsid w:val="00F16BD5"/>
    <w:rsid w:val="00F20559"/>
    <w:rsid w:val="00F23ED8"/>
    <w:rsid w:val="00F23FAA"/>
    <w:rsid w:val="00F3505A"/>
    <w:rsid w:val="00F35E93"/>
    <w:rsid w:val="00F554EA"/>
    <w:rsid w:val="00F61226"/>
    <w:rsid w:val="00F61AAE"/>
    <w:rsid w:val="00F621AE"/>
    <w:rsid w:val="00F63E85"/>
    <w:rsid w:val="00F65B72"/>
    <w:rsid w:val="00F71027"/>
    <w:rsid w:val="00F7112C"/>
    <w:rsid w:val="00F76558"/>
    <w:rsid w:val="00F76DE6"/>
    <w:rsid w:val="00F81CC9"/>
    <w:rsid w:val="00F84016"/>
    <w:rsid w:val="00F847C9"/>
    <w:rsid w:val="00F9088A"/>
    <w:rsid w:val="00F934C3"/>
    <w:rsid w:val="00F94798"/>
    <w:rsid w:val="00FA2670"/>
    <w:rsid w:val="00FA453C"/>
    <w:rsid w:val="00FA7B21"/>
    <w:rsid w:val="00FA7F73"/>
    <w:rsid w:val="00FB07B1"/>
    <w:rsid w:val="00FB0B91"/>
    <w:rsid w:val="00FB1640"/>
    <w:rsid w:val="00FB2F11"/>
    <w:rsid w:val="00FB5BFC"/>
    <w:rsid w:val="00FB6E6E"/>
    <w:rsid w:val="00FC1BB6"/>
    <w:rsid w:val="00FC5371"/>
    <w:rsid w:val="00FD716E"/>
    <w:rsid w:val="00FE1CE6"/>
    <w:rsid w:val="00FF06C6"/>
    <w:rsid w:val="00FF2656"/>
    <w:rsid w:val="00FF2ACC"/>
    <w:rsid w:val="00FF37EB"/>
    <w:rsid w:val="00FF4295"/>
    <w:rsid w:val="00FF4C0A"/>
    <w:rsid w:val="00FF7405"/>
    <w:rsid w:val="00FF79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EE768F9"/>
  <w15:chartTrackingRefBased/>
  <w15:docId w15:val="{49783BFC-5CB2-480D-986A-5D1CC3C5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ED7"/>
    <w:rPr>
      <w:rFonts w:ascii="Segoe UI" w:hAnsi="Segoe UI"/>
    </w:rPr>
  </w:style>
  <w:style w:type="paragraph" w:styleId="Heading1">
    <w:name w:val="heading 1"/>
    <w:basedOn w:val="Normal"/>
    <w:next w:val="Normal"/>
    <w:link w:val="Heading1Char"/>
    <w:uiPriority w:val="9"/>
    <w:qFormat/>
    <w:rsid w:val="00832034"/>
    <w:pPr>
      <w:keepNext/>
      <w:keepLines/>
      <w:spacing w:before="360" w:after="12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1F3D"/>
    <w:pPr>
      <w:keepNext/>
      <w:keepLines/>
      <w:spacing w:before="160" w:after="12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832034"/>
    <w:pPr>
      <w:keepNext/>
      <w:keepLines/>
      <w:spacing w:before="16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5D0054"/>
    <w:pPr>
      <w:keepNext/>
      <w:keepLines/>
      <w:spacing w:before="160" w:after="12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45771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755C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8B4"/>
    <w:pPr>
      <w:autoSpaceDE w:val="0"/>
      <w:autoSpaceDN w:val="0"/>
      <w:adjustRightInd w:val="0"/>
      <w:spacing w:after="0" w:line="240" w:lineRule="auto"/>
    </w:pPr>
    <w:rPr>
      <w:rFonts w:ascii="Segoe UI" w:hAnsi="Segoe UI" w:cs="Segoe UI"/>
      <w:color w:val="000000"/>
      <w:sz w:val="24"/>
      <w:szCs w:val="24"/>
    </w:rPr>
  </w:style>
  <w:style w:type="character" w:customStyle="1" w:styleId="Heading1Char">
    <w:name w:val="Heading 1 Char"/>
    <w:basedOn w:val="DefaultParagraphFont"/>
    <w:link w:val="Heading1"/>
    <w:uiPriority w:val="9"/>
    <w:rsid w:val="00832034"/>
    <w:rPr>
      <w:rFonts w:ascii="Segoe UI" w:eastAsiaTheme="majorEastAsia" w:hAnsi="Segoe UI" w:cstheme="majorBidi"/>
      <w:color w:val="2E74B5" w:themeColor="accent1" w:themeShade="BF"/>
      <w:sz w:val="32"/>
      <w:szCs w:val="32"/>
    </w:rPr>
  </w:style>
  <w:style w:type="character" w:customStyle="1" w:styleId="Heading2Char">
    <w:name w:val="Heading 2 Char"/>
    <w:basedOn w:val="DefaultParagraphFont"/>
    <w:link w:val="Heading2"/>
    <w:uiPriority w:val="9"/>
    <w:rsid w:val="00D91F3D"/>
    <w:rPr>
      <w:rFonts w:ascii="Segoe UI" w:eastAsiaTheme="majorEastAsia" w:hAnsi="Segoe UI" w:cstheme="majorBidi"/>
      <w:b/>
      <w:color w:val="2E74B5" w:themeColor="accent1" w:themeShade="BF"/>
      <w:sz w:val="24"/>
      <w:szCs w:val="26"/>
    </w:rPr>
  </w:style>
  <w:style w:type="paragraph" w:styleId="ListParagraph">
    <w:name w:val="List Paragraph"/>
    <w:aliases w:val="Unordered List Paragraph,List Paragraph numbered,List Bullet indent,List Paragraph1,Rec para,Recommendation,List Paragraph11,Dot pt,F5 List Paragraph,No Spacing1,List Paragraph Char Char Char,Indicator Text,Numbered Para 1,Bullet 1,lp1,L"/>
    <w:basedOn w:val="Normal"/>
    <w:link w:val="ListParagraphChar"/>
    <w:uiPriority w:val="34"/>
    <w:qFormat/>
    <w:rsid w:val="00B10B54"/>
    <w:pPr>
      <w:ind w:left="720"/>
      <w:contextualSpacing/>
    </w:pPr>
    <w:rPr>
      <w:sz w:val="24"/>
    </w:rPr>
  </w:style>
  <w:style w:type="paragraph" w:styleId="NoSpacing">
    <w:name w:val="No Spacing"/>
    <w:uiPriority w:val="1"/>
    <w:qFormat/>
    <w:rsid w:val="00CC2974"/>
    <w:pPr>
      <w:spacing w:after="0" w:line="240" w:lineRule="auto"/>
    </w:pPr>
  </w:style>
  <w:style w:type="character" w:styleId="CommentReference">
    <w:name w:val="annotation reference"/>
    <w:basedOn w:val="DefaultParagraphFont"/>
    <w:uiPriority w:val="99"/>
    <w:semiHidden/>
    <w:unhideWhenUsed/>
    <w:rsid w:val="00EA0499"/>
    <w:rPr>
      <w:sz w:val="16"/>
      <w:szCs w:val="16"/>
    </w:rPr>
  </w:style>
  <w:style w:type="paragraph" w:styleId="CommentText">
    <w:name w:val="annotation text"/>
    <w:basedOn w:val="Normal"/>
    <w:link w:val="CommentTextChar"/>
    <w:uiPriority w:val="99"/>
    <w:unhideWhenUsed/>
    <w:rsid w:val="00EA0499"/>
    <w:pPr>
      <w:spacing w:line="240" w:lineRule="auto"/>
    </w:pPr>
    <w:rPr>
      <w:sz w:val="20"/>
      <w:szCs w:val="20"/>
    </w:rPr>
  </w:style>
  <w:style w:type="character" w:customStyle="1" w:styleId="CommentTextChar">
    <w:name w:val="Comment Text Char"/>
    <w:basedOn w:val="DefaultParagraphFont"/>
    <w:link w:val="CommentText"/>
    <w:uiPriority w:val="99"/>
    <w:rsid w:val="00EA0499"/>
    <w:rPr>
      <w:sz w:val="20"/>
      <w:szCs w:val="20"/>
    </w:rPr>
  </w:style>
  <w:style w:type="paragraph" w:styleId="CommentSubject">
    <w:name w:val="annotation subject"/>
    <w:basedOn w:val="CommentText"/>
    <w:next w:val="CommentText"/>
    <w:link w:val="CommentSubjectChar"/>
    <w:uiPriority w:val="99"/>
    <w:semiHidden/>
    <w:unhideWhenUsed/>
    <w:rsid w:val="00EA0499"/>
    <w:rPr>
      <w:b/>
      <w:bCs/>
    </w:rPr>
  </w:style>
  <w:style w:type="character" w:customStyle="1" w:styleId="CommentSubjectChar">
    <w:name w:val="Comment Subject Char"/>
    <w:basedOn w:val="CommentTextChar"/>
    <w:link w:val="CommentSubject"/>
    <w:uiPriority w:val="99"/>
    <w:semiHidden/>
    <w:rsid w:val="00EA0499"/>
    <w:rPr>
      <w:b/>
      <w:bCs/>
      <w:sz w:val="20"/>
      <w:szCs w:val="20"/>
    </w:rPr>
  </w:style>
  <w:style w:type="paragraph" w:styleId="BalloonText">
    <w:name w:val="Balloon Text"/>
    <w:basedOn w:val="Normal"/>
    <w:link w:val="BalloonTextChar"/>
    <w:uiPriority w:val="99"/>
    <w:semiHidden/>
    <w:unhideWhenUsed/>
    <w:rsid w:val="00EA0499"/>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EA0499"/>
    <w:rPr>
      <w:rFonts w:ascii="Segoe UI" w:hAnsi="Segoe UI" w:cs="Segoe UI"/>
      <w:sz w:val="18"/>
      <w:szCs w:val="18"/>
    </w:rPr>
  </w:style>
  <w:style w:type="character" w:customStyle="1" w:styleId="Heading3Char">
    <w:name w:val="Heading 3 Char"/>
    <w:basedOn w:val="DefaultParagraphFont"/>
    <w:link w:val="Heading3"/>
    <w:uiPriority w:val="9"/>
    <w:rsid w:val="00832034"/>
    <w:rPr>
      <w:rFonts w:ascii="Segoe UI" w:eastAsiaTheme="majorEastAsia" w:hAnsi="Segoe UI" w:cstheme="majorBidi"/>
      <w:b/>
      <w:sz w:val="24"/>
      <w:szCs w:val="24"/>
    </w:rPr>
  </w:style>
  <w:style w:type="paragraph" w:styleId="Title">
    <w:name w:val="Title"/>
    <w:basedOn w:val="Normal"/>
    <w:next w:val="Normal"/>
    <w:link w:val="TitleChar"/>
    <w:uiPriority w:val="10"/>
    <w:qFormat/>
    <w:rsid w:val="00EA0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49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85947"/>
    <w:rPr>
      <w:color w:val="0563C1" w:themeColor="hyperlink"/>
      <w:u w:val="single"/>
    </w:rPr>
  </w:style>
  <w:style w:type="character" w:styleId="Strong">
    <w:name w:val="Strong"/>
    <w:basedOn w:val="DefaultParagraphFont"/>
    <w:uiPriority w:val="22"/>
    <w:qFormat/>
    <w:rsid w:val="007B5158"/>
    <w:rPr>
      <w:b/>
      <w:bCs/>
    </w:rPr>
  </w:style>
  <w:style w:type="character" w:customStyle="1" w:styleId="A7">
    <w:name w:val="A7"/>
    <w:uiPriority w:val="99"/>
    <w:rsid w:val="007B5158"/>
    <w:rPr>
      <w:rFonts w:cs="Metric Bold"/>
      <w:b/>
      <w:bCs/>
      <w:color w:val="000000"/>
      <w:sz w:val="18"/>
      <w:szCs w:val="18"/>
    </w:rPr>
  </w:style>
  <w:style w:type="paragraph" w:styleId="NormalWeb">
    <w:name w:val="Normal (Web)"/>
    <w:basedOn w:val="Normal"/>
    <w:uiPriority w:val="99"/>
    <w:semiHidden/>
    <w:unhideWhenUsed/>
    <w:rsid w:val="00B30DBE"/>
    <w:pPr>
      <w:spacing w:after="180" w:line="240" w:lineRule="auto"/>
    </w:pPr>
    <w:rPr>
      <w:rFonts w:ascii="Times New Roman" w:eastAsia="Times New Roman" w:hAnsi="Times New Roman" w:cs="Times New Roman"/>
      <w:sz w:val="24"/>
      <w:szCs w:val="24"/>
      <w:lang w:eastAsia="en-NZ"/>
    </w:rPr>
  </w:style>
  <w:style w:type="paragraph" w:styleId="BodyText">
    <w:name w:val="Body Text"/>
    <w:link w:val="BodyTextChar"/>
    <w:qFormat/>
    <w:rsid w:val="00696125"/>
    <w:pPr>
      <w:spacing w:before="120" w:after="120" w:line="288" w:lineRule="auto"/>
    </w:pPr>
    <w:rPr>
      <w:rFonts w:ascii="Arial" w:eastAsiaTheme="minorEastAsia" w:hAnsi="Arial" w:cs="Times New Roman"/>
      <w:lang w:eastAsia="en-NZ"/>
    </w:rPr>
  </w:style>
  <w:style w:type="character" w:customStyle="1" w:styleId="BodyTextChar">
    <w:name w:val="Body Text Char"/>
    <w:basedOn w:val="DefaultParagraphFont"/>
    <w:link w:val="BodyText"/>
    <w:rsid w:val="00696125"/>
    <w:rPr>
      <w:rFonts w:ascii="Arial" w:eastAsiaTheme="minorEastAsia" w:hAnsi="Arial" w:cs="Times New Roman"/>
      <w:lang w:eastAsia="en-NZ"/>
    </w:rPr>
  </w:style>
  <w:style w:type="character" w:styleId="FootnoteReference">
    <w:name w:val="footnote reference"/>
    <w:basedOn w:val="DefaultParagraphFont"/>
    <w:uiPriority w:val="99"/>
    <w:unhideWhenUsed/>
    <w:rsid w:val="00696125"/>
    <w:rPr>
      <w:vertAlign w:val="superscript"/>
    </w:rPr>
  </w:style>
  <w:style w:type="paragraph" w:customStyle="1" w:styleId="Pa8">
    <w:name w:val="Pa8"/>
    <w:basedOn w:val="Default"/>
    <w:next w:val="Default"/>
    <w:uiPriority w:val="99"/>
    <w:rsid w:val="00C32BCB"/>
    <w:pPr>
      <w:spacing w:line="201" w:lineRule="atLeast"/>
    </w:pPr>
    <w:rPr>
      <w:rFonts w:ascii="Tiempos Text Regular" w:hAnsi="Tiempos Text Regular" w:cstheme="minorBidi"/>
      <w:color w:val="auto"/>
    </w:rPr>
  </w:style>
  <w:style w:type="paragraph" w:customStyle="1" w:styleId="Pa2">
    <w:name w:val="Pa2"/>
    <w:basedOn w:val="Default"/>
    <w:next w:val="Default"/>
    <w:uiPriority w:val="99"/>
    <w:rsid w:val="0067017F"/>
    <w:pPr>
      <w:spacing w:line="401" w:lineRule="atLeast"/>
    </w:pPr>
    <w:rPr>
      <w:rFonts w:ascii="Tiempos Text Bold" w:hAnsi="Tiempos Text Bold" w:cstheme="minorBidi"/>
      <w:color w:val="auto"/>
    </w:rPr>
  </w:style>
  <w:style w:type="paragraph" w:customStyle="1" w:styleId="Pa11">
    <w:name w:val="Pa11"/>
    <w:basedOn w:val="Default"/>
    <w:next w:val="Default"/>
    <w:uiPriority w:val="99"/>
    <w:rsid w:val="00182EDA"/>
    <w:pPr>
      <w:spacing w:line="201" w:lineRule="atLeast"/>
    </w:pPr>
    <w:rPr>
      <w:rFonts w:ascii="Tiempos Text Regular" w:hAnsi="Tiempos Text Regular" w:cstheme="minorBidi"/>
      <w:color w:val="auto"/>
    </w:rPr>
  </w:style>
  <w:style w:type="paragraph" w:styleId="Revision">
    <w:name w:val="Revision"/>
    <w:hidden/>
    <w:uiPriority w:val="99"/>
    <w:semiHidden/>
    <w:rsid w:val="00182EDA"/>
    <w:pPr>
      <w:spacing w:after="0" w:line="240" w:lineRule="auto"/>
    </w:pPr>
  </w:style>
  <w:style w:type="paragraph" w:customStyle="1" w:styleId="intro-text">
    <w:name w:val="intro-text"/>
    <w:basedOn w:val="Normal"/>
    <w:rsid w:val="00C84B47"/>
    <w:pPr>
      <w:spacing w:after="0" w:line="320" w:lineRule="atLeast"/>
      <w:ind w:left="-150" w:right="-150"/>
    </w:pPr>
    <w:rPr>
      <w:rFonts w:ascii="Georgia" w:eastAsia="Times New Roman" w:hAnsi="Georgia" w:cs="Times New Roman"/>
      <w:sz w:val="33"/>
      <w:szCs w:val="33"/>
      <w:lang w:eastAsia="en-NZ"/>
    </w:rPr>
  </w:style>
  <w:style w:type="character" w:customStyle="1" w:styleId="ListParagraphChar">
    <w:name w:val="List Paragraph Char"/>
    <w:aliases w:val="Unordered List Paragraph Char,List Paragraph numbered Char,List Bullet indent Char,List Paragraph1 Char,Rec para Char,Recommendation Char,List Paragraph11 Char,Dot pt Char,F5 List Paragraph Char,No Spacing1 Char,Indicator Text Char"/>
    <w:basedOn w:val="DefaultParagraphFont"/>
    <w:link w:val="ListParagraph"/>
    <w:uiPriority w:val="34"/>
    <w:qFormat/>
    <w:rsid w:val="00B10B54"/>
    <w:rPr>
      <w:rFonts w:ascii="Segoe UI" w:hAnsi="Segoe UI"/>
      <w:sz w:val="24"/>
    </w:rPr>
  </w:style>
  <w:style w:type="table" w:styleId="TableGrid">
    <w:name w:val="Table Grid"/>
    <w:basedOn w:val="TableNormal"/>
    <w:uiPriority w:val="39"/>
    <w:rsid w:val="0079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6D3"/>
  </w:style>
  <w:style w:type="paragraph" w:styleId="Footer">
    <w:name w:val="footer"/>
    <w:basedOn w:val="Normal"/>
    <w:link w:val="FooterChar"/>
    <w:uiPriority w:val="99"/>
    <w:unhideWhenUsed/>
    <w:rsid w:val="006A1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6D3"/>
  </w:style>
  <w:style w:type="paragraph" w:styleId="ListBullet">
    <w:name w:val="List Bullet"/>
    <w:basedOn w:val="Normal"/>
    <w:autoRedefine/>
    <w:rsid w:val="002B13B1"/>
    <w:pPr>
      <w:numPr>
        <w:numId w:val="2"/>
      </w:numPr>
      <w:spacing w:before="120" w:line="240" w:lineRule="auto"/>
      <w:jc w:val="both"/>
    </w:pPr>
    <w:rPr>
      <w:rFonts w:ascii="Arial Mäori" w:eastAsia="Times New Roman" w:hAnsi="Arial Mäori" w:cs="Times New Roman"/>
      <w:sz w:val="20"/>
      <w:szCs w:val="24"/>
      <w:lang w:val="en-GB"/>
    </w:rPr>
  </w:style>
  <w:style w:type="paragraph" w:styleId="BodyText3">
    <w:name w:val="Body Text 3"/>
    <w:basedOn w:val="Normal"/>
    <w:link w:val="BodyText3Char"/>
    <w:uiPriority w:val="99"/>
    <w:semiHidden/>
    <w:unhideWhenUsed/>
    <w:rsid w:val="00593AFA"/>
    <w:pPr>
      <w:spacing w:after="120"/>
    </w:pPr>
    <w:rPr>
      <w:sz w:val="16"/>
      <w:szCs w:val="16"/>
    </w:rPr>
  </w:style>
  <w:style w:type="character" w:customStyle="1" w:styleId="BodyText3Char">
    <w:name w:val="Body Text 3 Char"/>
    <w:basedOn w:val="DefaultParagraphFont"/>
    <w:link w:val="BodyText3"/>
    <w:uiPriority w:val="99"/>
    <w:semiHidden/>
    <w:rsid w:val="00593AFA"/>
    <w:rPr>
      <w:sz w:val="16"/>
      <w:szCs w:val="16"/>
    </w:rPr>
  </w:style>
  <w:style w:type="paragraph" w:styleId="TOCHeading">
    <w:name w:val="TOC Heading"/>
    <w:basedOn w:val="Heading1"/>
    <w:next w:val="Normal"/>
    <w:uiPriority w:val="39"/>
    <w:unhideWhenUsed/>
    <w:qFormat/>
    <w:rsid w:val="00E54DB4"/>
    <w:pPr>
      <w:outlineLvl w:val="9"/>
    </w:pPr>
    <w:rPr>
      <w:lang w:val="en-US"/>
    </w:rPr>
  </w:style>
  <w:style w:type="paragraph" w:styleId="TOC1">
    <w:name w:val="toc 1"/>
    <w:basedOn w:val="Normal"/>
    <w:next w:val="Normal"/>
    <w:autoRedefine/>
    <w:uiPriority w:val="39"/>
    <w:unhideWhenUsed/>
    <w:rsid w:val="00FF79C5"/>
    <w:pPr>
      <w:tabs>
        <w:tab w:val="right" w:leader="dot" w:pos="9017"/>
      </w:tabs>
      <w:spacing w:after="100"/>
    </w:pPr>
  </w:style>
  <w:style w:type="paragraph" w:styleId="TOC2">
    <w:name w:val="toc 2"/>
    <w:basedOn w:val="Normal"/>
    <w:next w:val="Normal"/>
    <w:autoRedefine/>
    <w:uiPriority w:val="39"/>
    <w:unhideWhenUsed/>
    <w:rsid w:val="00E54DB4"/>
    <w:pPr>
      <w:spacing w:after="100"/>
      <w:ind w:left="220"/>
    </w:pPr>
  </w:style>
  <w:style w:type="paragraph" w:styleId="TOC3">
    <w:name w:val="toc 3"/>
    <w:basedOn w:val="Normal"/>
    <w:next w:val="Normal"/>
    <w:autoRedefine/>
    <w:uiPriority w:val="39"/>
    <w:unhideWhenUsed/>
    <w:rsid w:val="00E54DB4"/>
    <w:pPr>
      <w:spacing w:after="100"/>
      <w:ind w:left="440"/>
    </w:pPr>
  </w:style>
  <w:style w:type="paragraph" w:styleId="Quote">
    <w:name w:val="Quote"/>
    <w:basedOn w:val="Normal"/>
    <w:next w:val="Normal"/>
    <w:link w:val="QuoteChar"/>
    <w:qFormat/>
    <w:rsid w:val="00467315"/>
    <w:pPr>
      <w:spacing w:before="120" w:after="0" w:line="240" w:lineRule="auto"/>
      <w:ind w:left="284" w:right="284"/>
    </w:pPr>
    <w:rPr>
      <w:rFonts w:eastAsia="Times New Roman" w:cs="Times New Roman"/>
      <w:sz w:val="21"/>
      <w:szCs w:val="20"/>
      <w:lang w:eastAsia="en-GB"/>
    </w:rPr>
  </w:style>
  <w:style w:type="character" w:customStyle="1" w:styleId="QuoteChar">
    <w:name w:val="Quote Char"/>
    <w:basedOn w:val="DefaultParagraphFont"/>
    <w:link w:val="Quote"/>
    <w:rsid w:val="00467315"/>
    <w:rPr>
      <w:rFonts w:ascii="Segoe UI" w:eastAsia="Times New Roman" w:hAnsi="Segoe UI" w:cs="Times New Roman"/>
      <w:sz w:val="21"/>
      <w:szCs w:val="20"/>
      <w:lang w:eastAsia="en-GB"/>
    </w:rPr>
  </w:style>
  <w:style w:type="table" w:styleId="GridTable4-Accent5">
    <w:name w:val="Grid Table 4 Accent 5"/>
    <w:basedOn w:val="TableNormal"/>
    <w:uiPriority w:val="49"/>
    <w:rsid w:val="005D448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4Char">
    <w:name w:val="Heading 4 Char"/>
    <w:basedOn w:val="DefaultParagraphFont"/>
    <w:link w:val="Heading4"/>
    <w:uiPriority w:val="9"/>
    <w:rsid w:val="005D0054"/>
    <w:rPr>
      <w:rFonts w:ascii="Segoe UI" w:eastAsiaTheme="majorEastAsia" w:hAnsi="Segoe UI" w:cstheme="majorBidi"/>
      <w:i/>
      <w:iCs/>
      <w:color w:val="2E74B5" w:themeColor="accent1" w:themeShade="BF"/>
    </w:rPr>
  </w:style>
  <w:style w:type="character" w:customStyle="1" w:styleId="Heading5Char">
    <w:name w:val="Heading 5 Char"/>
    <w:basedOn w:val="DefaultParagraphFont"/>
    <w:link w:val="Heading5"/>
    <w:uiPriority w:val="9"/>
    <w:rsid w:val="0045771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9755CA"/>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unhideWhenUsed/>
    <w:rsid w:val="00F76DE6"/>
    <w:pPr>
      <w:spacing w:after="0" w:line="240" w:lineRule="auto"/>
    </w:pPr>
    <w:rPr>
      <w:sz w:val="20"/>
      <w:szCs w:val="20"/>
    </w:rPr>
  </w:style>
  <w:style w:type="character" w:customStyle="1" w:styleId="FootnoteTextChar">
    <w:name w:val="Footnote Text Char"/>
    <w:basedOn w:val="DefaultParagraphFont"/>
    <w:link w:val="FootnoteText"/>
    <w:uiPriority w:val="99"/>
    <w:rsid w:val="00F76DE6"/>
    <w:rPr>
      <w:rFonts w:ascii="Segoe UI" w:hAnsi="Segoe UI"/>
      <w:sz w:val="20"/>
      <w:szCs w:val="20"/>
    </w:rPr>
  </w:style>
  <w:style w:type="character" w:customStyle="1" w:styleId="u-visually-hidden1">
    <w:name w:val="u-visually-hidden1"/>
    <w:basedOn w:val="DefaultParagraphFont"/>
    <w:rsid w:val="00F76DE6"/>
    <w:rPr>
      <w:bdr w:val="none" w:sz="0" w:space="0" w:color="auto" w:frame="1"/>
    </w:rPr>
  </w:style>
  <w:style w:type="paragraph" w:customStyle="1" w:styleId="Source">
    <w:name w:val="Source"/>
    <w:basedOn w:val="Normal"/>
    <w:next w:val="Normal"/>
    <w:qFormat/>
    <w:rsid w:val="00792C52"/>
    <w:pPr>
      <w:spacing w:before="80" w:after="0" w:line="240" w:lineRule="auto"/>
    </w:pPr>
    <w:rPr>
      <w:rFonts w:eastAsia="Times New Roman" w:cs="Times New Roman"/>
      <w:sz w:val="17"/>
      <w:szCs w:val="20"/>
      <w:lang w:eastAsia="en-GB"/>
    </w:rPr>
  </w:style>
  <w:style w:type="character" w:styleId="IntenseReference">
    <w:name w:val="Intense Reference"/>
    <w:basedOn w:val="DefaultParagraphFont"/>
    <w:uiPriority w:val="32"/>
    <w:qFormat/>
    <w:rsid w:val="00792C52"/>
    <w:rPr>
      <w:b/>
      <w:bCs/>
      <w:smallCaps/>
      <w:color w:val="5B9BD5" w:themeColor="accent1"/>
      <w:spacing w:val="5"/>
    </w:rPr>
  </w:style>
  <w:style w:type="character" w:customStyle="1" w:styleId="UnresolvedMention1">
    <w:name w:val="Unresolved Mention1"/>
    <w:basedOn w:val="DefaultParagraphFont"/>
    <w:uiPriority w:val="99"/>
    <w:semiHidden/>
    <w:unhideWhenUsed/>
    <w:rsid w:val="0044288E"/>
    <w:rPr>
      <w:color w:val="605E5C"/>
      <w:shd w:val="clear" w:color="auto" w:fill="E1DFDD"/>
    </w:rPr>
  </w:style>
  <w:style w:type="paragraph" w:customStyle="1" w:styleId="References">
    <w:name w:val="References"/>
    <w:basedOn w:val="Normal"/>
    <w:qFormat/>
    <w:rsid w:val="007A4780"/>
    <w:pPr>
      <w:spacing w:after="180" w:line="240" w:lineRule="auto"/>
    </w:pPr>
    <w:rPr>
      <w:rFonts w:eastAsia="Times New Roman" w:cs="Times New Roman"/>
      <w:sz w:val="21"/>
      <w:szCs w:val="20"/>
      <w:lang w:eastAsia="en-GB"/>
    </w:rPr>
  </w:style>
  <w:style w:type="character" w:styleId="UnresolvedMention">
    <w:name w:val="Unresolved Mention"/>
    <w:basedOn w:val="DefaultParagraphFont"/>
    <w:uiPriority w:val="99"/>
    <w:semiHidden/>
    <w:unhideWhenUsed/>
    <w:rsid w:val="005C2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0846">
      <w:bodyDiv w:val="1"/>
      <w:marLeft w:val="0"/>
      <w:marRight w:val="0"/>
      <w:marTop w:val="0"/>
      <w:marBottom w:val="0"/>
      <w:divBdr>
        <w:top w:val="none" w:sz="0" w:space="0" w:color="auto"/>
        <w:left w:val="none" w:sz="0" w:space="0" w:color="auto"/>
        <w:bottom w:val="none" w:sz="0" w:space="0" w:color="auto"/>
        <w:right w:val="none" w:sz="0" w:space="0" w:color="auto"/>
      </w:divBdr>
    </w:div>
    <w:div w:id="357127630">
      <w:bodyDiv w:val="1"/>
      <w:marLeft w:val="0"/>
      <w:marRight w:val="0"/>
      <w:marTop w:val="0"/>
      <w:marBottom w:val="0"/>
      <w:divBdr>
        <w:top w:val="none" w:sz="0" w:space="0" w:color="auto"/>
        <w:left w:val="none" w:sz="0" w:space="0" w:color="auto"/>
        <w:bottom w:val="none" w:sz="0" w:space="0" w:color="auto"/>
        <w:right w:val="none" w:sz="0" w:space="0" w:color="auto"/>
      </w:divBdr>
      <w:divsChild>
        <w:div w:id="477233783">
          <w:marLeft w:val="0"/>
          <w:marRight w:val="0"/>
          <w:marTop w:val="0"/>
          <w:marBottom w:val="0"/>
          <w:divBdr>
            <w:top w:val="none" w:sz="0" w:space="0" w:color="auto"/>
            <w:left w:val="none" w:sz="0" w:space="0" w:color="auto"/>
            <w:bottom w:val="none" w:sz="0" w:space="0" w:color="auto"/>
            <w:right w:val="none" w:sz="0" w:space="0" w:color="auto"/>
          </w:divBdr>
          <w:divsChild>
            <w:div w:id="205528053">
              <w:marLeft w:val="0"/>
              <w:marRight w:val="0"/>
              <w:marTop w:val="0"/>
              <w:marBottom w:val="0"/>
              <w:divBdr>
                <w:top w:val="none" w:sz="0" w:space="0" w:color="auto"/>
                <w:left w:val="none" w:sz="0" w:space="0" w:color="auto"/>
                <w:bottom w:val="none" w:sz="0" w:space="0" w:color="auto"/>
                <w:right w:val="none" w:sz="0" w:space="0" w:color="auto"/>
              </w:divBdr>
              <w:divsChild>
                <w:div w:id="1747327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52304503">
      <w:bodyDiv w:val="1"/>
      <w:marLeft w:val="0"/>
      <w:marRight w:val="0"/>
      <w:marTop w:val="0"/>
      <w:marBottom w:val="0"/>
      <w:divBdr>
        <w:top w:val="none" w:sz="0" w:space="0" w:color="auto"/>
        <w:left w:val="none" w:sz="0" w:space="0" w:color="auto"/>
        <w:bottom w:val="none" w:sz="0" w:space="0" w:color="auto"/>
        <w:right w:val="none" w:sz="0" w:space="0" w:color="auto"/>
      </w:divBdr>
    </w:div>
    <w:div w:id="893660650">
      <w:bodyDiv w:val="1"/>
      <w:marLeft w:val="0"/>
      <w:marRight w:val="0"/>
      <w:marTop w:val="0"/>
      <w:marBottom w:val="0"/>
      <w:divBdr>
        <w:top w:val="none" w:sz="0" w:space="0" w:color="auto"/>
        <w:left w:val="none" w:sz="0" w:space="0" w:color="auto"/>
        <w:bottom w:val="none" w:sz="0" w:space="0" w:color="auto"/>
        <w:right w:val="none" w:sz="0" w:space="0" w:color="auto"/>
      </w:divBdr>
      <w:divsChild>
        <w:div w:id="264771010">
          <w:marLeft w:val="0"/>
          <w:marRight w:val="0"/>
          <w:marTop w:val="0"/>
          <w:marBottom w:val="0"/>
          <w:divBdr>
            <w:top w:val="none" w:sz="0" w:space="0" w:color="auto"/>
            <w:left w:val="none" w:sz="0" w:space="0" w:color="auto"/>
            <w:bottom w:val="none" w:sz="0" w:space="0" w:color="auto"/>
            <w:right w:val="none" w:sz="0" w:space="0" w:color="auto"/>
          </w:divBdr>
          <w:divsChild>
            <w:div w:id="105538981">
              <w:marLeft w:val="0"/>
              <w:marRight w:val="0"/>
              <w:marTop w:val="0"/>
              <w:marBottom w:val="0"/>
              <w:divBdr>
                <w:top w:val="none" w:sz="0" w:space="0" w:color="auto"/>
                <w:left w:val="none" w:sz="0" w:space="0" w:color="auto"/>
                <w:bottom w:val="none" w:sz="0" w:space="0" w:color="auto"/>
                <w:right w:val="none" w:sz="0" w:space="0" w:color="auto"/>
              </w:divBdr>
              <w:divsChild>
                <w:div w:id="695883759">
                  <w:marLeft w:val="-150"/>
                  <w:marRight w:val="-150"/>
                  <w:marTop w:val="0"/>
                  <w:marBottom w:val="0"/>
                  <w:divBdr>
                    <w:top w:val="none" w:sz="0" w:space="0" w:color="auto"/>
                    <w:left w:val="none" w:sz="0" w:space="0" w:color="auto"/>
                    <w:bottom w:val="none" w:sz="0" w:space="0" w:color="auto"/>
                    <w:right w:val="none" w:sz="0" w:space="0" w:color="auto"/>
                  </w:divBdr>
                  <w:divsChild>
                    <w:div w:id="2052997713">
                      <w:marLeft w:val="0"/>
                      <w:marRight w:val="0"/>
                      <w:marTop w:val="0"/>
                      <w:marBottom w:val="0"/>
                      <w:divBdr>
                        <w:top w:val="none" w:sz="0" w:space="0" w:color="auto"/>
                        <w:left w:val="none" w:sz="0" w:space="0" w:color="auto"/>
                        <w:bottom w:val="none" w:sz="0" w:space="0" w:color="auto"/>
                        <w:right w:val="none" w:sz="0" w:space="0" w:color="auto"/>
                      </w:divBdr>
                      <w:divsChild>
                        <w:div w:id="1343387906">
                          <w:marLeft w:val="0"/>
                          <w:marRight w:val="0"/>
                          <w:marTop w:val="0"/>
                          <w:marBottom w:val="0"/>
                          <w:divBdr>
                            <w:top w:val="none" w:sz="0" w:space="0" w:color="auto"/>
                            <w:left w:val="none" w:sz="0" w:space="0" w:color="auto"/>
                            <w:bottom w:val="none" w:sz="0" w:space="0" w:color="auto"/>
                            <w:right w:val="none" w:sz="0" w:space="0" w:color="auto"/>
                          </w:divBdr>
                          <w:divsChild>
                            <w:div w:id="1104228100">
                              <w:marLeft w:val="-150"/>
                              <w:marRight w:val="-150"/>
                              <w:marTop w:val="0"/>
                              <w:marBottom w:val="0"/>
                              <w:divBdr>
                                <w:top w:val="none" w:sz="0" w:space="0" w:color="auto"/>
                                <w:left w:val="none" w:sz="0" w:space="0" w:color="auto"/>
                                <w:bottom w:val="none" w:sz="0" w:space="0" w:color="auto"/>
                                <w:right w:val="none" w:sz="0" w:space="0" w:color="auto"/>
                              </w:divBdr>
                              <w:divsChild>
                                <w:div w:id="82722448">
                                  <w:marLeft w:val="0"/>
                                  <w:marRight w:val="0"/>
                                  <w:marTop w:val="0"/>
                                  <w:marBottom w:val="0"/>
                                  <w:divBdr>
                                    <w:top w:val="none" w:sz="0" w:space="0" w:color="auto"/>
                                    <w:left w:val="none" w:sz="0" w:space="0" w:color="auto"/>
                                    <w:bottom w:val="none" w:sz="0" w:space="0" w:color="auto"/>
                                    <w:right w:val="single" w:sz="6" w:space="0" w:color="CCCCCC"/>
                                  </w:divBdr>
                                  <w:divsChild>
                                    <w:div w:id="1970671604">
                                      <w:marLeft w:val="-150"/>
                                      <w:marRight w:val="-150"/>
                                      <w:marTop w:val="0"/>
                                      <w:marBottom w:val="0"/>
                                      <w:divBdr>
                                        <w:top w:val="none" w:sz="0" w:space="0" w:color="auto"/>
                                        <w:left w:val="none" w:sz="0" w:space="0" w:color="auto"/>
                                        <w:bottom w:val="none" w:sz="0" w:space="0" w:color="auto"/>
                                        <w:right w:val="none" w:sz="0" w:space="0" w:color="auto"/>
                                      </w:divBdr>
                                      <w:divsChild>
                                        <w:div w:id="1091125289">
                                          <w:marLeft w:val="0"/>
                                          <w:marRight w:val="0"/>
                                          <w:marTop w:val="0"/>
                                          <w:marBottom w:val="0"/>
                                          <w:divBdr>
                                            <w:top w:val="none" w:sz="0" w:space="0" w:color="auto"/>
                                            <w:left w:val="none" w:sz="0" w:space="0" w:color="auto"/>
                                            <w:bottom w:val="none" w:sz="0" w:space="0" w:color="auto"/>
                                            <w:right w:val="none" w:sz="0" w:space="0" w:color="auto"/>
                                          </w:divBdr>
                                          <w:divsChild>
                                            <w:div w:id="1412312406">
                                              <w:marLeft w:val="0"/>
                                              <w:marRight w:val="0"/>
                                              <w:marTop w:val="0"/>
                                              <w:marBottom w:val="0"/>
                                              <w:divBdr>
                                                <w:top w:val="none" w:sz="0" w:space="0" w:color="auto"/>
                                                <w:left w:val="none" w:sz="0" w:space="0" w:color="auto"/>
                                                <w:bottom w:val="none" w:sz="0" w:space="0" w:color="auto"/>
                                                <w:right w:val="none" w:sz="0" w:space="0" w:color="auto"/>
                                              </w:divBdr>
                                              <w:divsChild>
                                                <w:div w:id="1967664951">
                                                  <w:marLeft w:val="0"/>
                                                  <w:marRight w:val="0"/>
                                                  <w:marTop w:val="0"/>
                                                  <w:marBottom w:val="0"/>
                                                  <w:divBdr>
                                                    <w:top w:val="none" w:sz="0" w:space="0" w:color="auto"/>
                                                    <w:left w:val="none" w:sz="0" w:space="0" w:color="auto"/>
                                                    <w:bottom w:val="none" w:sz="0" w:space="0" w:color="auto"/>
                                                    <w:right w:val="none" w:sz="0" w:space="0" w:color="auto"/>
                                                  </w:divBdr>
                                                  <w:divsChild>
                                                    <w:div w:id="9177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685263">
      <w:bodyDiv w:val="1"/>
      <w:marLeft w:val="0"/>
      <w:marRight w:val="0"/>
      <w:marTop w:val="0"/>
      <w:marBottom w:val="0"/>
      <w:divBdr>
        <w:top w:val="none" w:sz="0" w:space="0" w:color="auto"/>
        <w:left w:val="none" w:sz="0" w:space="0" w:color="auto"/>
        <w:bottom w:val="none" w:sz="0" w:space="0" w:color="auto"/>
        <w:right w:val="none" w:sz="0" w:space="0" w:color="auto"/>
      </w:divBdr>
      <w:divsChild>
        <w:div w:id="974530728">
          <w:marLeft w:val="0"/>
          <w:marRight w:val="0"/>
          <w:marTop w:val="0"/>
          <w:marBottom w:val="0"/>
          <w:divBdr>
            <w:top w:val="none" w:sz="0" w:space="0" w:color="auto"/>
            <w:left w:val="none" w:sz="0" w:space="0" w:color="auto"/>
            <w:bottom w:val="none" w:sz="0" w:space="0" w:color="auto"/>
            <w:right w:val="none" w:sz="0" w:space="0" w:color="auto"/>
          </w:divBdr>
          <w:divsChild>
            <w:div w:id="88698698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70053949">
      <w:bodyDiv w:val="1"/>
      <w:marLeft w:val="0"/>
      <w:marRight w:val="0"/>
      <w:marTop w:val="0"/>
      <w:marBottom w:val="0"/>
      <w:divBdr>
        <w:top w:val="none" w:sz="0" w:space="0" w:color="auto"/>
        <w:left w:val="none" w:sz="0" w:space="0" w:color="auto"/>
        <w:bottom w:val="none" w:sz="0" w:space="0" w:color="auto"/>
        <w:right w:val="none" w:sz="0" w:space="0" w:color="auto"/>
      </w:divBdr>
    </w:div>
    <w:div w:id="1663466750">
      <w:bodyDiv w:val="1"/>
      <w:marLeft w:val="0"/>
      <w:marRight w:val="0"/>
      <w:marTop w:val="0"/>
      <w:marBottom w:val="0"/>
      <w:divBdr>
        <w:top w:val="none" w:sz="0" w:space="0" w:color="auto"/>
        <w:left w:val="none" w:sz="0" w:space="0" w:color="auto"/>
        <w:bottom w:val="none" w:sz="0" w:space="0" w:color="auto"/>
        <w:right w:val="none" w:sz="0" w:space="0" w:color="auto"/>
      </w:divBdr>
      <w:divsChild>
        <w:div w:id="790978639">
          <w:marLeft w:val="0"/>
          <w:marRight w:val="0"/>
          <w:marTop w:val="0"/>
          <w:marBottom w:val="0"/>
          <w:divBdr>
            <w:top w:val="none" w:sz="0" w:space="0" w:color="auto"/>
            <w:left w:val="none" w:sz="0" w:space="0" w:color="auto"/>
            <w:bottom w:val="none" w:sz="0" w:space="0" w:color="auto"/>
            <w:right w:val="none" w:sz="0" w:space="0" w:color="auto"/>
          </w:divBdr>
          <w:divsChild>
            <w:div w:id="1711761243">
              <w:marLeft w:val="0"/>
              <w:marRight w:val="0"/>
              <w:marTop w:val="0"/>
              <w:marBottom w:val="0"/>
              <w:divBdr>
                <w:top w:val="none" w:sz="0" w:space="0" w:color="auto"/>
                <w:left w:val="none" w:sz="0" w:space="0" w:color="auto"/>
                <w:bottom w:val="none" w:sz="0" w:space="0" w:color="auto"/>
                <w:right w:val="none" w:sz="0" w:space="0" w:color="auto"/>
              </w:divBdr>
              <w:divsChild>
                <w:div w:id="1370304718">
                  <w:marLeft w:val="-150"/>
                  <w:marRight w:val="-150"/>
                  <w:marTop w:val="0"/>
                  <w:marBottom w:val="0"/>
                  <w:divBdr>
                    <w:top w:val="none" w:sz="0" w:space="0" w:color="auto"/>
                    <w:left w:val="none" w:sz="0" w:space="0" w:color="auto"/>
                    <w:bottom w:val="none" w:sz="0" w:space="0" w:color="auto"/>
                    <w:right w:val="none" w:sz="0" w:space="0" w:color="auto"/>
                  </w:divBdr>
                  <w:divsChild>
                    <w:div w:id="2062366322">
                      <w:marLeft w:val="0"/>
                      <w:marRight w:val="0"/>
                      <w:marTop w:val="0"/>
                      <w:marBottom w:val="0"/>
                      <w:divBdr>
                        <w:top w:val="none" w:sz="0" w:space="0" w:color="auto"/>
                        <w:left w:val="none" w:sz="0" w:space="0" w:color="auto"/>
                        <w:bottom w:val="none" w:sz="0" w:space="0" w:color="auto"/>
                        <w:right w:val="none" w:sz="0" w:space="0" w:color="auto"/>
                      </w:divBdr>
                      <w:divsChild>
                        <w:div w:id="682052389">
                          <w:marLeft w:val="0"/>
                          <w:marRight w:val="0"/>
                          <w:marTop w:val="0"/>
                          <w:marBottom w:val="0"/>
                          <w:divBdr>
                            <w:top w:val="none" w:sz="0" w:space="0" w:color="auto"/>
                            <w:left w:val="none" w:sz="0" w:space="0" w:color="auto"/>
                            <w:bottom w:val="none" w:sz="0" w:space="0" w:color="auto"/>
                            <w:right w:val="none" w:sz="0" w:space="0" w:color="auto"/>
                          </w:divBdr>
                          <w:divsChild>
                            <w:div w:id="259292910">
                              <w:marLeft w:val="-150"/>
                              <w:marRight w:val="-150"/>
                              <w:marTop w:val="0"/>
                              <w:marBottom w:val="0"/>
                              <w:divBdr>
                                <w:top w:val="none" w:sz="0" w:space="0" w:color="auto"/>
                                <w:left w:val="none" w:sz="0" w:space="0" w:color="auto"/>
                                <w:bottom w:val="none" w:sz="0" w:space="0" w:color="auto"/>
                                <w:right w:val="none" w:sz="0" w:space="0" w:color="auto"/>
                              </w:divBdr>
                              <w:divsChild>
                                <w:div w:id="927036114">
                                  <w:marLeft w:val="0"/>
                                  <w:marRight w:val="0"/>
                                  <w:marTop w:val="0"/>
                                  <w:marBottom w:val="0"/>
                                  <w:divBdr>
                                    <w:top w:val="none" w:sz="0" w:space="0" w:color="auto"/>
                                    <w:left w:val="none" w:sz="0" w:space="0" w:color="auto"/>
                                    <w:bottom w:val="none" w:sz="0" w:space="0" w:color="auto"/>
                                    <w:right w:val="single" w:sz="6" w:space="0" w:color="CCCCCC"/>
                                  </w:divBdr>
                                  <w:divsChild>
                                    <w:div w:id="1614283707">
                                      <w:marLeft w:val="-150"/>
                                      <w:marRight w:val="-150"/>
                                      <w:marTop w:val="0"/>
                                      <w:marBottom w:val="0"/>
                                      <w:divBdr>
                                        <w:top w:val="none" w:sz="0" w:space="0" w:color="auto"/>
                                        <w:left w:val="none" w:sz="0" w:space="0" w:color="auto"/>
                                        <w:bottom w:val="none" w:sz="0" w:space="0" w:color="auto"/>
                                        <w:right w:val="none" w:sz="0" w:space="0" w:color="auto"/>
                                      </w:divBdr>
                                      <w:divsChild>
                                        <w:div w:id="583077735">
                                          <w:marLeft w:val="0"/>
                                          <w:marRight w:val="0"/>
                                          <w:marTop w:val="0"/>
                                          <w:marBottom w:val="0"/>
                                          <w:divBdr>
                                            <w:top w:val="none" w:sz="0" w:space="0" w:color="auto"/>
                                            <w:left w:val="none" w:sz="0" w:space="0" w:color="auto"/>
                                            <w:bottom w:val="none" w:sz="0" w:space="0" w:color="auto"/>
                                            <w:right w:val="none" w:sz="0" w:space="0" w:color="auto"/>
                                          </w:divBdr>
                                          <w:divsChild>
                                            <w:div w:id="2010399486">
                                              <w:marLeft w:val="0"/>
                                              <w:marRight w:val="0"/>
                                              <w:marTop w:val="0"/>
                                              <w:marBottom w:val="0"/>
                                              <w:divBdr>
                                                <w:top w:val="none" w:sz="0" w:space="0" w:color="auto"/>
                                                <w:left w:val="none" w:sz="0" w:space="0" w:color="auto"/>
                                                <w:bottom w:val="none" w:sz="0" w:space="0" w:color="auto"/>
                                                <w:right w:val="none" w:sz="0" w:space="0" w:color="auto"/>
                                              </w:divBdr>
                                              <w:divsChild>
                                                <w:div w:id="375744412">
                                                  <w:marLeft w:val="0"/>
                                                  <w:marRight w:val="0"/>
                                                  <w:marTop w:val="0"/>
                                                  <w:marBottom w:val="0"/>
                                                  <w:divBdr>
                                                    <w:top w:val="none" w:sz="0" w:space="0" w:color="auto"/>
                                                    <w:left w:val="none" w:sz="0" w:space="0" w:color="auto"/>
                                                    <w:bottom w:val="none" w:sz="0" w:space="0" w:color="auto"/>
                                                    <w:right w:val="none" w:sz="0" w:space="0" w:color="auto"/>
                                                  </w:divBdr>
                                                  <w:divsChild>
                                                    <w:div w:id="16501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83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image" Target="media/image4.emf"/><Relationship Id="rId39" Type="http://schemas.openxmlformats.org/officeDocument/2006/relationships/hyperlink" Target="http://www.hqsc.govt.nz/our-programmes/other-topics/new-projects/health-equity/" TargetMode="External"/><Relationship Id="rId21" Type="http://schemas.openxmlformats.org/officeDocument/2006/relationships/image" Target="media/image3.emf"/><Relationship Id="rId34" Type="http://schemas.openxmlformats.org/officeDocument/2006/relationships/hyperlink" Target="https://nsfl.health.govt.nz/dhb-planning-package/201920-planning-package/supplementary-information-201920-planning-guidelines-1%20(20" TargetMode="External"/><Relationship Id="rId42" Type="http://schemas.openxmlformats.org/officeDocument/2006/relationships/hyperlink" Target="http://www.instituteofhealthequity.org/about-our-work/monitoring-and-evaluating-progress" TargetMode="External"/><Relationship Id="rId47" Type="http://schemas.openxmlformats.org/officeDocument/2006/relationships/hyperlink" Target="http://www.health.govt.nz/publication/health-equity-assessment-tool-equity-lens-tackling-inequalities-health" TargetMode="External"/><Relationship Id="rId50" Type="http://schemas.openxmlformats.org/officeDocument/2006/relationships/hyperlink" Target="http://www.health.govt.nz/our-work/diseases-and-conditions/rheumatic-fever" TargetMode="External"/><Relationship Id="rId55" Type="http://schemas.openxmlformats.org/officeDocument/2006/relationships/hyperlink" Target="https://nsfl.health.govt.nz/accountability/performance-and-monitoring/data-quarterly-reports-and-reporting/ambulatory-sensitive" TargetMode="External"/><Relationship Id="rId63" Type="http://schemas.openxmlformats.org/officeDocument/2006/relationships/hyperlink" Target="http://www.wellesleyinstitute.com/wp-content/uploads/2016/07/International-Review-of-Health-Equity-Strategies.pdf" TargetMode="External"/><Relationship Id="rId68"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eader" Target="header8.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yperlink" Target="http://www.nzma.org.nz/journal/read-the-journal/all-issues/2010-2019/2016/vol-129-no-1447-16-december-2016/7107" TargetMode="External"/><Relationship Id="rId37" Type="http://schemas.openxmlformats.org/officeDocument/2006/relationships/hyperlink" Target="http://www.instituteofhealthequity.org/file-manager/FSHLrelateddocs/overall-costs-fshl.pdf" TargetMode="External"/><Relationship Id="rId40" Type="http://schemas.openxmlformats.org/officeDocument/2006/relationships/hyperlink" Target="http://www.hqsc.govt.nz/assets/Health-Quality-Evaluation/Windows_Document/Window-Jun-2018.pdf" TargetMode="External"/><Relationship Id="rId45" Type="http://schemas.openxmlformats.org/officeDocument/2006/relationships/hyperlink" Target="http://www.health.govt.nz/system/files/documents/publications/mhs-english.pdf" TargetMode="External"/><Relationship Id="rId53" Type="http://schemas.openxmlformats.org/officeDocument/2006/relationships/hyperlink" Target="https://nsfl.health.govt.nz/accountability/operational-policy-framework-0/operational-policy-framework-201920" TargetMode="External"/><Relationship Id="rId58" Type="http://schemas.openxmlformats.org/officeDocument/2006/relationships/hyperlink" Target="http://www.hqsc.govt.nz/assets/Other-Topics/Equity/Quality_improvement_-_no_quality_without_equity.pdf" TargetMode="External"/><Relationship Id="rId66" Type="http://schemas.openxmlformats.org/officeDocument/2006/relationships/hyperlink" Target="http://cmdss2011.org/site/wp-content/uploads/2011/10/Rio-Political-Declaration-on-SDH-20111021.pdf"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hyperlink" Target="http://www.ncbi.nlm.nih.gov/pubmed/16898358" TargetMode="External"/><Relationship Id="rId49" Type="http://schemas.openxmlformats.org/officeDocument/2006/relationships/hyperlink" Target="http://www.health.govt.nz/system/files/documents/publications/targeting-immunisation-health-target.pdf" TargetMode="External"/><Relationship Id="rId57" Type="http://schemas.openxmlformats.org/officeDocument/2006/relationships/hyperlink" Target="http://www.ohchr.org/Documents/Publications/Factsheet31.pdf" TargetMode="External"/><Relationship Id="rId61" Type="http://schemas.openxmlformats.org/officeDocument/2006/relationships/hyperlink" Target="http://www.beehive.govt.nz/speech/launch-he-korowai-oranga-&#8211;-m&#257;ori-health-strategy" TargetMode="External"/><Relationship Id="rId10" Type="http://schemas.openxmlformats.org/officeDocument/2006/relationships/hyperlink" Target="mailto:M&#257;orihealth@health.govt.nz" TargetMode="External"/><Relationship Id="rId19" Type="http://schemas.openxmlformats.org/officeDocument/2006/relationships/header" Target="header3.xml"/><Relationship Id="rId31" Type="http://schemas.openxmlformats.org/officeDocument/2006/relationships/hyperlink" Target="http://www.gov.uk/government/publications/independent-inquiry-into-inequalities-in-health-report" TargetMode="External"/><Relationship Id="rId44" Type="http://schemas.openxmlformats.org/officeDocument/2006/relationships/hyperlink" Target="https://bmcpublichealth.biomedcentral.com/articles/10.1186/1471-2458-12-384" TargetMode="External"/><Relationship Id="rId52" Type="http://schemas.openxmlformats.org/officeDocument/2006/relationships/hyperlink" Target="http://www.health.govt.nz/system/files/documents/pages/exploring-why-young-M&#257;ori-women-smoke-final-10oct2017.pdf" TargetMode="External"/><Relationship Id="rId60" Type="http://schemas.openxmlformats.org/officeDocument/2006/relationships/hyperlink" Target="https://treasury.govt.nz/news-and-events/news/tim-ng-talking-nbrs-grant-walker-about-wellbeing-budget" TargetMode="External"/><Relationship Id="rId65" Type="http://schemas.openxmlformats.org/officeDocument/2006/relationships/hyperlink" Target="http://www.who.int/publications/almaata_declaration_en.pd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govt.nz/mhap" TargetMode="External"/><Relationship Id="rId14" Type="http://schemas.openxmlformats.org/officeDocument/2006/relationships/hyperlink" Target="http://www.health.govt.nz/mhap" TargetMode="External"/><Relationship Id="rId22" Type="http://schemas.openxmlformats.org/officeDocument/2006/relationships/package" Target="embeddings/Microsoft_Visio_Drawing.vsdx"/><Relationship Id="rId27" Type="http://schemas.openxmlformats.org/officeDocument/2006/relationships/package" Target="embeddings/Microsoft_Visio_Drawing1.vsdx"/><Relationship Id="rId30" Type="http://schemas.openxmlformats.org/officeDocument/2006/relationships/header" Target="header9.xml"/><Relationship Id="rId35" Type="http://schemas.openxmlformats.org/officeDocument/2006/relationships/hyperlink" Target="https://hpaied.org/sites/default/files/publications/PRS98-25.pdf" TargetMode="External"/><Relationship Id="rId43" Type="http://schemas.openxmlformats.org/officeDocument/2006/relationships/hyperlink" Target="https://jech.bmj.com/content/jech/56/9/647.full.pdf" TargetMode="External"/><Relationship Id="rId48" Type="http://schemas.openxmlformats.org/officeDocument/2006/relationships/hyperlink" Target="http://www.health.govt.nz/system/files/documents/publications/whanau-ora-hia-2007.pdf" TargetMode="External"/><Relationship Id="rId56" Type="http://schemas.openxmlformats.org/officeDocument/2006/relationships/hyperlink" Target="http://www.cdph.ca.gov/Programs/OHE/CDPH%20Document%20Library/Accessible-CDPH_OHE_Disparity_Report_Final%20(2).pdf" TargetMode="External"/><Relationship Id="rId64" Type="http://schemas.openxmlformats.org/officeDocument/2006/relationships/hyperlink" Target="https://doi.org/10.1093/heapro/6.3.217" TargetMode="External"/><Relationship Id="rId69" Type="http://schemas.openxmlformats.org/officeDocument/2006/relationships/footer" Target="footer4.xml"/><Relationship Id="rId8" Type="http://schemas.openxmlformats.org/officeDocument/2006/relationships/hyperlink" Target="http://www.health.govt.nz/mhap" TargetMode="External"/><Relationship Id="rId51" Type="http://schemas.openxmlformats.org/officeDocument/2006/relationships/hyperlink" Target="http://www.health.govt.nz/new-zealand-health-system/system-level-measures-framework" TargetMode="External"/><Relationship Id="rId72" Type="http://schemas.openxmlformats.org/officeDocument/2006/relationships/footer" Target="footer6.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yperlink" Target="http://www.ncbi.nlm.nih.gov/pubmed/29961558" TargetMode="External"/><Relationship Id="rId38" Type="http://schemas.openxmlformats.org/officeDocument/2006/relationships/hyperlink" Target="https://fabians.org.uk/wp-content/uploads/2012/01/The-Coalition-and-Universalism.pdf" TargetMode="External"/><Relationship Id="rId46" Type="http://schemas.openxmlformats.org/officeDocument/2006/relationships/hyperlink" Target="http://www.health.govt.nz/publication/reducing-inequalities-health" TargetMode="External"/><Relationship Id="rId59" Type="http://schemas.openxmlformats.org/officeDocument/2006/relationships/hyperlink" Target="https://treasury.govt.nz/information-and-services/nz-economy/living-standards/our-living-standards-framework" TargetMode="External"/><Relationship Id="rId67" Type="http://schemas.openxmlformats.org/officeDocument/2006/relationships/header" Target="header10.xml"/><Relationship Id="rId20" Type="http://schemas.openxmlformats.org/officeDocument/2006/relationships/footer" Target="footer3.xml"/><Relationship Id="rId41" Type="http://schemas.openxmlformats.org/officeDocument/2006/relationships/hyperlink" Target="https://jech.bmj.com/content/jech/64/2/117.full.pdf" TargetMode="External"/><Relationship Id="rId54" Type="http://schemas.openxmlformats.org/officeDocument/2006/relationships/hyperlink" Target="https://www.health.govt.nz/publication/annual-update-key-results-2017-18-new-zealand-health-survey" TargetMode="External"/><Relationship Id="rId62" Type="http://schemas.openxmlformats.org/officeDocument/2006/relationships/hyperlink" Target="https://www.waitangitribunal.govt.nz/inquiries/kaupapa-inquiries/health-services-and-outcomes-inquiry" TargetMode="External"/><Relationship Id="rId7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moh.govt.nz\DFS-Userdata\HomeShare\kpaterso\09%20Random%20Jobs\03%20-%20MHAP%20Statistics\06%20-%20Ensuring%20cross%20agency%20joint%20ventures\M&#257;ori%20LSF%20Wellbeing%20measur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742672764555357E-2"/>
          <c:y val="4.998362934694512E-2"/>
          <c:w val="0.8988389878375177"/>
          <c:h val="0.73298011395778218"/>
        </c:manualLayout>
      </c:layout>
      <c:barChart>
        <c:barDir val="bar"/>
        <c:grouping val="clustered"/>
        <c:varyColors val="0"/>
        <c:ser>
          <c:idx val="0"/>
          <c:order val="0"/>
          <c:tx>
            <c:strRef>
              <c:f>'māori-ethnicity'!$C$1</c:f>
              <c:strCache>
                <c:ptCount val="1"/>
                <c:pt idx="0">
                  <c:v>High</c:v>
                </c:pt>
              </c:strCache>
            </c:strRef>
          </c:tx>
          <c:spPr>
            <a:solidFill>
              <a:schemeClr val="accent1">
                <a:alpha val="49000"/>
              </a:schemeClr>
            </a:solidFill>
            <a:ln>
              <a:noFill/>
            </a:ln>
            <a:effectLst/>
          </c:spPr>
          <c:invertIfNegative val="0"/>
          <c:cat>
            <c:strRef>
              <c:f>'māori-ethnicity'!$A$2:$A$10</c:f>
              <c:strCache>
                <c:ptCount val="9"/>
                <c:pt idx="0">
                  <c:v>Subjective wellbeing</c:v>
                </c:pt>
                <c:pt idx="1">
                  <c:v>Civic engagement and governance</c:v>
                </c:pt>
                <c:pt idx="2">
                  <c:v>Cultural identity</c:v>
                </c:pt>
                <c:pt idx="3">
                  <c:v>Health</c:v>
                </c:pt>
                <c:pt idx="4">
                  <c:v>Housing</c:v>
                </c:pt>
                <c:pt idx="5">
                  <c:v>Income and consumption</c:v>
                </c:pt>
                <c:pt idx="6">
                  <c:v>Knowledge and skills</c:v>
                </c:pt>
                <c:pt idx="7">
                  <c:v>Safety</c:v>
                </c:pt>
                <c:pt idx="8">
                  <c:v>Social connections</c:v>
                </c:pt>
              </c:strCache>
            </c:strRef>
          </c:cat>
          <c:val>
            <c:numRef>
              <c:f>'māori-ethnicity'!$C$2:$C$10</c:f>
              <c:numCache>
                <c:formatCode>General</c:formatCode>
                <c:ptCount val="9"/>
                <c:pt idx="0">
                  <c:v>-2.4700000000000002</c:v>
                </c:pt>
                <c:pt idx="1">
                  <c:v>-18.23</c:v>
                </c:pt>
                <c:pt idx="2">
                  <c:v>1.1200000000000001</c:v>
                </c:pt>
                <c:pt idx="3">
                  <c:v>-4.51</c:v>
                </c:pt>
                <c:pt idx="4">
                  <c:v>-16.54</c:v>
                </c:pt>
                <c:pt idx="5">
                  <c:v>-16.37</c:v>
                </c:pt>
                <c:pt idx="6">
                  <c:v>-16.2</c:v>
                </c:pt>
                <c:pt idx="7">
                  <c:v>-7.55</c:v>
                </c:pt>
                <c:pt idx="8">
                  <c:v>-10.24</c:v>
                </c:pt>
              </c:numCache>
            </c:numRef>
          </c:val>
          <c:extLst>
            <c:ext xmlns:c16="http://schemas.microsoft.com/office/drawing/2014/chart" uri="{C3380CC4-5D6E-409C-BE32-E72D297353CC}">
              <c16:uniqueId val="{00000000-315B-4005-A784-3DB21A9712B1}"/>
            </c:ext>
          </c:extLst>
        </c:ser>
        <c:dLbls>
          <c:showLegendKey val="0"/>
          <c:showVal val="0"/>
          <c:showCatName val="0"/>
          <c:showSerName val="0"/>
          <c:showPercent val="0"/>
          <c:showBubbleSize val="0"/>
        </c:dLbls>
        <c:gapWidth val="182"/>
        <c:axId val="661483536"/>
        <c:axId val="661485496"/>
      </c:barChart>
      <c:catAx>
        <c:axId val="661483536"/>
        <c:scaling>
          <c:orientation val="minMax"/>
        </c:scaling>
        <c:delete val="0"/>
        <c:axPos val="l"/>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485496"/>
        <c:crosses val="autoZero"/>
        <c:auto val="1"/>
        <c:lblAlgn val="ctr"/>
        <c:lblOffset val="100"/>
        <c:noMultiLvlLbl val="0"/>
      </c:catAx>
      <c:valAx>
        <c:axId val="6614854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Difference in Percentage Points</a:t>
                </a:r>
              </a:p>
            </c:rich>
          </c:tx>
          <c:layout>
            <c:manualLayout>
              <c:xMode val="edge"/>
              <c:yMode val="edge"/>
              <c:x val="0.3334612585191557"/>
              <c:y val="0.907031248119359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483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C8A83-C000-4131-966A-0F084395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73C352C3</Template>
  <TotalTime>58</TotalTime>
  <Pages>39</Pages>
  <Words>10687</Words>
  <Characters>60917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Sangster</dc:creator>
  <cp:keywords/>
  <dc:description/>
  <cp:lastModifiedBy>Clyde Smith</cp:lastModifiedBy>
  <cp:revision>14</cp:revision>
  <cp:lastPrinted>2019-08-20T00:00:00Z</cp:lastPrinted>
  <dcterms:created xsi:type="dcterms:W3CDTF">2019-08-16T00:55:00Z</dcterms:created>
  <dcterms:modified xsi:type="dcterms:W3CDTF">2019-08-26T04:12:00Z</dcterms:modified>
</cp:coreProperties>
</file>