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8D2F" w14:textId="65573A8E" w:rsidR="00D21EC0" w:rsidRDefault="00D21EC0"/>
    <w:p w14:paraId="0C0D68AE" w14:textId="7AE1DCA5" w:rsidR="00071689" w:rsidRDefault="00071689"/>
    <w:p w14:paraId="45DAA372" w14:textId="6FBD2FD7" w:rsidR="00071689" w:rsidRDefault="00071689"/>
    <w:p w14:paraId="47E14CBB" w14:textId="21BD33C7" w:rsidR="00071689" w:rsidRDefault="00071689"/>
    <w:p w14:paraId="72782F9C" w14:textId="1C7EF19B" w:rsidR="00071689" w:rsidRDefault="00071689"/>
    <w:p w14:paraId="4D079B01" w14:textId="591960B7" w:rsidR="00071689" w:rsidRDefault="00071689"/>
    <w:p w14:paraId="3DA02C77" w14:textId="2445BBD5" w:rsidR="00071689" w:rsidRDefault="00071689"/>
    <w:p w14:paraId="2243920E" w14:textId="3084A43C" w:rsidR="00071689" w:rsidRDefault="00071689"/>
    <w:p w14:paraId="6B9D5827" w14:textId="77777777" w:rsidR="00071689" w:rsidRDefault="00071689"/>
    <w:p w14:paraId="00F4B125" w14:textId="63B4A8A8" w:rsidR="00071689" w:rsidRPr="00071689" w:rsidRDefault="00071689" w:rsidP="00071689">
      <w:pPr>
        <w:pStyle w:val="Heading1"/>
        <w:rPr>
          <w:rFonts w:ascii="Segoe UI" w:hAnsi="Segoe UI" w:cs="Segoe UI"/>
          <w:sz w:val="72"/>
          <w:szCs w:val="72"/>
        </w:rPr>
      </w:pPr>
      <w:proofErr w:type="spellStart"/>
      <w:r>
        <w:rPr>
          <w:rFonts w:ascii="Segoe UI" w:hAnsi="Segoe UI" w:cs="Segoe UI"/>
          <w:sz w:val="72"/>
          <w:szCs w:val="72"/>
        </w:rPr>
        <w:t>Medsafe</w:t>
      </w:r>
      <w:proofErr w:type="spellEnd"/>
      <w:r>
        <w:rPr>
          <w:rFonts w:ascii="Segoe UI" w:hAnsi="Segoe UI" w:cs="Segoe UI"/>
          <w:sz w:val="72"/>
          <w:szCs w:val="72"/>
        </w:rPr>
        <w:t xml:space="preserve"> Fees Review</w:t>
      </w:r>
    </w:p>
    <w:p w14:paraId="463C99B4" w14:textId="77777777" w:rsidR="00071689" w:rsidRPr="00DE7654" w:rsidRDefault="00071689" w:rsidP="00071689">
      <w:pPr>
        <w:rPr>
          <w:rFonts w:ascii="Segoe UI" w:hAnsi="Segoe UI" w:cs="Segoe UI"/>
        </w:rPr>
      </w:pPr>
    </w:p>
    <w:p w14:paraId="1DE17040" w14:textId="6CEFADE3" w:rsidR="00071689" w:rsidRPr="00DE7654" w:rsidRDefault="00071689" w:rsidP="00071689">
      <w:pPr>
        <w:rPr>
          <w:rFonts w:ascii="Segoe UI" w:hAnsi="Segoe UI" w:cs="Segoe UI"/>
          <w:b/>
          <w:sz w:val="28"/>
          <w:szCs w:val="28"/>
        </w:rPr>
      </w:pPr>
      <w:r w:rsidRPr="00DE7654">
        <w:rPr>
          <w:rFonts w:ascii="Segoe UI" w:hAnsi="Segoe UI" w:cs="Segoe UI"/>
          <w:b/>
          <w:sz w:val="28"/>
          <w:szCs w:val="28"/>
        </w:rPr>
        <w:t>CONSULTATION DOCUMENT</w:t>
      </w:r>
    </w:p>
    <w:p w14:paraId="6C9C0EBB" w14:textId="77777777" w:rsidR="00071689" w:rsidRPr="00DE7654" w:rsidRDefault="00071689" w:rsidP="00071689">
      <w:pPr>
        <w:rPr>
          <w:rFonts w:ascii="Segoe UI" w:hAnsi="Segoe UI" w:cs="Segoe UI"/>
          <w:b/>
          <w:sz w:val="28"/>
          <w:szCs w:val="28"/>
        </w:rPr>
      </w:pPr>
    </w:p>
    <w:p w14:paraId="39EE00B6" w14:textId="2B01C4F6" w:rsidR="00071689" w:rsidRPr="00DE7654" w:rsidRDefault="00071689" w:rsidP="00071689">
      <w:pPr>
        <w:rPr>
          <w:rFonts w:ascii="Segoe UI" w:hAnsi="Segoe UI" w:cs="Segoe UI"/>
          <w:b/>
          <w:sz w:val="28"/>
          <w:szCs w:val="28"/>
        </w:rPr>
      </w:pPr>
      <w:r w:rsidRPr="00DE7654">
        <w:rPr>
          <w:rFonts w:ascii="Segoe UI" w:hAnsi="Segoe UI" w:cs="Segoe UI"/>
          <w:b/>
          <w:sz w:val="28"/>
          <w:szCs w:val="28"/>
        </w:rPr>
        <w:t>202</w:t>
      </w:r>
      <w:r w:rsidR="002E7C89">
        <w:rPr>
          <w:rFonts w:ascii="Segoe UI" w:hAnsi="Segoe UI" w:cs="Segoe UI"/>
          <w:b/>
          <w:sz w:val="28"/>
          <w:szCs w:val="28"/>
        </w:rPr>
        <w:t>1</w:t>
      </w:r>
    </w:p>
    <w:p w14:paraId="304E57D3" w14:textId="488C0840" w:rsidR="00071689" w:rsidRDefault="00071689"/>
    <w:p w14:paraId="3F256DD8" w14:textId="09D3DFF7" w:rsidR="00071689" w:rsidRDefault="00071689">
      <w:r>
        <w:br w:type="page"/>
      </w:r>
    </w:p>
    <w:p w14:paraId="54616F0B" w14:textId="77777777" w:rsidR="000856BB" w:rsidRDefault="000856BB">
      <w:pPr>
        <w:rPr>
          <w:rFonts w:ascii="Segoe UI" w:eastAsiaTheme="majorEastAsia" w:hAnsi="Segoe UI" w:cs="Segoe UI"/>
          <w:color w:val="2F5496" w:themeColor="accent1" w:themeShade="BF"/>
          <w:sz w:val="72"/>
          <w:szCs w:val="72"/>
        </w:rPr>
      </w:pPr>
      <w:bookmarkStart w:id="0" w:name="_Toc50549938"/>
      <w:r w:rsidRPr="000856BB">
        <w:rPr>
          <w:rFonts w:ascii="Segoe UI" w:hAnsi="Segoe UI" w:cs="Segoe UI"/>
          <w:color w:val="4472C4" w:themeColor="accent1"/>
          <w:sz w:val="52"/>
          <w:szCs w:val="52"/>
        </w:rPr>
        <w:lastRenderedPageBreak/>
        <w:t>Glossary</w:t>
      </w:r>
    </w:p>
    <w:p w14:paraId="770654AF" w14:textId="02EA1DD7" w:rsidR="009228DB" w:rsidRDefault="009228DB" w:rsidP="009228DB">
      <w:pPr>
        <w:rPr>
          <w:rFonts w:eastAsiaTheme="majorEastAsia" w:cs="Segoe UI"/>
          <w:sz w:val="24"/>
          <w:szCs w:val="24"/>
        </w:rPr>
      </w:pPr>
      <w:r w:rsidRPr="00527142">
        <w:rPr>
          <w:rFonts w:eastAsiaTheme="majorEastAsia" w:cs="Segoe UI"/>
          <w:b/>
          <w:bCs/>
          <w:sz w:val="24"/>
          <w:szCs w:val="24"/>
        </w:rPr>
        <w:t>API</w:t>
      </w:r>
      <w:r>
        <w:rPr>
          <w:rFonts w:eastAsiaTheme="majorEastAsia" w:cs="Segoe UI"/>
          <w:sz w:val="24"/>
          <w:szCs w:val="24"/>
        </w:rPr>
        <w:t xml:space="preserve"> – active ingredient</w:t>
      </w:r>
      <w:r w:rsidR="00527142">
        <w:rPr>
          <w:rFonts w:eastAsiaTheme="majorEastAsia" w:cs="Segoe UI"/>
          <w:sz w:val="24"/>
          <w:szCs w:val="24"/>
        </w:rPr>
        <w:t>/drug substance</w:t>
      </w:r>
    </w:p>
    <w:p w14:paraId="58282E0C" w14:textId="30958B7F" w:rsidR="00527142" w:rsidRPr="00527142" w:rsidRDefault="009228DB" w:rsidP="00527142">
      <w:pPr>
        <w:rPr>
          <w:rFonts w:ascii="Segoe UI" w:eastAsia="Times New Roman" w:hAnsi="Segoe UI" w:cs="Segoe UI"/>
          <w:sz w:val="21"/>
          <w:szCs w:val="21"/>
          <w:lang w:eastAsia="en-NZ"/>
        </w:rPr>
      </w:pPr>
      <w:r w:rsidRPr="00527142">
        <w:rPr>
          <w:rFonts w:eastAsiaTheme="majorEastAsia" w:cs="Segoe UI"/>
          <w:b/>
          <w:bCs/>
          <w:sz w:val="24"/>
          <w:szCs w:val="24"/>
        </w:rPr>
        <w:t>CEP</w:t>
      </w:r>
      <w:r>
        <w:rPr>
          <w:rFonts w:eastAsiaTheme="majorEastAsia" w:cs="Segoe UI"/>
          <w:sz w:val="24"/>
          <w:szCs w:val="24"/>
        </w:rPr>
        <w:t xml:space="preserve"> – </w:t>
      </w:r>
      <w:r w:rsidR="00527142" w:rsidRPr="00527142">
        <w:rPr>
          <w:rFonts w:ascii="Segoe UI" w:eastAsia="Times New Roman" w:hAnsi="Segoe UI" w:cs="Segoe UI"/>
          <w:sz w:val="21"/>
          <w:szCs w:val="21"/>
          <w:lang w:eastAsia="en-NZ"/>
        </w:rPr>
        <w:t>Certificate of Suitability is a document that certifies that the quality of a given drug substance manufactured by a specific site and process can be suitably controlled by the Ph. Eur. monograph for the drug substance with additional tests if necessary</w:t>
      </w:r>
    </w:p>
    <w:p w14:paraId="449134BF" w14:textId="4D24468E" w:rsidR="000856BB" w:rsidRDefault="000856BB">
      <w:pPr>
        <w:rPr>
          <w:rFonts w:eastAsiaTheme="majorEastAsia" w:cs="Segoe UI"/>
          <w:sz w:val="24"/>
          <w:szCs w:val="24"/>
        </w:rPr>
      </w:pPr>
      <w:r w:rsidRPr="00527142">
        <w:rPr>
          <w:rFonts w:eastAsiaTheme="majorEastAsia" w:cs="Segoe UI"/>
          <w:b/>
          <w:bCs/>
          <w:sz w:val="24"/>
          <w:szCs w:val="24"/>
        </w:rPr>
        <w:t>CMN</w:t>
      </w:r>
      <w:r>
        <w:rPr>
          <w:rFonts w:eastAsiaTheme="majorEastAsia" w:cs="Segoe UI"/>
          <w:sz w:val="24"/>
          <w:szCs w:val="24"/>
        </w:rPr>
        <w:t xml:space="preserve"> – Changed medicine notification. </w:t>
      </w:r>
    </w:p>
    <w:p w14:paraId="126C21C6" w14:textId="77777777" w:rsidR="009228DB" w:rsidRDefault="009228DB" w:rsidP="009228DB">
      <w:pPr>
        <w:rPr>
          <w:rFonts w:eastAsiaTheme="majorEastAsia" w:cs="Segoe UI"/>
          <w:sz w:val="24"/>
          <w:szCs w:val="24"/>
        </w:rPr>
      </w:pPr>
      <w:r w:rsidRPr="00527142">
        <w:rPr>
          <w:rFonts w:eastAsiaTheme="majorEastAsia" w:cs="Segoe UI"/>
          <w:b/>
          <w:bCs/>
          <w:sz w:val="24"/>
          <w:szCs w:val="24"/>
        </w:rPr>
        <w:t>CRPN</w:t>
      </w:r>
      <w:r>
        <w:rPr>
          <w:rFonts w:eastAsiaTheme="majorEastAsia" w:cs="Segoe UI"/>
          <w:sz w:val="24"/>
          <w:szCs w:val="24"/>
        </w:rPr>
        <w:t xml:space="preserve"> – Changed related product notification</w:t>
      </w:r>
    </w:p>
    <w:p w14:paraId="419F65C6" w14:textId="61FFFF84" w:rsidR="009228DB" w:rsidRDefault="009228DB" w:rsidP="009228DB">
      <w:pPr>
        <w:rPr>
          <w:rFonts w:eastAsiaTheme="majorEastAsia" w:cs="Segoe UI"/>
          <w:sz w:val="24"/>
          <w:szCs w:val="24"/>
        </w:rPr>
      </w:pPr>
      <w:r w:rsidRPr="00527142">
        <w:rPr>
          <w:rFonts w:eastAsiaTheme="majorEastAsia" w:cs="Segoe UI"/>
          <w:b/>
          <w:bCs/>
          <w:sz w:val="24"/>
          <w:szCs w:val="24"/>
        </w:rPr>
        <w:t>DMF</w:t>
      </w:r>
      <w:r>
        <w:rPr>
          <w:rFonts w:eastAsiaTheme="majorEastAsia" w:cs="Segoe UI"/>
          <w:sz w:val="24"/>
          <w:szCs w:val="24"/>
        </w:rPr>
        <w:t xml:space="preserve"> – </w:t>
      </w:r>
      <w:r w:rsidR="00ED306C">
        <w:rPr>
          <w:rFonts w:eastAsiaTheme="majorEastAsia" w:cs="Segoe UI"/>
          <w:sz w:val="24"/>
          <w:szCs w:val="24"/>
        </w:rPr>
        <w:t>D</w:t>
      </w:r>
      <w:r>
        <w:rPr>
          <w:rFonts w:eastAsiaTheme="majorEastAsia" w:cs="Segoe UI"/>
          <w:sz w:val="24"/>
          <w:szCs w:val="24"/>
        </w:rPr>
        <w:t xml:space="preserve">rug Master File. Information on the manufacturing of API, commonly supplied separately to the application and directly from the manufacturer to </w:t>
      </w:r>
      <w:proofErr w:type="spellStart"/>
      <w:r>
        <w:rPr>
          <w:rFonts w:eastAsiaTheme="majorEastAsia" w:cs="Segoe UI"/>
          <w:sz w:val="24"/>
          <w:szCs w:val="24"/>
        </w:rPr>
        <w:t>Medsafe</w:t>
      </w:r>
      <w:proofErr w:type="spellEnd"/>
      <w:r>
        <w:rPr>
          <w:rFonts w:eastAsiaTheme="majorEastAsia" w:cs="Segoe UI"/>
          <w:sz w:val="24"/>
          <w:szCs w:val="24"/>
        </w:rPr>
        <w:t xml:space="preserve"> </w:t>
      </w:r>
    </w:p>
    <w:p w14:paraId="190DCB24" w14:textId="69CB0B1E" w:rsidR="009228DB" w:rsidRDefault="009228DB" w:rsidP="009228DB">
      <w:pPr>
        <w:rPr>
          <w:rFonts w:eastAsiaTheme="majorEastAsia" w:cs="Segoe UI"/>
          <w:sz w:val="24"/>
          <w:szCs w:val="24"/>
        </w:rPr>
      </w:pPr>
      <w:r w:rsidRPr="00527142">
        <w:rPr>
          <w:rFonts w:eastAsiaTheme="majorEastAsia" w:cs="Segoe UI"/>
          <w:b/>
          <w:bCs/>
          <w:sz w:val="24"/>
          <w:szCs w:val="24"/>
        </w:rPr>
        <w:t>Electronic file transfer system (EFT)</w:t>
      </w:r>
      <w:r>
        <w:rPr>
          <w:rFonts w:eastAsiaTheme="majorEastAsia" w:cs="Segoe UI"/>
          <w:sz w:val="24"/>
          <w:szCs w:val="24"/>
        </w:rPr>
        <w:t xml:space="preserve"> – a secure online method for medicine sponsors to submit their medicine applications to </w:t>
      </w:r>
      <w:proofErr w:type="spellStart"/>
      <w:r>
        <w:rPr>
          <w:rFonts w:eastAsiaTheme="majorEastAsia" w:cs="Segoe UI"/>
          <w:sz w:val="24"/>
          <w:szCs w:val="24"/>
        </w:rPr>
        <w:t>Medsafe</w:t>
      </w:r>
      <w:proofErr w:type="spellEnd"/>
    </w:p>
    <w:p w14:paraId="5ACC7BF8" w14:textId="220C1BEE" w:rsidR="00F538E0" w:rsidRDefault="00F538E0">
      <w:pPr>
        <w:rPr>
          <w:rFonts w:eastAsiaTheme="majorEastAsia" w:cs="Segoe UI"/>
          <w:sz w:val="24"/>
          <w:szCs w:val="24"/>
        </w:rPr>
      </w:pPr>
      <w:r w:rsidRPr="00527142">
        <w:rPr>
          <w:rFonts w:eastAsiaTheme="majorEastAsia" w:cs="Segoe UI"/>
          <w:b/>
          <w:bCs/>
          <w:sz w:val="24"/>
          <w:szCs w:val="24"/>
        </w:rPr>
        <w:t>NBE</w:t>
      </w:r>
      <w:r>
        <w:rPr>
          <w:rFonts w:eastAsiaTheme="majorEastAsia" w:cs="Segoe UI"/>
          <w:sz w:val="24"/>
          <w:szCs w:val="24"/>
        </w:rPr>
        <w:t xml:space="preserve"> – </w:t>
      </w:r>
      <w:r w:rsidR="006A2310">
        <w:rPr>
          <w:rFonts w:eastAsiaTheme="majorEastAsia" w:cs="Segoe UI"/>
          <w:sz w:val="24"/>
          <w:szCs w:val="24"/>
        </w:rPr>
        <w:t>N</w:t>
      </w:r>
      <w:r>
        <w:rPr>
          <w:rFonts w:eastAsiaTheme="majorEastAsia" w:cs="Segoe UI"/>
          <w:sz w:val="24"/>
          <w:szCs w:val="24"/>
        </w:rPr>
        <w:t>ew biological entity</w:t>
      </w:r>
    </w:p>
    <w:p w14:paraId="523B839D" w14:textId="77777777" w:rsidR="009228DB" w:rsidRDefault="009228DB" w:rsidP="009228DB">
      <w:pPr>
        <w:rPr>
          <w:rFonts w:eastAsiaTheme="majorEastAsia" w:cs="Segoe UI"/>
          <w:sz w:val="24"/>
          <w:szCs w:val="24"/>
        </w:rPr>
      </w:pPr>
      <w:r w:rsidRPr="00527142">
        <w:rPr>
          <w:rFonts w:eastAsiaTheme="majorEastAsia" w:cs="Segoe UI"/>
          <w:b/>
          <w:bCs/>
          <w:sz w:val="24"/>
          <w:szCs w:val="24"/>
        </w:rPr>
        <w:t>NCE</w:t>
      </w:r>
      <w:r>
        <w:rPr>
          <w:rFonts w:eastAsiaTheme="majorEastAsia" w:cs="Segoe UI"/>
          <w:sz w:val="24"/>
          <w:szCs w:val="24"/>
        </w:rPr>
        <w:t xml:space="preserve"> – New chemical entity</w:t>
      </w:r>
    </w:p>
    <w:p w14:paraId="43F4283D" w14:textId="77777777" w:rsidR="009228DB" w:rsidRDefault="009228DB" w:rsidP="009228DB">
      <w:pPr>
        <w:rPr>
          <w:rFonts w:eastAsiaTheme="majorEastAsia" w:cs="Segoe UI"/>
          <w:sz w:val="24"/>
          <w:szCs w:val="24"/>
        </w:rPr>
      </w:pPr>
      <w:r w:rsidRPr="00527142">
        <w:rPr>
          <w:rFonts w:eastAsiaTheme="majorEastAsia" w:cs="Segoe UI"/>
          <w:b/>
          <w:bCs/>
          <w:sz w:val="24"/>
          <w:szCs w:val="24"/>
        </w:rPr>
        <w:t>NMA</w:t>
      </w:r>
      <w:r>
        <w:rPr>
          <w:rFonts w:eastAsiaTheme="majorEastAsia" w:cs="Segoe UI"/>
          <w:sz w:val="24"/>
          <w:szCs w:val="24"/>
        </w:rPr>
        <w:t xml:space="preserve"> – New medicine application</w:t>
      </w:r>
    </w:p>
    <w:p w14:paraId="02E0460E" w14:textId="01E3E480" w:rsidR="000856BB" w:rsidRDefault="00935BED">
      <w:pPr>
        <w:rPr>
          <w:rFonts w:eastAsiaTheme="majorEastAsia" w:cs="Segoe UI"/>
          <w:sz w:val="24"/>
          <w:szCs w:val="24"/>
        </w:rPr>
      </w:pPr>
      <w:r w:rsidRPr="00527142">
        <w:rPr>
          <w:rFonts w:eastAsiaTheme="majorEastAsia" w:cs="Segoe UI"/>
          <w:b/>
          <w:bCs/>
          <w:sz w:val="24"/>
          <w:szCs w:val="24"/>
        </w:rPr>
        <w:t>S 24(5)</w:t>
      </w:r>
      <w:r w:rsidR="006A2310" w:rsidRPr="00527142">
        <w:rPr>
          <w:rFonts w:eastAsiaTheme="majorEastAsia" w:cs="Segoe UI"/>
          <w:b/>
          <w:bCs/>
          <w:sz w:val="24"/>
          <w:szCs w:val="24"/>
        </w:rPr>
        <w:t>s</w:t>
      </w:r>
      <w:r w:rsidR="006A2310">
        <w:rPr>
          <w:rFonts w:eastAsiaTheme="majorEastAsia" w:cs="Segoe UI"/>
          <w:sz w:val="24"/>
          <w:szCs w:val="24"/>
        </w:rPr>
        <w:t xml:space="preserve"> – these are changed medicine notifications that are referred under section 24(5) of the Medicines Act to be new medicine applications. There are two types of S 24(5) referrals – under subsection (a) and subsection (b). Subsection (a) is for CMNs that are complex or </w:t>
      </w:r>
      <w:r w:rsidR="006A2310" w:rsidRPr="00ED306C">
        <w:rPr>
          <w:rFonts w:eastAsiaTheme="majorEastAsia" w:cs="Segoe UI"/>
          <w:sz w:val="24"/>
          <w:szCs w:val="24"/>
        </w:rPr>
        <w:t xml:space="preserve">substantial and cannot be evaluated within the CMN </w:t>
      </w:r>
      <w:proofErr w:type="gramStart"/>
      <w:r w:rsidR="006A2310" w:rsidRPr="00ED306C">
        <w:rPr>
          <w:rFonts w:eastAsiaTheme="majorEastAsia" w:cs="Segoe UI"/>
          <w:sz w:val="24"/>
          <w:szCs w:val="24"/>
        </w:rPr>
        <w:t>45 day</w:t>
      </w:r>
      <w:proofErr w:type="gramEnd"/>
      <w:r w:rsidR="006A2310" w:rsidRPr="00ED306C">
        <w:rPr>
          <w:rFonts w:eastAsiaTheme="majorEastAsia" w:cs="Segoe UI"/>
          <w:sz w:val="24"/>
          <w:szCs w:val="24"/>
        </w:rPr>
        <w:t xml:space="preserve"> timeframe. Subsection (b) referrals are for CMNs where the statutory timeframe of a decision within 90 days cannot be met.</w:t>
      </w:r>
    </w:p>
    <w:p w14:paraId="69984937" w14:textId="363A6D8C" w:rsidR="009228DB" w:rsidRDefault="009228DB">
      <w:pPr>
        <w:rPr>
          <w:rFonts w:eastAsiaTheme="majorEastAsia" w:cs="Segoe UI"/>
          <w:sz w:val="24"/>
          <w:szCs w:val="24"/>
        </w:rPr>
      </w:pPr>
    </w:p>
    <w:p w14:paraId="051B9A3D" w14:textId="7E39AE21" w:rsidR="00DF0BF6" w:rsidRDefault="00DF0BF6">
      <w:pPr>
        <w:rPr>
          <w:rFonts w:eastAsiaTheme="majorEastAsia" w:cs="Segoe UI"/>
          <w:sz w:val="24"/>
          <w:szCs w:val="24"/>
        </w:rPr>
      </w:pPr>
    </w:p>
    <w:p w14:paraId="5D3FAB56" w14:textId="44300FF0" w:rsidR="000856BB" w:rsidRPr="000856BB" w:rsidRDefault="000856BB">
      <w:pPr>
        <w:rPr>
          <w:rFonts w:ascii="Segoe UI" w:eastAsiaTheme="majorEastAsia" w:hAnsi="Segoe UI" w:cs="Segoe UI"/>
          <w:color w:val="2F5496" w:themeColor="accent1" w:themeShade="BF"/>
          <w:sz w:val="72"/>
          <w:szCs w:val="72"/>
        </w:rPr>
      </w:pPr>
      <w:r w:rsidRPr="000856BB">
        <w:rPr>
          <w:rFonts w:ascii="Segoe UI" w:eastAsiaTheme="majorEastAsia" w:hAnsi="Segoe UI" w:cs="Segoe UI"/>
          <w:color w:val="2F5496" w:themeColor="accent1" w:themeShade="BF"/>
          <w:sz w:val="72"/>
          <w:szCs w:val="72"/>
        </w:rPr>
        <w:br w:type="page"/>
      </w:r>
    </w:p>
    <w:p w14:paraId="7074216F" w14:textId="55A95C1D" w:rsidR="00D22DED" w:rsidRPr="00D22DED" w:rsidRDefault="00D22DED" w:rsidP="00D22DED">
      <w:pPr>
        <w:pStyle w:val="Heading1"/>
        <w:rPr>
          <w:rFonts w:ascii="Segoe UI" w:hAnsi="Segoe UI" w:cs="Segoe UI"/>
          <w:sz w:val="72"/>
          <w:szCs w:val="72"/>
        </w:rPr>
      </w:pPr>
      <w:r w:rsidRPr="00D22DED">
        <w:rPr>
          <w:rFonts w:ascii="Segoe UI" w:hAnsi="Segoe UI" w:cs="Segoe UI"/>
          <w:sz w:val="72"/>
          <w:szCs w:val="72"/>
        </w:rPr>
        <w:lastRenderedPageBreak/>
        <w:t>Introduction</w:t>
      </w:r>
      <w:bookmarkEnd w:id="0"/>
    </w:p>
    <w:p w14:paraId="32339EA1" w14:textId="77777777" w:rsidR="00D22DED" w:rsidRPr="00DE7654" w:rsidRDefault="00D22DED" w:rsidP="00D22DED">
      <w:pPr>
        <w:rPr>
          <w:rFonts w:ascii="Segoe UI" w:eastAsiaTheme="majorEastAsia" w:hAnsi="Segoe UI" w:cs="Segoe UI"/>
          <w:b/>
          <w:color w:val="4472C4" w:themeColor="accent1"/>
          <w:sz w:val="44"/>
          <w:szCs w:val="44"/>
        </w:rPr>
      </w:pPr>
      <w:r w:rsidRPr="00DE7654">
        <w:rPr>
          <w:rFonts w:ascii="Segoe UI" w:eastAsiaTheme="majorEastAsia" w:hAnsi="Segoe UI" w:cs="Segoe UI"/>
          <w:b/>
          <w:color w:val="4472C4" w:themeColor="accent1"/>
          <w:sz w:val="44"/>
          <w:szCs w:val="44"/>
        </w:rPr>
        <w:t>Background</w:t>
      </w:r>
    </w:p>
    <w:p w14:paraId="72E6C933" w14:textId="4B340E91" w:rsidR="003203F6" w:rsidRPr="006A2310" w:rsidRDefault="003203F6" w:rsidP="006A2310">
      <w:pPr>
        <w:rPr>
          <w:sz w:val="24"/>
          <w:szCs w:val="24"/>
        </w:rPr>
      </w:pPr>
      <w:r w:rsidRPr="006A2310">
        <w:rPr>
          <w:sz w:val="24"/>
          <w:szCs w:val="24"/>
        </w:rPr>
        <w:t xml:space="preserve">This consultation document provides proposals </w:t>
      </w:r>
      <w:r w:rsidR="00D7205C" w:rsidRPr="006A2310">
        <w:rPr>
          <w:sz w:val="24"/>
          <w:szCs w:val="24"/>
        </w:rPr>
        <w:t>on changes</w:t>
      </w:r>
      <w:r w:rsidR="00D22DED" w:rsidRPr="006A2310">
        <w:rPr>
          <w:sz w:val="24"/>
          <w:szCs w:val="24"/>
        </w:rPr>
        <w:t xml:space="preserve"> to</w:t>
      </w:r>
      <w:r w:rsidRPr="006A2310">
        <w:rPr>
          <w:sz w:val="24"/>
          <w:szCs w:val="24"/>
        </w:rPr>
        <w:t xml:space="preserve"> </w:t>
      </w:r>
      <w:proofErr w:type="spellStart"/>
      <w:r w:rsidRPr="006A2310">
        <w:rPr>
          <w:sz w:val="24"/>
          <w:szCs w:val="24"/>
        </w:rPr>
        <w:t>Medsafe</w:t>
      </w:r>
      <w:proofErr w:type="spellEnd"/>
      <w:r w:rsidRPr="006A2310">
        <w:rPr>
          <w:sz w:val="24"/>
          <w:szCs w:val="24"/>
        </w:rPr>
        <w:t xml:space="preserve"> fees by way of improved </w:t>
      </w:r>
      <w:r w:rsidR="00D7205C" w:rsidRPr="006A2310">
        <w:rPr>
          <w:sz w:val="24"/>
          <w:szCs w:val="24"/>
        </w:rPr>
        <w:t xml:space="preserve">and targeted </w:t>
      </w:r>
      <w:r w:rsidRPr="006A2310">
        <w:rPr>
          <w:sz w:val="24"/>
          <w:szCs w:val="24"/>
        </w:rPr>
        <w:t xml:space="preserve">cost recovery of evaluation and licensing effort and other efficiency </w:t>
      </w:r>
      <w:r w:rsidR="00D7205C" w:rsidRPr="006A2310">
        <w:rPr>
          <w:sz w:val="24"/>
          <w:szCs w:val="24"/>
        </w:rPr>
        <w:t>changes and</w:t>
      </w:r>
      <w:r w:rsidRPr="006A2310">
        <w:rPr>
          <w:sz w:val="24"/>
          <w:szCs w:val="24"/>
        </w:rPr>
        <w:t xml:space="preserve"> asks for stakeholder feedback on these proposals.</w:t>
      </w:r>
    </w:p>
    <w:p w14:paraId="6DEFD228" w14:textId="27574293" w:rsidR="00D7205C" w:rsidRPr="006A2310" w:rsidRDefault="00D7205C" w:rsidP="006A2310">
      <w:pPr>
        <w:rPr>
          <w:rFonts w:cstheme="minorHAnsi"/>
          <w:sz w:val="24"/>
          <w:szCs w:val="24"/>
        </w:rPr>
      </w:pPr>
      <w:proofErr w:type="spellStart"/>
      <w:r w:rsidRPr="006A2310">
        <w:rPr>
          <w:rFonts w:cstheme="minorHAnsi"/>
          <w:sz w:val="24"/>
          <w:szCs w:val="24"/>
        </w:rPr>
        <w:t>Medsafe</w:t>
      </w:r>
      <w:proofErr w:type="spellEnd"/>
      <w:r w:rsidRPr="006A2310">
        <w:rPr>
          <w:rFonts w:cstheme="minorHAnsi"/>
          <w:sz w:val="24"/>
          <w:szCs w:val="24"/>
        </w:rPr>
        <w:t xml:space="preserve"> is responsible for administering the Medicines Act 1981 (the Act) and Medicines Regulations 1984 (the Regulations). Its functions are mainly funded through third party fees set under the Act</w:t>
      </w:r>
      <w:r w:rsidRPr="002057AF">
        <w:rPr>
          <w:rFonts w:cstheme="minorHAnsi"/>
          <w:sz w:val="24"/>
          <w:szCs w:val="24"/>
        </w:rPr>
        <w:t xml:space="preserve">, </w:t>
      </w:r>
      <w:r w:rsidR="002057AF" w:rsidRPr="002057AF">
        <w:rPr>
          <w:sz w:val="24"/>
          <w:szCs w:val="24"/>
        </w:rPr>
        <w:t>with additional Crown funding for enforcement and medical devices activities</w:t>
      </w:r>
      <w:r w:rsidRPr="006A2310">
        <w:rPr>
          <w:rFonts w:cstheme="minorHAnsi"/>
          <w:sz w:val="24"/>
          <w:szCs w:val="24"/>
        </w:rPr>
        <w:t xml:space="preserve">. </w:t>
      </w:r>
    </w:p>
    <w:p w14:paraId="7F11E87F" w14:textId="4785A7F0" w:rsidR="007824E5" w:rsidRPr="006A2310" w:rsidRDefault="003203F6" w:rsidP="006A2310">
      <w:pPr>
        <w:rPr>
          <w:rFonts w:cstheme="minorHAnsi"/>
          <w:sz w:val="24"/>
          <w:szCs w:val="24"/>
        </w:rPr>
      </w:pPr>
      <w:r w:rsidRPr="006A2310">
        <w:rPr>
          <w:rFonts w:cstheme="minorHAnsi"/>
          <w:sz w:val="24"/>
          <w:szCs w:val="24"/>
        </w:rPr>
        <w:t>Reviews are conducted</w:t>
      </w:r>
      <w:r w:rsidR="0071757F" w:rsidRPr="006A2310">
        <w:rPr>
          <w:rFonts w:cstheme="minorHAnsi"/>
          <w:sz w:val="24"/>
          <w:szCs w:val="24"/>
        </w:rPr>
        <w:t xml:space="preserve"> to</w:t>
      </w:r>
      <w:r w:rsidR="009D3DBA" w:rsidRPr="006A2310">
        <w:rPr>
          <w:rFonts w:cstheme="minorHAnsi"/>
          <w:sz w:val="24"/>
          <w:szCs w:val="24"/>
        </w:rPr>
        <w:t xml:space="preserve"> ensure an appropriate </w:t>
      </w:r>
      <w:r w:rsidR="00C46A7B" w:rsidRPr="006A2310">
        <w:rPr>
          <w:rFonts w:cstheme="minorHAnsi"/>
          <w:sz w:val="24"/>
          <w:szCs w:val="24"/>
        </w:rPr>
        <w:t xml:space="preserve">balance between cost recovery and Crown </w:t>
      </w:r>
      <w:r w:rsidR="00777B67" w:rsidRPr="006A2310">
        <w:rPr>
          <w:rFonts w:cstheme="minorHAnsi"/>
          <w:sz w:val="24"/>
          <w:szCs w:val="24"/>
        </w:rPr>
        <w:t>funding and</w:t>
      </w:r>
      <w:r w:rsidR="00C46A7B" w:rsidRPr="006A2310">
        <w:rPr>
          <w:rFonts w:cstheme="minorHAnsi"/>
          <w:sz w:val="24"/>
          <w:szCs w:val="24"/>
        </w:rPr>
        <w:t xml:space="preserve"> ensure those that derive benefit or create risks within the medicines regulatory system pay for those services. There is also a balance between how these fees affect individuals and business and on maintaining/encouraging participation in the regulatory system and wider government policies.</w:t>
      </w:r>
      <w:r w:rsidR="00D7205C" w:rsidRPr="006A2310">
        <w:rPr>
          <w:rFonts w:cstheme="minorHAnsi"/>
          <w:sz w:val="24"/>
          <w:szCs w:val="24"/>
        </w:rPr>
        <w:t xml:space="preserve"> </w:t>
      </w:r>
      <w:proofErr w:type="spellStart"/>
      <w:r w:rsidR="00C46A7B" w:rsidRPr="006A2310">
        <w:rPr>
          <w:rFonts w:cstheme="minorHAnsi"/>
          <w:sz w:val="24"/>
          <w:szCs w:val="24"/>
        </w:rPr>
        <w:t>Medsafe</w:t>
      </w:r>
      <w:proofErr w:type="spellEnd"/>
      <w:r w:rsidR="00C46A7B" w:rsidRPr="006A2310">
        <w:rPr>
          <w:rFonts w:cstheme="minorHAnsi"/>
          <w:sz w:val="24"/>
          <w:szCs w:val="24"/>
        </w:rPr>
        <w:t xml:space="preserve"> </w:t>
      </w:r>
      <w:r w:rsidR="005D1B1E">
        <w:rPr>
          <w:rFonts w:cstheme="minorHAnsi"/>
          <w:sz w:val="24"/>
          <w:szCs w:val="24"/>
        </w:rPr>
        <w:t>is</w:t>
      </w:r>
      <w:r w:rsidR="00C46A7B" w:rsidRPr="006A2310">
        <w:rPr>
          <w:rFonts w:cstheme="minorHAnsi"/>
          <w:sz w:val="24"/>
          <w:szCs w:val="24"/>
        </w:rPr>
        <w:t xml:space="preserve"> committed to a </w:t>
      </w:r>
      <w:r w:rsidR="00777B67" w:rsidRPr="006A2310">
        <w:rPr>
          <w:rFonts w:cstheme="minorHAnsi"/>
          <w:sz w:val="24"/>
          <w:szCs w:val="24"/>
        </w:rPr>
        <w:t>three-year fee</w:t>
      </w:r>
      <w:r w:rsidR="00C46A7B" w:rsidRPr="006A2310">
        <w:rPr>
          <w:rFonts w:cstheme="minorHAnsi"/>
          <w:sz w:val="24"/>
          <w:szCs w:val="24"/>
        </w:rPr>
        <w:t xml:space="preserve"> review cycle. The last review was in 2017. </w:t>
      </w:r>
    </w:p>
    <w:p w14:paraId="4087EA96" w14:textId="0B4D3DE3" w:rsidR="00C46A7B" w:rsidRPr="006A2310" w:rsidRDefault="00C46A7B" w:rsidP="006A2310">
      <w:pPr>
        <w:rPr>
          <w:rFonts w:cstheme="minorHAnsi"/>
          <w:sz w:val="24"/>
          <w:szCs w:val="24"/>
        </w:rPr>
      </w:pPr>
      <w:proofErr w:type="spellStart"/>
      <w:r w:rsidRPr="006A2310">
        <w:rPr>
          <w:rFonts w:cstheme="minorHAnsi"/>
          <w:sz w:val="24"/>
          <w:szCs w:val="24"/>
        </w:rPr>
        <w:t>Medsafe</w:t>
      </w:r>
      <w:proofErr w:type="spellEnd"/>
      <w:r w:rsidRPr="006A2310">
        <w:rPr>
          <w:rFonts w:cstheme="minorHAnsi"/>
          <w:sz w:val="24"/>
          <w:szCs w:val="24"/>
        </w:rPr>
        <w:t xml:space="preserve"> has a responsibility to be transparent about costs, and how the fees are used to ensure efficiency and effectiveness. This consultation document </w:t>
      </w:r>
      <w:r w:rsidR="002E126A" w:rsidRPr="006A2310">
        <w:rPr>
          <w:rFonts w:cstheme="minorHAnsi"/>
          <w:sz w:val="24"/>
          <w:szCs w:val="24"/>
        </w:rPr>
        <w:t>explains</w:t>
      </w:r>
      <w:r w:rsidRPr="006A2310">
        <w:rPr>
          <w:rFonts w:cstheme="minorHAnsi"/>
          <w:sz w:val="24"/>
          <w:szCs w:val="24"/>
        </w:rPr>
        <w:t xml:space="preserve"> the rationale behind the fees review</w:t>
      </w:r>
      <w:r w:rsidR="002E126A" w:rsidRPr="006A2310">
        <w:rPr>
          <w:rFonts w:cstheme="minorHAnsi"/>
          <w:sz w:val="24"/>
          <w:szCs w:val="24"/>
        </w:rPr>
        <w:t xml:space="preserve">, </w:t>
      </w:r>
      <w:r w:rsidR="006854BB" w:rsidRPr="006A2310">
        <w:rPr>
          <w:rFonts w:cstheme="minorHAnsi"/>
          <w:sz w:val="24"/>
          <w:szCs w:val="24"/>
        </w:rPr>
        <w:t xml:space="preserve">the options to achieve the desired outcome of the fees </w:t>
      </w:r>
      <w:r w:rsidR="00777B67" w:rsidRPr="006A2310">
        <w:rPr>
          <w:rFonts w:cstheme="minorHAnsi"/>
          <w:sz w:val="24"/>
          <w:szCs w:val="24"/>
        </w:rPr>
        <w:t>review and</w:t>
      </w:r>
      <w:r w:rsidR="002E126A" w:rsidRPr="006A2310">
        <w:rPr>
          <w:rFonts w:cstheme="minorHAnsi"/>
          <w:sz w:val="24"/>
          <w:szCs w:val="24"/>
        </w:rPr>
        <w:t xml:space="preserve"> indicates how changes in fees will be applied.</w:t>
      </w:r>
      <w:r w:rsidR="005D1B1E">
        <w:rPr>
          <w:rFonts w:cstheme="minorHAnsi"/>
          <w:sz w:val="24"/>
          <w:szCs w:val="24"/>
        </w:rPr>
        <w:t xml:space="preserve"> Any changes to the fees will require amendment of the Regulations.</w:t>
      </w:r>
    </w:p>
    <w:p w14:paraId="726B8379" w14:textId="6D887C19" w:rsidR="00017C9A" w:rsidRPr="00D22DED" w:rsidRDefault="009717E2" w:rsidP="00017C9A">
      <w:pPr>
        <w:pStyle w:val="Default"/>
        <w:spacing w:before="120" w:after="120"/>
        <w:mirrorIndents/>
        <w:rPr>
          <w:rFonts w:ascii="Segoe UI" w:hAnsi="Segoe UI" w:cs="Segoe UI"/>
          <w:b/>
          <w:color w:val="4472C4" w:themeColor="accent1"/>
        </w:rPr>
      </w:pPr>
      <w:r>
        <w:rPr>
          <w:rFonts w:ascii="Segoe UI" w:hAnsi="Segoe UI" w:cs="Segoe UI"/>
          <w:b/>
          <w:color w:val="4472C4" w:themeColor="accent1"/>
        </w:rPr>
        <w:t>Current f</w:t>
      </w:r>
      <w:r w:rsidR="002621AB" w:rsidRPr="00D22DED">
        <w:rPr>
          <w:rFonts w:ascii="Segoe UI" w:hAnsi="Segoe UI" w:cs="Segoe UI"/>
          <w:b/>
          <w:color w:val="4472C4" w:themeColor="accent1"/>
        </w:rPr>
        <w:t>ees under the Medicines Act 1981 and Medicines Regulations 1984</w:t>
      </w:r>
    </w:p>
    <w:p w14:paraId="6D1148C5" w14:textId="197024D3" w:rsidR="007824E5" w:rsidRPr="006A2310" w:rsidRDefault="007824E5" w:rsidP="006A2310">
      <w:pPr>
        <w:rPr>
          <w:sz w:val="24"/>
          <w:szCs w:val="24"/>
        </w:rPr>
      </w:pPr>
      <w:r w:rsidRPr="006A2310">
        <w:rPr>
          <w:sz w:val="24"/>
          <w:szCs w:val="24"/>
        </w:rPr>
        <w:t xml:space="preserve">The Act </w:t>
      </w:r>
      <w:r w:rsidR="005D1B1E">
        <w:rPr>
          <w:sz w:val="24"/>
          <w:szCs w:val="24"/>
        </w:rPr>
        <w:t>under section</w:t>
      </w:r>
      <w:r w:rsidR="009717E2">
        <w:rPr>
          <w:sz w:val="24"/>
          <w:szCs w:val="24"/>
        </w:rPr>
        <w:t>s 21, 24, 30, 50 and 105,</w:t>
      </w:r>
      <w:r w:rsidR="005D1B1E">
        <w:rPr>
          <w:sz w:val="24"/>
          <w:szCs w:val="24"/>
        </w:rPr>
        <w:t xml:space="preserve"> </w:t>
      </w:r>
      <w:r w:rsidRPr="006A2310">
        <w:rPr>
          <w:sz w:val="24"/>
          <w:szCs w:val="24"/>
        </w:rPr>
        <w:t xml:space="preserve">allows fees to be charged for evaluating applications for licences, the approval of new and changed medicines and related products, and for approving clinical trials. A small number of other activities also attract fees. Fees payable for approvals of medicines are contained in regulation 61 of the Regulations, with licence fees are set out in Schedule 5A. </w:t>
      </w:r>
    </w:p>
    <w:p w14:paraId="10860931" w14:textId="77777777" w:rsidR="00BA3DD3" w:rsidRPr="00684088" w:rsidRDefault="00BA3DD3" w:rsidP="00017C9A">
      <w:pPr>
        <w:pStyle w:val="Default"/>
        <w:spacing w:before="120" w:after="120"/>
        <w:mirrorIndents/>
        <w:rPr>
          <w:rFonts w:asciiTheme="minorHAnsi" w:hAnsiTheme="minorHAnsi" w:cstheme="minorHAnsi"/>
          <w:i/>
          <w:color w:val="4472C4" w:themeColor="accent1"/>
        </w:rPr>
      </w:pPr>
      <w:r>
        <w:rPr>
          <w:rFonts w:asciiTheme="minorHAnsi" w:hAnsiTheme="minorHAnsi" w:cstheme="minorHAnsi"/>
          <w:i/>
          <w:color w:val="4472C4" w:themeColor="accent1"/>
        </w:rPr>
        <w:t xml:space="preserve">Regulation 61A </w:t>
      </w:r>
      <w:r w:rsidRPr="00684088">
        <w:rPr>
          <w:rFonts w:asciiTheme="minorHAnsi" w:hAnsiTheme="minorHAnsi" w:cstheme="minorHAnsi"/>
          <w:i/>
          <w:color w:val="4472C4" w:themeColor="accent1"/>
        </w:rPr>
        <w:t>Waiver</w:t>
      </w:r>
    </w:p>
    <w:p w14:paraId="4B21987D" w14:textId="3AAFF7A0" w:rsidR="007824E5" w:rsidRPr="006A2310" w:rsidRDefault="007824E5" w:rsidP="006A2310">
      <w:pPr>
        <w:rPr>
          <w:sz w:val="24"/>
          <w:szCs w:val="24"/>
        </w:rPr>
      </w:pPr>
      <w:r w:rsidRPr="006A2310">
        <w:rPr>
          <w:sz w:val="24"/>
          <w:szCs w:val="24"/>
        </w:rPr>
        <w:t xml:space="preserve">The fees </w:t>
      </w:r>
      <w:r w:rsidR="009717E2">
        <w:rPr>
          <w:sz w:val="24"/>
          <w:szCs w:val="24"/>
        </w:rPr>
        <w:t xml:space="preserve">specified </w:t>
      </w:r>
      <w:r w:rsidRPr="006A2310">
        <w:rPr>
          <w:sz w:val="24"/>
          <w:szCs w:val="24"/>
        </w:rPr>
        <w:t xml:space="preserve">in the Regulations are maximums. Regulation 61A provides that the Director-General of Health may waive or refund, in whole or in part, a fee otherwise payable under the Regulations. In exercising this power, the Director-General is obliged to have regard to the degree of complexity and time required to consider an application, and the interests of public health in New Zealand. </w:t>
      </w:r>
    </w:p>
    <w:p w14:paraId="62E3D50A" w14:textId="45E8EB25" w:rsidR="007824E5" w:rsidRPr="006A2310" w:rsidRDefault="007824E5" w:rsidP="006A2310">
      <w:pPr>
        <w:rPr>
          <w:sz w:val="24"/>
          <w:szCs w:val="24"/>
        </w:rPr>
      </w:pPr>
      <w:r w:rsidRPr="006A2310">
        <w:rPr>
          <w:sz w:val="24"/>
          <w:szCs w:val="24"/>
        </w:rPr>
        <w:t xml:space="preserve">A ‘standard’ waiver is applied in </w:t>
      </w:r>
      <w:proofErr w:type="gramStart"/>
      <w:r w:rsidRPr="006A2310">
        <w:rPr>
          <w:sz w:val="24"/>
          <w:szCs w:val="24"/>
        </w:rPr>
        <w:t>a number of</w:t>
      </w:r>
      <w:proofErr w:type="gramEnd"/>
      <w:r w:rsidRPr="006A2310">
        <w:rPr>
          <w:sz w:val="24"/>
          <w:szCs w:val="24"/>
        </w:rPr>
        <w:t xml:space="preserve"> instances to reduce the fee for approval of a new or changed medicine or related product. </w:t>
      </w:r>
      <w:r w:rsidR="00BA3DD3" w:rsidRPr="006A2310">
        <w:rPr>
          <w:sz w:val="24"/>
          <w:szCs w:val="24"/>
        </w:rPr>
        <w:t xml:space="preserve">Before a waiver is applied, three aspects are considered – time taken, complexity, and the interests of the public of New Zealand. </w:t>
      </w:r>
      <w:r w:rsidRPr="006A2310">
        <w:rPr>
          <w:sz w:val="24"/>
          <w:szCs w:val="24"/>
        </w:rPr>
        <w:t xml:space="preserve">For </w:t>
      </w:r>
      <w:r w:rsidRPr="006A2310">
        <w:rPr>
          <w:sz w:val="24"/>
          <w:szCs w:val="24"/>
        </w:rPr>
        <w:lastRenderedPageBreak/>
        <w:t xml:space="preserve">example, a partial waiver is available for applications made under the abbreviated process for new prescription medicines already approved by a recognised overseas regulator. </w:t>
      </w:r>
    </w:p>
    <w:p w14:paraId="5970D479" w14:textId="77777777" w:rsidR="007824E5" w:rsidRPr="006A2310" w:rsidRDefault="007824E5" w:rsidP="006A2310">
      <w:pPr>
        <w:rPr>
          <w:sz w:val="24"/>
          <w:szCs w:val="24"/>
        </w:rPr>
      </w:pPr>
      <w:r w:rsidRPr="006A2310">
        <w:rPr>
          <w:sz w:val="24"/>
          <w:szCs w:val="24"/>
        </w:rPr>
        <w:t xml:space="preserve">The actual fee payable for an application of a </w:t>
      </w:r>
      <w:proofErr w:type="gramStart"/>
      <w:r w:rsidRPr="006A2310">
        <w:rPr>
          <w:sz w:val="24"/>
          <w:szCs w:val="24"/>
        </w:rPr>
        <w:t>particular type</w:t>
      </w:r>
      <w:proofErr w:type="gramEnd"/>
      <w:r w:rsidRPr="006A2310">
        <w:rPr>
          <w:sz w:val="24"/>
          <w:szCs w:val="24"/>
        </w:rPr>
        <w:t xml:space="preserve">, after the application of any standard waiver, is set out in the Schedule of Fees published on the </w:t>
      </w:r>
      <w:proofErr w:type="spellStart"/>
      <w:r w:rsidRPr="006A2310">
        <w:rPr>
          <w:sz w:val="24"/>
          <w:szCs w:val="24"/>
        </w:rPr>
        <w:t>Medsafe</w:t>
      </w:r>
      <w:proofErr w:type="spellEnd"/>
      <w:r w:rsidRPr="006A2310">
        <w:rPr>
          <w:sz w:val="24"/>
          <w:szCs w:val="24"/>
        </w:rPr>
        <w:t xml:space="preserve"> website. </w:t>
      </w:r>
    </w:p>
    <w:p w14:paraId="7EAD0766" w14:textId="751D21BF" w:rsidR="00D21EC0" w:rsidRPr="00D22DED" w:rsidRDefault="00D21EC0" w:rsidP="00017C9A">
      <w:pPr>
        <w:spacing w:after="120"/>
        <w:rPr>
          <w:rFonts w:ascii="Segoe UI" w:hAnsi="Segoe UI" w:cs="Segoe UI"/>
          <w:b/>
          <w:color w:val="4472C4" w:themeColor="accent1"/>
          <w:sz w:val="24"/>
          <w:szCs w:val="24"/>
        </w:rPr>
      </w:pPr>
      <w:r w:rsidRPr="00D22DED">
        <w:rPr>
          <w:rFonts w:ascii="Segoe UI" w:hAnsi="Segoe UI" w:cs="Segoe UI"/>
          <w:b/>
          <w:color w:val="4472C4" w:themeColor="accent1"/>
          <w:sz w:val="24"/>
          <w:szCs w:val="24"/>
        </w:rPr>
        <w:t>Why a fees review</w:t>
      </w:r>
      <w:r w:rsidR="00857BBB">
        <w:rPr>
          <w:rFonts w:ascii="Segoe UI" w:hAnsi="Segoe UI" w:cs="Segoe UI"/>
          <w:b/>
          <w:color w:val="4472C4" w:themeColor="accent1"/>
          <w:sz w:val="24"/>
          <w:szCs w:val="24"/>
        </w:rPr>
        <w:t>?</w:t>
      </w:r>
    </w:p>
    <w:p w14:paraId="6B30EF03" w14:textId="340E8356" w:rsidR="00161C22" w:rsidRDefault="003203F6" w:rsidP="00D21EC0">
      <w:pPr>
        <w:rPr>
          <w:sz w:val="24"/>
          <w:szCs w:val="24"/>
        </w:rPr>
      </w:pPr>
      <w:proofErr w:type="spellStart"/>
      <w:r>
        <w:rPr>
          <w:sz w:val="24"/>
          <w:szCs w:val="24"/>
        </w:rPr>
        <w:t>Medsafe</w:t>
      </w:r>
      <w:proofErr w:type="spellEnd"/>
      <w:r>
        <w:rPr>
          <w:sz w:val="24"/>
          <w:szCs w:val="24"/>
        </w:rPr>
        <w:t xml:space="preserve"> has </w:t>
      </w:r>
      <w:r w:rsidR="002621AB">
        <w:rPr>
          <w:sz w:val="24"/>
          <w:szCs w:val="24"/>
        </w:rPr>
        <w:t xml:space="preserve">an </w:t>
      </w:r>
      <w:r w:rsidR="00616049">
        <w:rPr>
          <w:sz w:val="24"/>
          <w:szCs w:val="24"/>
        </w:rPr>
        <w:t xml:space="preserve">undertaking </w:t>
      </w:r>
      <w:r w:rsidR="002621AB">
        <w:rPr>
          <w:sz w:val="24"/>
          <w:szCs w:val="24"/>
        </w:rPr>
        <w:t>with Audit New Zealand</w:t>
      </w:r>
      <w:r>
        <w:rPr>
          <w:sz w:val="24"/>
          <w:szCs w:val="24"/>
        </w:rPr>
        <w:t xml:space="preserve"> to a </w:t>
      </w:r>
      <w:proofErr w:type="gramStart"/>
      <w:r w:rsidR="00777B67">
        <w:rPr>
          <w:sz w:val="24"/>
          <w:szCs w:val="24"/>
        </w:rPr>
        <w:t>three-year</w:t>
      </w:r>
      <w:r>
        <w:rPr>
          <w:sz w:val="24"/>
          <w:szCs w:val="24"/>
        </w:rPr>
        <w:t xml:space="preserve"> fees</w:t>
      </w:r>
      <w:proofErr w:type="gramEnd"/>
      <w:r>
        <w:rPr>
          <w:sz w:val="24"/>
          <w:szCs w:val="24"/>
        </w:rPr>
        <w:t xml:space="preserve"> review cycle. </w:t>
      </w:r>
      <w:r w:rsidR="00263445">
        <w:rPr>
          <w:sz w:val="24"/>
          <w:szCs w:val="24"/>
        </w:rPr>
        <w:t xml:space="preserve">The last fees review was in 2017. </w:t>
      </w:r>
      <w:r>
        <w:rPr>
          <w:sz w:val="24"/>
          <w:szCs w:val="24"/>
        </w:rPr>
        <w:t xml:space="preserve">This ensures that changes in the regulatory scheme environment are responded to, such as </w:t>
      </w:r>
      <w:r w:rsidR="00193521">
        <w:rPr>
          <w:sz w:val="24"/>
          <w:szCs w:val="24"/>
        </w:rPr>
        <w:t xml:space="preserve">changes in application volumes, increasing regulatory function costs, and </w:t>
      </w:r>
      <w:r w:rsidR="00844E87">
        <w:rPr>
          <w:sz w:val="24"/>
          <w:szCs w:val="24"/>
        </w:rPr>
        <w:t>Consumer Price Index (</w:t>
      </w:r>
      <w:r w:rsidR="00193521">
        <w:rPr>
          <w:sz w:val="24"/>
          <w:szCs w:val="24"/>
        </w:rPr>
        <w:t>CPI</w:t>
      </w:r>
      <w:r w:rsidR="00844E87">
        <w:rPr>
          <w:sz w:val="24"/>
          <w:szCs w:val="24"/>
        </w:rPr>
        <w:t>)</w:t>
      </w:r>
      <w:r w:rsidR="00193521">
        <w:rPr>
          <w:sz w:val="24"/>
          <w:szCs w:val="24"/>
        </w:rPr>
        <w:t xml:space="preserve"> changes</w:t>
      </w:r>
      <w:r>
        <w:rPr>
          <w:sz w:val="24"/>
          <w:szCs w:val="24"/>
        </w:rPr>
        <w:t xml:space="preserve">. </w:t>
      </w:r>
      <w:r w:rsidR="00873DE4">
        <w:rPr>
          <w:sz w:val="24"/>
          <w:szCs w:val="24"/>
        </w:rPr>
        <w:t xml:space="preserve">During the 2017 fees review, industry requested that </w:t>
      </w:r>
      <w:proofErr w:type="spellStart"/>
      <w:r w:rsidR="00873DE4">
        <w:rPr>
          <w:sz w:val="24"/>
          <w:szCs w:val="24"/>
        </w:rPr>
        <w:t>Medsafe</w:t>
      </w:r>
      <w:proofErr w:type="spellEnd"/>
      <w:r w:rsidR="00873DE4">
        <w:rPr>
          <w:sz w:val="24"/>
          <w:szCs w:val="24"/>
        </w:rPr>
        <w:t xml:space="preserve"> undertake regular reviews rather than ad hoc changes. </w:t>
      </w:r>
      <w:r w:rsidR="00683040">
        <w:rPr>
          <w:sz w:val="24"/>
          <w:szCs w:val="24"/>
        </w:rPr>
        <w:t xml:space="preserve">This is also an opportunity to review </w:t>
      </w:r>
      <w:r w:rsidR="006854BB">
        <w:rPr>
          <w:sz w:val="24"/>
          <w:szCs w:val="24"/>
        </w:rPr>
        <w:t xml:space="preserve">whether </w:t>
      </w:r>
      <w:proofErr w:type="spellStart"/>
      <w:r w:rsidR="006854BB">
        <w:rPr>
          <w:sz w:val="24"/>
          <w:szCs w:val="24"/>
        </w:rPr>
        <w:t>Medsafe</w:t>
      </w:r>
      <w:proofErr w:type="spellEnd"/>
      <w:r w:rsidR="006854BB">
        <w:rPr>
          <w:sz w:val="24"/>
          <w:szCs w:val="24"/>
        </w:rPr>
        <w:t xml:space="preserve"> is equitably assigning fees across the system</w:t>
      </w:r>
      <w:r w:rsidR="00193521">
        <w:rPr>
          <w:sz w:val="24"/>
          <w:szCs w:val="24"/>
        </w:rPr>
        <w:t>.</w:t>
      </w:r>
      <w:r w:rsidR="006854BB">
        <w:rPr>
          <w:sz w:val="24"/>
          <w:szCs w:val="24"/>
        </w:rPr>
        <w:t xml:space="preserve"> </w:t>
      </w:r>
    </w:p>
    <w:p w14:paraId="02691593" w14:textId="54520FB1" w:rsidR="00193521" w:rsidRDefault="00161C22" w:rsidP="00D21EC0">
      <w:pPr>
        <w:rPr>
          <w:sz w:val="24"/>
          <w:szCs w:val="24"/>
        </w:rPr>
      </w:pPr>
      <w:proofErr w:type="spellStart"/>
      <w:r>
        <w:rPr>
          <w:sz w:val="24"/>
          <w:szCs w:val="24"/>
        </w:rPr>
        <w:t>Medsafe</w:t>
      </w:r>
      <w:proofErr w:type="spellEnd"/>
      <w:r>
        <w:rPr>
          <w:sz w:val="24"/>
          <w:szCs w:val="24"/>
        </w:rPr>
        <w:t xml:space="preserve"> is obligated to collect fees in accordance with a cost recovery model</w:t>
      </w:r>
      <w:r>
        <w:rPr>
          <w:rStyle w:val="FootnoteReference"/>
          <w:sz w:val="24"/>
          <w:szCs w:val="24"/>
        </w:rPr>
        <w:footnoteReference w:id="1"/>
      </w:r>
      <w:r>
        <w:rPr>
          <w:sz w:val="24"/>
          <w:szCs w:val="24"/>
        </w:rPr>
        <w:t xml:space="preserve">. </w:t>
      </w:r>
      <w:r w:rsidRPr="00683040">
        <w:rPr>
          <w:sz w:val="24"/>
          <w:szCs w:val="24"/>
        </w:rPr>
        <w:t xml:space="preserve">The costing model requires updating each review to </w:t>
      </w:r>
      <w:r>
        <w:rPr>
          <w:sz w:val="24"/>
          <w:szCs w:val="24"/>
        </w:rPr>
        <w:t>consider any changes in the</w:t>
      </w:r>
      <w:r w:rsidRPr="00683040">
        <w:rPr>
          <w:sz w:val="24"/>
          <w:szCs w:val="24"/>
        </w:rPr>
        <w:t xml:space="preserve"> cost of carrying out the regulatory functions funded from fees.</w:t>
      </w:r>
    </w:p>
    <w:p w14:paraId="0539C79F" w14:textId="66F06F83" w:rsidR="00161C22" w:rsidRPr="00ED306C" w:rsidRDefault="00161C22" w:rsidP="00AD2276">
      <w:pPr>
        <w:rPr>
          <w:b/>
          <w:bCs/>
          <w:i/>
          <w:color w:val="4472C4" w:themeColor="accent1"/>
          <w:sz w:val="24"/>
          <w:szCs w:val="24"/>
        </w:rPr>
      </w:pPr>
      <w:r w:rsidRPr="00ED306C">
        <w:rPr>
          <w:b/>
          <w:bCs/>
          <w:i/>
          <w:color w:val="4472C4" w:themeColor="accent1"/>
          <w:sz w:val="24"/>
          <w:szCs w:val="24"/>
        </w:rPr>
        <w:t>Drivers of the fees review</w:t>
      </w:r>
    </w:p>
    <w:p w14:paraId="3D3A24CA" w14:textId="4F4E2DA4" w:rsidR="001B0C56" w:rsidRPr="00017C9A" w:rsidRDefault="00683040" w:rsidP="00AD2276">
      <w:pPr>
        <w:rPr>
          <w:i/>
          <w:color w:val="4472C4" w:themeColor="accent1"/>
          <w:sz w:val="24"/>
          <w:szCs w:val="24"/>
        </w:rPr>
      </w:pPr>
      <w:r w:rsidRPr="00017C9A">
        <w:rPr>
          <w:i/>
          <w:color w:val="4472C4" w:themeColor="accent1"/>
          <w:sz w:val="24"/>
          <w:szCs w:val="24"/>
        </w:rPr>
        <w:t>Changes in application numbers and types</w:t>
      </w:r>
    </w:p>
    <w:p w14:paraId="00A9D97D" w14:textId="6A5C5F38" w:rsidR="00237563" w:rsidRDefault="00BC5C6F" w:rsidP="00D21EC0">
      <w:pPr>
        <w:rPr>
          <w:sz w:val="24"/>
          <w:szCs w:val="24"/>
        </w:rPr>
      </w:pPr>
      <w:r>
        <w:t xml:space="preserve">The </w:t>
      </w:r>
      <w:proofErr w:type="spellStart"/>
      <w:r>
        <w:t>Medsafe</w:t>
      </w:r>
      <w:proofErr w:type="spellEnd"/>
      <w:r>
        <w:t xml:space="preserve"> cost model relies on the number and types of applications received, and forecast revenue is based on an application volume </w:t>
      </w:r>
      <w:proofErr w:type="gramStart"/>
      <w:r>
        <w:t>assumptions</w:t>
      </w:r>
      <w:proofErr w:type="gramEnd"/>
      <w:r>
        <w:t xml:space="preserve">. </w:t>
      </w:r>
      <w:r w:rsidR="00683040">
        <w:t>T</w:t>
      </w:r>
      <w:r w:rsidR="00683040" w:rsidRPr="005F02FE">
        <w:t>h</w:t>
      </w:r>
      <w:r w:rsidR="00683040" w:rsidRPr="00193521">
        <w:rPr>
          <w:sz w:val="24"/>
          <w:szCs w:val="24"/>
        </w:rPr>
        <w:t>e assumptions on application numbers and complexity used in the 2017 fees review are no longer valid as there ha</w:t>
      </w:r>
      <w:r w:rsidR="00683040">
        <w:rPr>
          <w:sz w:val="24"/>
          <w:szCs w:val="24"/>
        </w:rPr>
        <w:t>ve</w:t>
      </w:r>
      <w:r w:rsidR="00683040" w:rsidRPr="00193521">
        <w:rPr>
          <w:sz w:val="24"/>
          <w:szCs w:val="24"/>
        </w:rPr>
        <w:t xml:space="preserve"> been changes in the mix and volume of applications received</w:t>
      </w:r>
      <w:r w:rsidR="00683040">
        <w:rPr>
          <w:sz w:val="24"/>
          <w:szCs w:val="24"/>
        </w:rPr>
        <w:t xml:space="preserve">. </w:t>
      </w:r>
      <w:r w:rsidR="00F97706">
        <w:rPr>
          <w:sz w:val="24"/>
          <w:szCs w:val="24"/>
        </w:rPr>
        <w:t xml:space="preserve">Additionally, new medicine types have emerged, such as biosimilars, that require more evaluation time </w:t>
      </w:r>
      <w:r w:rsidR="00873DE4">
        <w:rPr>
          <w:sz w:val="24"/>
          <w:szCs w:val="24"/>
        </w:rPr>
        <w:t>than the current fee structure provides for</w:t>
      </w:r>
      <w:r w:rsidR="00AD2276">
        <w:rPr>
          <w:sz w:val="24"/>
          <w:szCs w:val="24"/>
        </w:rPr>
        <w:t>, and extensions of indications that require significant clinical evaluation</w:t>
      </w:r>
      <w:r w:rsidR="00F97706">
        <w:rPr>
          <w:sz w:val="24"/>
          <w:szCs w:val="24"/>
        </w:rPr>
        <w:t>. These are currently under</w:t>
      </w:r>
      <w:r w:rsidR="0009786F">
        <w:rPr>
          <w:sz w:val="24"/>
          <w:szCs w:val="24"/>
        </w:rPr>
        <w:t>-</w:t>
      </w:r>
      <w:r w:rsidR="00F97706">
        <w:rPr>
          <w:sz w:val="24"/>
          <w:szCs w:val="24"/>
        </w:rPr>
        <w:t xml:space="preserve">recovering the costs of evaluation. </w:t>
      </w:r>
    </w:p>
    <w:p w14:paraId="34C849E4" w14:textId="3FCA2E19" w:rsidR="0056663C" w:rsidRPr="00017C9A" w:rsidRDefault="0056663C" w:rsidP="0056663C">
      <w:pPr>
        <w:rPr>
          <w:i/>
          <w:color w:val="4472C4" w:themeColor="accent1"/>
          <w:sz w:val="24"/>
          <w:szCs w:val="24"/>
        </w:rPr>
      </w:pPr>
      <w:r w:rsidRPr="00017C9A">
        <w:rPr>
          <w:i/>
          <w:color w:val="4472C4" w:themeColor="accent1"/>
          <w:sz w:val="24"/>
          <w:szCs w:val="24"/>
        </w:rPr>
        <w:t xml:space="preserve">Memorandum </w:t>
      </w:r>
      <w:r w:rsidR="00DE2EA6" w:rsidRPr="00017C9A">
        <w:rPr>
          <w:i/>
          <w:color w:val="4472C4" w:themeColor="accent1"/>
          <w:sz w:val="24"/>
          <w:szCs w:val="24"/>
        </w:rPr>
        <w:t>a</w:t>
      </w:r>
      <w:r w:rsidRPr="00017C9A">
        <w:rPr>
          <w:i/>
          <w:color w:val="4472C4" w:themeColor="accent1"/>
          <w:sz w:val="24"/>
          <w:szCs w:val="24"/>
        </w:rPr>
        <w:t>ccount</w:t>
      </w:r>
    </w:p>
    <w:p w14:paraId="5F22C1EC" w14:textId="0D2C3128" w:rsidR="00BC5C6F" w:rsidRPr="00BC5C6F" w:rsidRDefault="0056663C" w:rsidP="0056663C">
      <w:pPr>
        <w:rPr>
          <w:sz w:val="24"/>
          <w:szCs w:val="24"/>
        </w:rPr>
      </w:pPr>
      <w:proofErr w:type="spellStart"/>
      <w:r w:rsidRPr="00AC79D2">
        <w:rPr>
          <w:sz w:val="24"/>
          <w:szCs w:val="24"/>
        </w:rPr>
        <w:t>Medsafe</w:t>
      </w:r>
      <w:proofErr w:type="spellEnd"/>
      <w:r w:rsidRPr="00AC79D2">
        <w:rPr>
          <w:sz w:val="24"/>
          <w:szCs w:val="24"/>
        </w:rPr>
        <w:t xml:space="preserve"> </w:t>
      </w:r>
      <w:r>
        <w:rPr>
          <w:sz w:val="24"/>
          <w:szCs w:val="24"/>
        </w:rPr>
        <w:t xml:space="preserve">operates under a </w:t>
      </w:r>
      <w:r w:rsidR="00844E87">
        <w:rPr>
          <w:sz w:val="24"/>
          <w:szCs w:val="24"/>
        </w:rPr>
        <w:t>m</w:t>
      </w:r>
      <w:r>
        <w:rPr>
          <w:sz w:val="24"/>
          <w:szCs w:val="24"/>
        </w:rPr>
        <w:t xml:space="preserve">emorandum </w:t>
      </w:r>
      <w:r w:rsidR="00844E87">
        <w:rPr>
          <w:sz w:val="24"/>
          <w:szCs w:val="24"/>
        </w:rPr>
        <w:t>a</w:t>
      </w:r>
      <w:r w:rsidR="00AD2276">
        <w:rPr>
          <w:sz w:val="24"/>
          <w:szCs w:val="24"/>
        </w:rPr>
        <w:t>ccount and</w:t>
      </w:r>
      <w:r>
        <w:rPr>
          <w:sz w:val="24"/>
          <w:szCs w:val="24"/>
        </w:rPr>
        <w:t xml:space="preserve"> is responsible for its management. </w:t>
      </w:r>
      <w:r w:rsidR="00BC5C6F" w:rsidRPr="00ED306C">
        <w:rPr>
          <w:sz w:val="24"/>
          <w:szCs w:val="24"/>
        </w:rPr>
        <w:t xml:space="preserve">Memorandum accounts were established </w:t>
      </w:r>
      <w:r w:rsidR="005B6ED2" w:rsidRPr="00CF5BD9">
        <w:rPr>
          <w:sz w:val="24"/>
          <w:szCs w:val="24"/>
        </w:rPr>
        <w:t>to</w:t>
      </w:r>
      <w:r w:rsidR="00BC5C6F" w:rsidRPr="00ED306C">
        <w:rPr>
          <w:sz w:val="24"/>
          <w:szCs w:val="24"/>
        </w:rPr>
        <w:t xml:space="preserve"> improve transparency around outputs that are fully cost recovered from third parties through fees, levies or charges, and to provide a genuine commitment from departments to not benefit from over recovery</w:t>
      </w:r>
      <w:r w:rsidR="00BC5C6F">
        <w:rPr>
          <w:rStyle w:val="FootnoteReference"/>
          <w:sz w:val="24"/>
          <w:szCs w:val="24"/>
        </w:rPr>
        <w:footnoteReference w:id="2"/>
      </w:r>
      <w:r w:rsidR="00BC5C6F" w:rsidRPr="00BC5C6F">
        <w:rPr>
          <w:rFonts w:cstheme="minorHAnsi"/>
          <w:color w:val="333333"/>
          <w:sz w:val="24"/>
          <w:szCs w:val="24"/>
          <w:shd w:val="clear" w:color="auto" w:fill="FFFFFF"/>
        </w:rPr>
        <w:t xml:space="preserve">. </w:t>
      </w:r>
    </w:p>
    <w:p w14:paraId="02C789AC" w14:textId="7366933D" w:rsidR="0056663C" w:rsidRDefault="0056663C" w:rsidP="0056663C">
      <w:pPr>
        <w:rPr>
          <w:sz w:val="24"/>
          <w:szCs w:val="24"/>
        </w:rPr>
      </w:pPr>
      <w:r>
        <w:rPr>
          <w:sz w:val="24"/>
          <w:szCs w:val="24"/>
        </w:rPr>
        <w:t xml:space="preserve">Between the years 2006 and </w:t>
      </w:r>
      <w:r w:rsidR="002621AB">
        <w:rPr>
          <w:sz w:val="24"/>
          <w:szCs w:val="24"/>
        </w:rPr>
        <w:t>2016</w:t>
      </w:r>
      <w:r>
        <w:rPr>
          <w:sz w:val="24"/>
          <w:szCs w:val="24"/>
        </w:rPr>
        <w:t xml:space="preserve">, </w:t>
      </w:r>
      <w:proofErr w:type="spellStart"/>
      <w:r>
        <w:rPr>
          <w:sz w:val="24"/>
          <w:szCs w:val="24"/>
        </w:rPr>
        <w:t>Medsafe</w:t>
      </w:r>
      <w:proofErr w:type="spellEnd"/>
      <w:r>
        <w:rPr>
          <w:sz w:val="24"/>
          <w:szCs w:val="24"/>
        </w:rPr>
        <w:t xml:space="preserve"> was running a positive </w:t>
      </w:r>
      <w:r w:rsidR="00844E87">
        <w:rPr>
          <w:sz w:val="24"/>
          <w:szCs w:val="24"/>
        </w:rPr>
        <w:t>m</w:t>
      </w:r>
      <w:r>
        <w:rPr>
          <w:sz w:val="24"/>
          <w:szCs w:val="24"/>
        </w:rPr>
        <w:t xml:space="preserve">emorandum </w:t>
      </w:r>
      <w:r w:rsidR="00844E87">
        <w:rPr>
          <w:sz w:val="24"/>
          <w:szCs w:val="24"/>
        </w:rPr>
        <w:t>a</w:t>
      </w:r>
      <w:r>
        <w:rPr>
          <w:sz w:val="24"/>
          <w:szCs w:val="24"/>
        </w:rPr>
        <w:t xml:space="preserve">ccount where fees over recovered the work undertaken. By 2017, </w:t>
      </w:r>
      <w:proofErr w:type="spellStart"/>
      <w:r>
        <w:rPr>
          <w:sz w:val="24"/>
          <w:szCs w:val="24"/>
        </w:rPr>
        <w:t>Medsafe</w:t>
      </w:r>
      <w:proofErr w:type="spellEnd"/>
      <w:r>
        <w:rPr>
          <w:sz w:val="24"/>
          <w:szCs w:val="24"/>
        </w:rPr>
        <w:t xml:space="preserve"> had balanced the </w:t>
      </w:r>
      <w:r w:rsidR="00844E87">
        <w:rPr>
          <w:sz w:val="24"/>
          <w:szCs w:val="24"/>
        </w:rPr>
        <w:t>m</w:t>
      </w:r>
      <w:r>
        <w:rPr>
          <w:sz w:val="24"/>
          <w:szCs w:val="24"/>
        </w:rPr>
        <w:t xml:space="preserve">emorandum </w:t>
      </w:r>
      <w:r w:rsidR="00844E87">
        <w:rPr>
          <w:sz w:val="24"/>
          <w:szCs w:val="24"/>
        </w:rPr>
        <w:t>a</w:t>
      </w:r>
      <w:r>
        <w:rPr>
          <w:sz w:val="24"/>
          <w:szCs w:val="24"/>
        </w:rPr>
        <w:t xml:space="preserve">ccount and a 2017 fees review </w:t>
      </w:r>
      <w:r w:rsidR="005B6ED2">
        <w:rPr>
          <w:sz w:val="24"/>
          <w:szCs w:val="24"/>
        </w:rPr>
        <w:t>resulted in a readjustment</w:t>
      </w:r>
      <w:r>
        <w:rPr>
          <w:sz w:val="24"/>
          <w:szCs w:val="24"/>
        </w:rPr>
        <w:t xml:space="preserve"> to maintain a balanced </w:t>
      </w:r>
      <w:r w:rsidR="00844E87">
        <w:rPr>
          <w:sz w:val="24"/>
          <w:szCs w:val="24"/>
        </w:rPr>
        <w:t>m</w:t>
      </w:r>
      <w:r>
        <w:rPr>
          <w:sz w:val="24"/>
          <w:szCs w:val="24"/>
        </w:rPr>
        <w:t xml:space="preserve">emorandum </w:t>
      </w:r>
      <w:r w:rsidR="00844E87">
        <w:rPr>
          <w:sz w:val="24"/>
          <w:szCs w:val="24"/>
        </w:rPr>
        <w:t>a</w:t>
      </w:r>
      <w:r>
        <w:rPr>
          <w:sz w:val="24"/>
          <w:szCs w:val="24"/>
        </w:rPr>
        <w:t>ccount by imposing a 15% increase on a small number of fees. This 15% increase equated to the increase in CPI over the previous 10 years where no fee adjustments had been made.</w:t>
      </w:r>
    </w:p>
    <w:p w14:paraId="34DAF8BF" w14:textId="412B7579" w:rsidR="0056663C" w:rsidRDefault="0056663C" w:rsidP="0056663C">
      <w:r>
        <w:rPr>
          <w:sz w:val="24"/>
          <w:szCs w:val="24"/>
        </w:rPr>
        <w:lastRenderedPageBreak/>
        <w:t xml:space="preserve">Since the new fee increase was introduced in 2018, the </w:t>
      </w:r>
      <w:proofErr w:type="spellStart"/>
      <w:r>
        <w:rPr>
          <w:sz w:val="24"/>
          <w:szCs w:val="24"/>
        </w:rPr>
        <w:t>Medsafe</w:t>
      </w:r>
      <w:proofErr w:type="spellEnd"/>
      <w:r>
        <w:rPr>
          <w:sz w:val="24"/>
          <w:szCs w:val="24"/>
        </w:rPr>
        <w:t xml:space="preserve"> </w:t>
      </w:r>
      <w:r w:rsidR="00844E87">
        <w:rPr>
          <w:sz w:val="24"/>
          <w:szCs w:val="24"/>
        </w:rPr>
        <w:t>m</w:t>
      </w:r>
      <w:r>
        <w:rPr>
          <w:sz w:val="24"/>
          <w:szCs w:val="24"/>
        </w:rPr>
        <w:t xml:space="preserve">emorandum </w:t>
      </w:r>
      <w:r w:rsidR="00844E87">
        <w:rPr>
          <w:sz w:val="24"/>
          <w:szCs w:val="24"/>
        </w:rPr>
        <w:t>a</w:t>
      </w:r>
      <w:r>
        <w:rPr>
          <w:sz w:val="24"/>
          <w:szCs w:val="24"/>
        </w:rPr>
        <w:t xml:space="preserve">ccount has been </w:t>
      </w:r>
      <w:r w:rsidR="005F02FE">
        <w:rPr>
          <w:sz w:val="24"/>
          <w:szCs w:val="24"/>
        </w:rPr>
        <w:t>runn</w:t>
      </w:r>
      <w:r>
        <w:rPr>
          <w:sz w:val="24"/>
          <w:szCs w:val="24"/>
        </w:rPr>
        <w:t xml:space="preserve">ing </w:t>
      </w:r>
      <w:r w:rsidR="00616049">
        <w:rPr>
          <w:sz w:val="24"/>
          <w:szCs w:val="24"/>
        </w:rPr>
        <w:t xml:space="preserve">a deficit in recent years </w:t>
      </w:r>
      <w:r>
        <w:rPr>
          <w:sz w:val="24"/>
          <w:szCs w:val="24"/>
        </w:rPr>
        <w:t xml:space="preserve">and </w:t>
      </w:r>
      <w:proofErr w:type="spellStart"/>
      <w:r>
        <w:rPr>
          <w:sz w:val="24"/>
          <w:szCs w:val="24"/>
        </w:rPr>
        <w:t>Medsafe</w:t>
      </w:r>
      <w:proofErr w:type="spellEnd"/>
      <w:r>
        <w:rPr>
          <w:sz w:val="24"/>
          <w:szCs w:val="24"/>
        </w:rPr>
        <w:t xml:space="preserve"> is obligated to investigate and remedy this situation. Rises in expenditure and reductions in application volumes are usual drivers of this situation.</w:t>
      </w:r>
      <w:r w:rsidRPr="00193521">
        <w:t xml:space="preserve"> </w:t>
      </w:r>
    </w:p>
    <w:p w14:paraId="487574E8" w14:textId="595AA1AC" w:rsidR="00DE2EA6" w:rsidRPr="00017C9A" w:rsidRDefault="00DE2EA6" w:rsidP="00D21EC0">
      <w:pPr>
        <w:rPr>
          <w:i/>
          <w:color w:val="4472C4" w:themeColor="accent1"/>
          <w:sz w:val="24"/>
          <w:szCs w:val="24"/>
        </w:rPr>
      </w:pPr>
      <w:r w:rsidRPr="00017C9A">
        <w:rPr>
          <w:i/>
          <w:color w:val="4472C4" w:themeColor="accent1"/>
          <w:sz w:val="24"/>
          <w:szCs w:val="24"/>
        </w:rPr>
        <w:t>Other costs</w:t>
      </w:r>
    </w:p>
    <w:p w14:paraId="7BEBA97D" w14:textId="398BCFF6" w:rsidR="00DE2EA6" w:rsidRDefault="00DE2EA6" w:rsidP="00D21EC0">
      <w:pPr>
        <w:rPr>
          <w:sz w:val="24"/>
          <w:szCs w:val="24"/>
        </w:rPr>
      </w:pPr>
      <w:proofErr w:type="spellStart"/>
      <w:r>
        <w:rPr>
          <w:sz w:val="24"/>
          <w:szCs w:val="24"/>
        </w:rPr>
        <w:t>Medsafe</w:t>
      </w:r>
      <w:proofErr w:type="spellEnd"/>
      <w:r>
        <w:rPr>
          <w:sz w:val="24"/>
          <w:szCs w:val="24"/>
        </w:rPr>
        <w:t xml:space="preserve"> has contracts with other services such as ESR</w:t>
      </w:r>
      <w:r>
        <w:rPr>
          <w:rStyle w:val="FootnoteReference"/>
          <w:sz w:val="24"/>
          <w:szCs w:val="24"/>
        </w:rPr>
        <w:footnoteReference w:id="3"/>
      </w:r>
      <w:r w:rsidR="0021544E">
        <w:rPr>
          <w:sz w:val="24"/>
          <w:szCs w:val="24"/>
        </w:rPr>
        <w:t xml:space="preserve">, the SMARTI database </w:t>
      </w:r>
      <w:r w:rsidR="00CB0B60">
        <w:rPr>
          <w:sz w:val="24"/>
          <w:szCs w:val="24"/>
        </w:rPr>
        <w:t xml:space="preserve">and the Centre for Adverse Reaction Monitoring (CARM) </w:t>
      </w:r>
      <w:r w:rsidR="00F04593">
        <w:rPr>
          <w:sz w:val="24"/>
          <w:szCs w:val="24"/>
        </w:rPr>
        <w:t xml:space="preserve">that </w:t>
      </w:r>
      <w:r w:rsidR="00CB0B60">
        <w:rPr>
          <w:sz w:val="24"/>
          <w:szCs w:val="24"/>
        </w:rPr>
        <w:t>require periodic review and renewal</w:t>
      </w:r>
      <w:r w:rsidR="00F04593">
        <w:rPr>
          <w:sz w:val="24"/>
          <w:szCs w:val="24"/>
        </w:rPr>
        <w:t xml:space="preserve">. </w:t>
      </w:r>
      <w:r w:rsidR="00CB0B60">
        <w:rPr>
          <w:sz w:val="24"/>
          <w:szCs w:val="24"/>
        </w:rPr>
        <w:t xml:space="preserve">Changes in contract costs occur </w:t>
      </w:r>
      <w:r w:rsidR="00CB0B60" w:rsidRPr="005F02FE">
        <w:rPr>
          <w:sz w:val="24"/>
          <w:szCs w:val="24"/>
        </w:rPr>
        <w:t>and need to be reco</w:t>
      </w:r>
      <w:r w:rsidR="005F02FE" w:rsidRPr="005F02FE">
        <w:rPr>
          <w:sz w:val="24"/>
          <w:szCs w:val="24"/>
        </w:rPr>
        <w:t>ver</w:t>
      </w:r>
      <w:r w:rsidR="00CB0B60" w:rsidRPr="005F02FE">
        <w:rPr>
          <w:sz w:val="24"/>
          <w:szCs w:val="24"/>
        </w:rPr>
        <w:t>ed</w:t>
      </w:r>
      <w:r w:rsidR="00CB0B60">
        <w:rPr>
          <w:sz w:val="24"/>
          <w:szCs w:val="24"/>
        </w:rPr>
        <w:t>.</w:t>
      </w:r>
      <w:r w:rsidR="00616049">
        <w:rPr>
          <w:sz w:val="24"/>
          <w:szCs w:val="24"/>
        </w:rPr>
        <w:t xml:space="preserve"> Both the industry and </w:t>
      </w:r>
      <w:proofErr w:type="spellStart"/>
      <w:r w:rsidR="00616049">
        <w:rPr>
          <w:sz w:val="24"/>
          <w:szCs w:val="24"/>
        </w:rPr>
        <w:t>Medsafe</w:t>
      </w:r>
      <w:proofErr w:type="spellEnd"/>
      <w:r w:rsidR="00616049">
        <w:rPr>
          <w:sz w:val="24"/>
          <w:szCs w:val="24"/>
        </w:rPr>
        <w:t xml:space="preserve"> are interested in retaining and improving the temporary electronic file transfer system put in place during the COVID-19 pandemic lockdown.</w:t>
      </w:r>
    </w:p>
    <w:p w14:paraId="42D4EC08" w14:textId="77777777" w:rsidR="005435E0" w:rsidRDefault="00C529C9" w:rsidP="005435E0">
      <w:pPr>
        <w:pBdr>
          <w:top w:val="single" w:sz="4" w:space="1" w:color="auto"/>
          <w:left w:val="single" w:sz="4" w:space="4" w:color="auto"/>
          <w:bottom w:val="single" w:sz="4" w:space="1" w:color="auto"/>
          <w:right w:val="single" w:sz="4" w:space="4" w:color="auto"/>
        </w:pBdr>
        <w:rPr>
          <w:b/>
          <w:sz w:val="24"/>
          <w:szCs w:val="24"/>
        </w:rPr>
      </w:pPr>
      <w:r>
        <w:rPr>
          <w:b/>
          <w:sz w:val="24"/>
          <w:szCs w:val="24"/>
        </w:rPr>
        <w:t>Question</w:t>
      </w:r>
      <w:r w:rsidR="005435E0">
        <w:rPr>
          <w:b/>
          <w:sz w:val="24"/>
          <w:szCs w:val="24"/>
        </w:rPr>
        <w:t xml:space="preserve"> 1</w:t>
      </w:r>
      <w:r>
        <w:rPr>
          <w:b/>
          <w:sz w:val="24"/>
          <w:szCs w:val="24"/>
        </w:rPr>
        <w:t xml:space="preserve">: Do you agree with the </w:t>
      </w:r>
      <w:r w:rsidR="00CB0B60">
        <w:rPr>
          <w:b/>
          <w:sz w:val="24"/>
          <w:szCs w:val="24"/>
        </w:rPr>
        <w:t>drivers of a fees review</w:t>
      </w:r>
      <w:r>
        <w:rPr>
          <w:b/>
          <w:sz w:val="24"/>
          <w:szCs w:val="24"/>
        </w:rPr>
        <w:t xml:space="preserve">? </w:t>
      </w:r>
    </w:p>
    <w:p w14:paraId="627C0633" w14:textId="77777777" w:rsidR="005435E0" w:rsidRDefault="005435E0" w:rsidP="005435E0">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Question 2: </w:t>
      </w:r>
      <w:r w:rsidR="00C529C9">
        <w:rPr>
          <w:b/>
          <w:sz w:val="24"/>
          <w:szCs w:val="24"/>
        </w:rPr>
        <w:t xml:space="preserve">Are there any other </w:t>
      </w:r>
      <w:r w:rsidR="00CB0B60">
        <w:rPr>
          <w:b/>
          <w:sz w:val="24"/>
          <w:szCs w:val="24"/>
        </w:rPr>
        <w:t>drivers</w:t>
      </w:r>
      <w:r w:rsidR="00C529C9">
        <w:rPr>
          <w:b/>
          <w:sz w:val="24"/>
          <w:szCs w:val="24"/>
        </w:rPr>
        <w:t xml:space="preserve"> that should be included? </w:t>
      </w:r>
    </w:p>
    <w:p w14:paraId="7C9184CB" w14:textId="67E3548C" w:rsidR="00C529C9" w:rsidRDefault="005435E0" w:rsidP="005435E0">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Question 3: </w:t>
      </w:r>
      <w:r w:rsidR="00C529C9">
        <w:rPr>
          <w:b/>
          <w:sz w:val="24"/>
          <w:szCs w:val="24"/>
        </w:rPr>
        <w:t xml:space="preserve">How important are these </w:t>
      </w:r>
      <w:r w:rsidR="00F86AC0">
        <w:rPr>
          <w:b/>
          <w:sz w:val="24"/>
          <w:szCs w:val="24"/>
        </w:rPr>
        <w:t>drivers</w:t>
      </w:r>
      <w:r w:rsidR="00C529C9">
        <w:rPr>
          <w:b/>
          <w:sz w:val="24"/>
          <w:szCs w:val="24"/>
        </w:rPr>
        <w:t xml:space="preserve">? </w:t>
      </w:r>
    </w:p>
    <w:p w14:paraId="346D7318" w14:textId="77777777" w:rsidR="00CB3C9F" w:rsidRPr="00C529C9" w:rsidRDefault="00CB3C9F" w:rsidP="00D21EC0">
      <w:pPr>
        <w:rPr>
          <w:b/>
          <w:sz w:val="24"/>
          <w:szCs w:val="24"/>
        </w:rPr>
      </w:pPr>
    </w:p>
    <w:p w14:paraId="10D4B6D3" w14:textId="59E0CE8B" w:rsidR="00D21EC0" w:rsidRPr="00FA4B05" w:rsidRDefault="00D21EC0">
      <w:pPr>
        <w:rPr>
          <w:rFonts w:ascii="Segoe UI" w:hAnsi="Segoe UI" w:cs="Segoe UI"/>
          <w:b/>
          <w:color w:val="4472C4" w:themeColor="accent1"/>
          <w:sz w:val="24"/>
          <w:szCs w:val="24"/>
        </w:rPr>
      </w:pPr>
      <w:r w:rsidRPr="00FA4B05">
        <w:rPr>
          <w:rFonts w:ascii="Segoe UI" w:hAnsi="Segoe UI" w:cs="Segoe UI"/>
          <w:b/>
          <w:color w:val="4472C4" w:themeColor="accent1"/>
          <w:sz w:val="24"/>
          <w:szCs w:val="24"/>
        </w:rPr>
        <w:t xml:space="preserve">Objectives of the </w:t>
      </w:r>
      <w:r w:rsidR="0009786F" w:rsidRPr="00FA4B05">
        <w:rPr>
          <w:rFonts w:ascii="Segoe UI" w:hAnsi="Segoe UI" w:cs="Segoe UI"/>
          <w:b/>
          <w:color w:val="4472C4" w:themeColor="accent1"/>
          <w:sz w:val="24"/>
          <w:szCs w:val="24"/>
        </w:rPr>
        <w:t>fees review</w:t>
      </w:r>
    </w:p>
    <w:p w14:paraId="4ED6A23F" w14:textId="17DE8DAB" w:rsidR="00EC159B" w:rsidRPr="006A2310" w:rsidRDefault="00EC159B" w:rsidP="006A2310">
      <w:pPr>
        <w:rPr>
          <w:sz w:val="24"/>
          <w:szCs w:val="24"/>
        </w:rPr>
      </w:pPr>
      <w:r w:rsidRPr="006A2310">
        <w:rPr>
          <w:sz w:val="24"/>
          <w:szCs w:val="24"/>
        </w:rPr>
        <w:t xml:space="preserve">The objectives of the fee review </w:t>
      </w:r>
      <w:r w:rsidR="00161C22">
        <w:rPr>
          <w:sz w:val="24"/>
          <w:szCs w:val="24"/>
        </w:rPr>
        <w:t>a</w:t>
      </w:r>
      <w:r w:rsidR="00161C22" w:rsidRPr="006A2310">
        <w:rPr>
          <w:sz w:val="24"/>
          <w:szCs w:val="24"/>
        </w:rPr>
        <w:t>re</w:t>
      </w:r>
      <w:r w:rsidRPr="006A2310">
        <w:rPr>
          <w:sz w:val="24"/>
          <w:szCs w:val="24"/>
        </w:rPr>
        <w:t>:</w:t>
      </w:r>
    </w:p>
    <w:p w14:paraId="6CE8CBA1" w14:textId="77777777" w:rsidR="00161C22" w:rsidRPr="008D4A5C" w:rsidRDefault="00161C22" w:rsidP="00161C22">
      <w:pPr>
        <w:pStyle w:val="ListParagraph"/>
        <w:numPr>
          <w:ilvl w:val="0"/>
          <w:numId w:val="7"/>
        </w:numPr>
        <w:spacing w:after="120" w:line="240" w:lineRule="auto"/>
        <w:ind w:left="714" w:hanging="357"/>
        <w:contextualSpacing w:val="0"/>
        <w:rPr>
          <w:rFonts w:cstheme="minorHAnsi"/>
          <w:sz w:val="24"/>
          <w:szCs w:val="24"/>
        </w:rPr>
      </w:pPr>
      <w:r w:rsidRPr="008D4A5C">
        <w:rPr>
          <w:rFonts w:cstheme="minorHAnsi"/>
          <w:sz w:val="24"/>
          <w:szCs w:val="24"/>
        </w:rPr>
        <w:t xml:space="preserve">to align </w:t>
      </w:r>
      <w:proofErr w:type="spellStart"/>
      <w:r w:rsidRPr="008D4A5C">
        <w:rPr>
          <w:rFonts w:cstheme="minorHAnsi"/>
          <w:sz w:val="24"/>
          <w:szCs w:val="24"/>
        </w:rPr>
        <w:t>Medsafe</w:t>
      </w:r>
      <w:proofErr w:type="spellEnd"/>
      <w:r w:rsidRPr="008D4A5C">
        <w:rPr>
          <w:rFonts w:cstheme="minorHAnsi"/>
          <w:sz w:val="24"/>
          <w:szCs w:val="24"/>
        </w:rPr>
        <w:t xml:space="preserve"> cost recovery with best practice guidance issued by the Treasury</w:t>
      </w:r>
      <w:r w:rsidRPr="008D4A5C">
        <w:rPr>
          <w:rStyle w:val="FootnoteReference"/>
          <w:rFonts w:cstheme="minorHAnsi"/>
          <w:sz w:val="24"/>
          <w:szCs w:val="24"/>
        </w:rPr>
        <w:footnoteReference w:id="4"/>
      </w:r>
      <w:r w:rsidRPr="008D4A5C">
        <w:rPr>
          <w:rFonts w:cstheme="minorHAnsi"/>
          <w:sz w:val="24"/>
          <w:szCs w:val="24"/>
        </w:rPr>
        <w:t xml:space="preserve"> and Office of the Controller and Auditor-General</w:t>
      </w:r>
      <w:r w:rsidRPr="008D4A5C">
        <w:rPr>
          <w:rStyle w:val="FootnoteReference"/>
          <w:rFonts w:cstheme="minorHAnsi"/>
          <w:sz w:val="24"/>
          <w:szCs w:val="24"/>
        </w:rPr>
        <w:footnoteReference w:id="5"/>
      </w:r>
    </w:p>
    <w:p w14:paraId="51C75049" w14:textId="683A4F9D" w:rsidR="0009786F" w:rsidRDefault="0009786F" w:rsidP="00EC159B">
      <w:pPr>
        <w:pStyle w:val="ListParagraph"/>
        <w:numPr>
          <w:ilvl w:val="0"/>
          <w:numId w:val="7"/>
        </w:numPr>
        <w:spacing w:after="120" w:line="240" w:lineRule="auto"/>
        <w:ind w:left="714" w:hanging="357"/>
        <w:contextualSpacing w:val="0"/>
        <w:rPr>
          <w:rFonts w:cstheme="minorHAnsi"/>
          <w:sz w:val="24"/>
          <w:szCs w:val="24"/>
        </w:rPr>
      </w:pPr>
      <w:r>
        <w:rPr>
          <w:rFonts w:cstheme="minorHAnsi"/>
          <w:sz w:val="24"/>
          <w:szCs w:val="24"/>
        </w:rPr>
        <w:t xml:space="preserve">to fulfil the commitment to review fees every 3 years, as </w:t>
      </w:r>
      <w:r w:rsidR="00E244C1">
        <w:rPr>
          <w:rFonts w:cstheme="minorHAnsi"/>
          <w:sz w:val="24"/>
          <w:szCs w:val="24"/>
        </w:rPr>
        <w:t xml:space="preserve">undertaken </w:t>
      </w:r>
      <w:r w:rsidR="005F02FE">
        <w:rPr>
          <w:rFonts w:cstheme="minorHAnsi"/>
          <w:sz w:val="24"/>
          <w:szCs w:val="24"/>
        </w:rPr>
        <w:t>with</w:t>
      </w:r>
      <w:r w:rsidR="00263445">
        <w:rPr>
          <w:rFonts w:cstheme="minorHAnsi"/>
          <w:sz w:val="24"/>
          <w:szCs w:val="24"/>
        </w:rPr>
        <w:t xml:space="preserve"> Audit New Zealand</w:t>
      </w:r>
    </w:p>
    <w:p w14:paraId="1225B1CE" w14:textId="77777777" w:rsidR="00F86AC0" w:rsidRPr="008D4A5C" w:rsidRDefault="00F86AC0" w:rsidP="00F86AC0">
      <w:pPr>
        <w:pStyle w:val="ListParagraph"/>
        <w:numPr>
          <w:ilvl w:val="0"/>
          <w:numId w:val="7"/>
        </w:numPr>
        <w:spacing w:after="120" w:line="240" w:lineRule="auto"/>
        <w:ind w:left="714" w:hanging="357"/>
        <w:contextualSpacing w:val="0"/>
        <w:rPr>
          <w:rFonts w:cstheme="minorHAnsi"/>
          <w:sz w:val="24"/>
          <w:szCs w:val="24"/>
        </w:rPr>
      </w:pPr>
      <w:r w:rsidRPr="008D4A5C">
        <w:rPr>
          <w:rFonts w:cstheme="minorHAnsi"/>
          <w:sz w:val="24"/>
          <w:szCs w:val="24"/>
        </w:rPr>
        <w:t xml:space="preserve">to provide for sustainable ongoing management of </w:t>
      </w:r>
      <w:proofErr w:type="spellStart"/>
      <w:r w:rsidRPr="008D4A5C">
        <w:rPr>
          <w:rFonts w:cstheme="minorHAnsi"/>
          <w:sz w:val="24"/>
          <w:szCs w:val="24"/>
        </w:rPr>
        <w:t>Medsafe</w:t>
      </w:r>
      <w:proofErr w:type="spellEnd"/>
      <w:r w:rsidRPr="008D4A5C">
        <w:rPr>
          <w:rFonts w:cstheme="minorHAnsi"/>
          <w:sz w:val="24"/>
          <w:szCs w:val="24"/>
        </w:rPr>
        <w:t xml:space="preserve"> funding</w:t>
      </w:r>
      <w:r>
        <w:rPr>
          <w:rFonts w:cstheme="minorHAnsi"/>
          <w:sz w:val="24"/>
          <w:szCs w:val="24"/>
        </w:rPr>
        <w:t>, and reduce</w:t>
      </w:r>
      <w:r w:rsidRPr="008D4A5C">
        <w:rPr>
          <w:rFonts w:cstheme="minorHAnsi"/>
          <w:sz w:val="24"/>
          <w:szCs w:val="24"/>
        </w:rPr>
        <w:t xml:space="preserve"> the current </w:t>
      </w:r>
      <w:r>
        <w:rPr>
          <w:rFonts w:cstheme="minorHAnsi"/>
          <w:sz w:val="24"/>
          <w:szCs w:val="24"/>
        </w:rPr>
        <w:t>m</w:t>
      </w:r>
      <w:r w:rsidRPr="008D4A5C">
        <w:rPr>
          <w:rFonts w:cstheme="minorHAnsi"/>
          <w:sz w:val="24"/>
          <w:szCs w:val="24"/>
        </w:rPr>
        <w:t>emorandum account deficit</w:t>
      </w:r>
    </w:p>
    <w:p w14:paraId="22AD2BFF" w14:textId="4B22D439" w:rsidR="0009786F" w:rsidRDefault="0009786F" w:rsidP="0009786F">
      <w:pPr>
        <w:pStyle w:val="ListParagraph"/>
        <w:numPr>
          <w:ilvl w:val="0"/>
          <w:numId w:val="8"/>
        </w:numPr>
        <w:spacing w:after="120" w:line="240" w:lineRule="auto"/>
        <w:ind w:left="714" w:hanging="357"/>
        <w:contextualSpacing w:val="0"/>
        <w:rPr>
          <w:rFonts w:cstheme="minorHAnsi"/>
          <w:sz w:val="24"/>
          <w:szCs w:val="24"/>
        </w:rPr>
      </w:pPr>
      <w:r w:rsidRPr="008D4A5C">
        <w:rPr>
          <w:rFonts w:cstheme="minorHAnsi"/>
          <w:sz w:val="24"/>
          <w:szCs w:val="24"/>
        </w:rPr>
        <w:t>to set charges in a principled manner that spreads costs fairly, equitably and consistently</w:t>
      </w:r>
    </w:p>
    <w:p w14:paraId="4F736E3D" w14:textId="19F710B0" w:rsidR="00EC159B" w:rsidRDefault="00EC159B" w:rsidP="00EC159B">
      <w:pPr>
        <w:pStyle w:val="ListParagraph"/>
        <w:numPr>
          <w:ilvl w:val="0"/>
          <w:numId w:val="8"/>
        </w:numPr>
        <w:spacing w:after="120" w:line="240" w:lineRule="auto"/>
        <w:ind w:left="714" w:hanging="357"/>
        <w:contextualSpacing w:val="0"/>
        <w:rPr>
          <w:rFonts w:cstheme="minorHAnsi"/>
          <w:sz w:val="24"/>
          <w:szCs w:val="24"/>
        </w:rPr>
      </w:pPr>
      <w:r w:rsidRPr="008D4A5C">
        <w:rPr>
          <w:rFonts w:cstheme="minorHAnsi"/>
          <w:sz w:val="24"/>
          <w:szCs w:val="24"/>
        </w:rPr>
        <w:t xml:space="preserve">to undertake a transparent process. </w:t>
      </w:r>
    </w:p>
    <w:p w14:paraId="3647EBCE" w14:textId="77777777" w:rsidR="008D4A5C" w:rsidRPr="008D4A5C" w:rsidRDefault="008D4A5C" w:rsidP="008D4A5C">
      <w:pPr>
        <w:spacing w:after="120" w:line="240" w:lineRule="auto"/>
        <w:ind w:left="357"/>
        <w:rPr>
          <w:rFonts w:cstheme="minorHAnsi"/>
          <w:sz w:val="24"/>
          <w:szCs w:val="24"/>
        </w:rPr>
      </w:pPr>
    </w:p>
    <w:p w14:paraId="611F9AF9" w14:textId="32B9AB63" w:rsidR="00EC159B" w:rsidRPr="006A2310" w:rsidRDefault="00EC159B" w:rsidP="006A2310">
      <w:pPr>
        <w:rPr>
          <w:sz w:val="24"/>
          <w:szCs w:val="24"/>
        </w:rPr>
      </w:pPr>
      <w:r w:rsidRPr="006A2310">
        <w:rPr>
          <w:sz w:val="24"/>
          <w:szCs w:val="24"/>
        </w:rPr>
        <w:t>The scope of the review</w:t>
      </w:r>
      <w:r w:rsidR="0009786F" w:rsidRPr="006A2310">
        <w:rPr>
          <w:sz w:val="24"/>
          <w:szCs w:val="24"/>
        </w:rPr>
        <w:t xml:space="preserve"> includes</w:t>
      </w:r>
      <w:r w:rsidRPr="006A2310">
        <w:rPr>
          <w:sz w:val="24"/>
          <w:szCs w:val="24"/>
        </w:rPr>
        <w:t xml:space="preserve"> fees for the following: </w:t>
      </w:r>
    </w:p>
    <w:p w14:paraId="14892B5C" w14:textId="58FB84D3" w:rsidR="00EC159B" w:rsidRPr="00017C9A" w:rsidRDefault="00EC159B" w:rsidP="00017C9A">
      <w:pPr>
        <w:pStyle w:val="Bulletlistlevel2"/>
      </w:pPr>
      <w:r w:rsidRPr="00017C9A">
        <w:t>applications for approval of new and changed medicines and related products, approval of clinical trials, licences for manufacturing and packing, pharmacy licences, wholesale and sale by retail licences, and hawker licences</w:t>
      </w:r>
      <w:r w:rsidR="00412155">
        <w:t>, required under the Medicines Act and Regulations</w:t>
      </w:r>
    </w:p>
    <w:p w14:paraId="6D512749" w14:textId="1FFA18F2" w:rsidR="00EC159B" w:rsidRDefault="00EC159B" w:rsidP="00EC159B">
      <w:pPr>
        <w:pStyle w:val="Default"/>
        <w:numPr>
          <w:ilvl w:val="0"/>
          <w:numId w:val="9"/>
        </w:numPr>
        <w:spacing w:before="120"/>
        <w:ind w:left="714" w:hanging="357"/>
        <w:rPr>
          <w:rFonts w:asciiTheme="minorHAnsi" w:hAnsiTheme="minorHAnsi" w:cstheme="minorHAnsi"/>
        </w:rPr>
      </w:pPr>
      <w:r w:rsidRPr="008D4A5C">
        <w:rPr>
          <w:rFonts w:asciiTheme="minorHAnsi" w:hAnsiTheme="minorHAnsi" w:cstheme="minorHAnsi"/>
        </w:rPr>
        <w:t>auditing of non-licensed manufacturers and the issue of regulatory statements and certificates made outside the Act</w:t>
      </w:r>
      <w:r w:rsidR="00540960">
        <w:rPr>
          <w:rFonts w:asciiTheme="minorHAnsi" w:hAnsiTheme="minorHAnsi" w:cstheme="minorHAnsi"/>
        </w:rPr>
        <w:t>, that are fees for service.</w:t>
      </w:r>
      <w:r w:rsidRPr="008D4A5C">
        <w:rPr>
          <w:rFonts w:asciiTheme="minorHAnsi" w:hAnsiTheme="minorHAnsi" w:cstheme="minorHAnsi"/>
        </w:rPr>
        <w:t xml:space="preserve"> </w:t>
      </w:r>
    </w:p>
    <w:p w14:paraId="13400471" w14:textId="77777777" w:rsidR="008D4A5C" w:rsidRPr="008D4A5C" w:rsidRDefault="008D4A5C" w:rsidP="008D4A5C">
      <w:pPr>
        <w:pStyle w:val="Default"/>
        <w:spacing w:before="120"/>
        <w:ind w:left="357"/>
        <w:rPr>
          <w:rFonts w:asciiTheme="minorHAnsi" w:hAnsiTheme="minorHAnsi" w:cstheme="minorHAnsi"/>
        </w:rPr>
      </w:pPr>
    </w:p>
    <w:p w14:paraId="320D522A" w14:textId="60B2D5D8" w:rsidR="00FA4B05" w:rsidRDefault="00FA4B05">
      <w:pPr>
        <w:rPr>
          <w:rFonts w:ascii="Segoe UI" w:hAnsi="Segoe UI" w:cs="Segoe UI"/>
          <w:b/>
          <w:color w:val="4472C4" w:themeColor="accent1"/>
          <w:sz w:val="24"/>
          <w:szCs w:val="24"/>
        </w:rPr>
      </w:pPr>
      <w:r>
        <w:rPr>
          <w:rFonts w:ascii="Segoe UI" w:hAnsi="Segoe UI" w:cs="Segoe UI"/>
          <w:b/>
          <w:color w:val="4472C4" w:themeColor="accent1"/>
          <w:sz w:val="24"/>
          <w:szCs w:val="24"/>
        </w:rPr>
        <w:t>How to provide feedback</w:t>
      </w:r>
    </w:p>
    <w:p w14:paraId="42E6F5FF" w14:textId="77777777" w:rsidR="00D606E9" w:rsidRPr="00061A9E" w:rsidRDefault="00D606E9" w:rsidP="00D606E9">
      <w:pPr>
        <w:pStyle w:val="BodyText1"/>
        <w:rPr>
          <w:rFonts w:asciiTheme="minorHAnsi" w:hAnsiTheme="minorHAnsi" w:cstheme="minorHAnsi"/>
          <w:sz w:val="24"/>
          <w:szCs w:val="24"/>
        </w:rPr>
      </w:pPr>
      <w:r w:rsidRPr="00061A9E">
        <w:rPr>
          <w:rFonts w:asciiTheme="minorHAnsi" w:hAnsiTheme="minorHAnsi" w:cstheme="minorHAnsi"/>
          <w:sz w:val="24"/>
          <w:szCs w:val="24"/>
        </w:rPr>
        <w:t>You can provide feedback by either:</w:t>
      </w:r>
    </w:p>
    <w:p w14:paraId="3178179F" w14:textId="5F41FAAE" w:rsidR="00D606E9" w:rsidRPr="00061A9E" w:rsidRDefault="00D606E9" w:rsidP="00D606E9">
      <w:pPr>
        <w:pStyle w:val="Bulletlistlevel2"/>
      </w:pPr>
      <w:r w:rsidRPr="00061A9E">
        <w:t xml:space="preserve">using our online tool at </w:t>
      </w:r>
      <w:r w:rsidR="000D723A" w:rsidRPr="000D723A">
        <w:rPr>
          <w:b/>
        </w:rPr>
        <w:t>https://consult.health.govt.nz/medsafe/31effa6c/</w:t>
      </w:r>
      <w:r w:rsidRPr="00061A9E">
        <w:t>. This is our preferred way to receive feedback.</w:t>
      </w:r>
      <w:bookmarkStart w:id="1" w:name="_GoBack"/>
      <w:bookmarkEnd w:id="1"/>
    </w:p>
    <w:p w14:paraId="672EFC63" w14:textId="77777777" w:rsidR="00D606E9" w:rsidRPr="00061A9E" w:rsidRDefault="00D606E9" w:rsidP="00D606E9">
      <w:pPr>
        <w:pStyle w:val="ListParagraph"/>
        <w:spacing w:after="120"/>
        <w:ind w:left="567" w:hanging="567"/>
        <w:rPr>
          <w:rFonts w:cstheme="minorHAnsi"/>
          <w:sz w:val="24"/>
          <w:szCs w:val="24"/>
        </w:rPr>
      </w:pPr>
    </w:p>
    <w:p w14:paraId="109542B3" w14:textId="77777777" w:rsidR="00D606E9" w:rsidRPr="006A2310" w:rsidRDefault="00D606E9" w:rsidP="00D606E9">
      <w:pPr>
        <w:rPr>
          <w:sz w:val="24"/>
          <w:szCs w:val="24"/>
        </w:rPr>
      </w:pPr>
      <w:r w:rsidRPr="006A2310">
        <w:rPr>
          <w:sz w:val="24"/>
          <w:szCs w:val="24"/>
        </w:rPr>
        <w:t xml:space="preserve">Note: you can complete your submission over </w:t>
      </w:r>
      <w:proofErr w:type="gramStart"/>
      <w:r w:rsidRPr="006A2310">
        <w:rPr>
          <w:sz w:val="24"/>
          <w:szCs w:val="24"/>
        </w:rPr>
        <w:t>a number of</w:t>
      </w:r>
      <w:proofErr w:type="gramEnd"/>
      <w:r w:rsidRPr="006A2310">
        <w:rPr>
          <w:sz w:val="24"/>
          <w:szCs w:val="24"/>
        </w:rPr>
        <w:t xml:space="preserve"> sessions and save it as you go. If you select ‘Save and come back later’, you will be sent an email with a unique link that will let you return to edit and submit your response. This link can be shared with your colleagues if you require their contribution to, or review of, the submission. Once you have completed your submission, you will be sent a pdf copy for your records</w:t>
      </w:r>
    </w:p>
    <w:p w14:paraId="492C939C" w14:textId="77777777" w:rsidR="00D606E9" w:rsidRPr="00061A9E" w:rsidRDefault="00D606E9" w:rsidP="00D606E9">
      <w:pPr>
        <w:pStyle w:val="ListParagraph"/>
        <w:ind w:left="567" w:hanging="567"/>
        <w:rPr>
          <w:rFonts w:cstheme="minorHAnsi"/>
          <w:sz w:val="24"/>
          <w:szCs w:val="24"/>
        </w:rPr>
      </w:pPr>
    </w:p>
    <w:p w14:paraId="4E27A58E" w14:textId="77777777" w:rsidR="00D606E9" w:rsidRPr="00061A9E" w:rsidRDefault="00D606E9" w:rsidP="00D606E9">
      <w:pPr>
        <w:pStyle w:val="ListParagraph"/>
        <w:ind w:left="567"/>
        <w:rPr>
          <w:rFonts w:cstheme="minorHAnsi"/>
          <w:sz w:val="24"/>
          <w:szCs w:val="24"/>
        </w:rPr>
      </w:pPr>
      <w:r w:rsidRPr="00061A9E">
        <w:rPr>
          <w:rFonts w:cstheme="minorHAnsi"/>
          <w:sz w:val="24"/>
          <w:szCs w:val="24"/>
        </w:rPr>
        <w:t>or</w:t>
      </w:r>
    </w:p>
    <w:p w14:paraId="060F6809" w14:textId="77777777" w:rsidR="00D606E9" w:rsidRDefault="00D606E9" w:rsidP="00F5487C">
      <w:pPr>
        <w:pStyle w:val="BodyText1"/>
        <w:rPr>
          <w:rFonts w:asciiTheme="minorHAnsi" w:hAnsiTheme="minorHAnsi" w:cstheme="minorHAnsi"/>
          <w:sz w:val="24"/>
          <w:szCs w:val="24"/>
        </w:rPr>
      </w:pPr>
    </w:p>
    <w:p w14:paraId="4A2CAE30" w14:textId="09B87FE7" w:rsidR="00FA4B05" w:rsidRPr="00F5487C" w:rsidRDefault="00FA4B05" w:rsidP="00F5487C">
      <w:pPr>
        <w:pStyle w:val="BodyText1"/>
        <w:rPr>
          <w:rFonts w:asciiTheme="minorHAnsi" w:hAnsiTheme="minorHAnsi" w:cstheme="minorHAnsi"/>
          <w:sz w:val="24"/>
          <w:szCs w:val="24"/>
        </w:rPr>
      </w:pPr>
      <w:r w:rsidRPr="005644B7">
        <w:rPr>
          <w:rFonts w:asciiTheme="minorHAnsi" w:hAnsiTheme="minorHAnsi" w:cstheme="minorHAnsi"/>
          <w:sz w:val="24"/>
          <w:szCs w:val="24"/>
        </w:rPr>
        <w:t xml:space="preserve">sending an electronic submission to </w:t>
      </w:r>
      <w:hyperlink r:id="rId8" w:history="1">
        <w:r w:rsidR="00F5487C" w:rsidRPr="005644B7">
          <w:rPr>
            <w:rStyle w:val="Hyperlink"/>
            <w:rFonts w:asciiTheme="minorHAnsi" w:hAnsiTheme="minorHAnsi" w:cstheme="minorHAnsi"/>
            <w:sz w:val="24"/>
            <w:szCs w:val="24"/>
          </w:rPr>
          <w:t>medsafeapplications@health.govt.nz</w:t>
        </w:r>
      </w:hyperlink>
      <w:r w:rsidRPr="00F5487C">
        <w:rPr>
          <w:rFonts w:asciiTheme="minorHAnsi" w:hAnsiTheme="minorHAnsi" w:cstheme="minorHAnsi"/>
          <w:sz w:val="24"/>
          <w:szCs w:val="24"/>
        </w:rPr>
        <w:t>.</w:t>
      </w:r>
    </w:p>
    <w:p w14:paraId="2F234D31" w14:textId="2C67BED9" w:rsidR="00FA4B05" w:rsidRDefault="00FA4B05" w:rsidP="00FA4B05">
      <w:pPr>
        <w:pStyle w:val="ListParagraph"/>
        <w:spacing w:after="0"/>
        <w:ind w:left="709"/>
        <w:rPr>
          <w:rFonts w:cstheme="minorHAnsi"/>
          <w:sz w:val="24"/>
          <w:szCs w:val="24"/>
        </w:rPr>
      </w:pPr>
    </w:p>
    <w:p w14:paraId="266D2548" w14:textId="77777777" w:rsidR="00CB3C9F" w:rsidRDefault="00CB3C9F" w:rsidP="006A2310">
      <w:pPr>
        <w:pStyle w:val="ListParagraph"/>
        <w:spacing w:after="0"/>
        <w:rPr>
          <w:sz w:val="24"/>
          <w:szCs w:val="24"/>
        </w:rPr>
      </w:pPr>
      <w:r w:rsidRPr="00CB3C9F">
        <w:rPr>
          <w:sz w:val="24"/>
          <w:szCs w:val="24"/>
        </w:rPr>
        <w:t xml:space="preserve">Please include the following information: </w:t>
      </w:r>
    </w:p>
    <w:p w14:paraId="4DA2A777" w14:textId="72CCB375" w:rsidR="00CB3C9F" w:rsidRDefault="00CB3C9F" w:rsidP="00017C9A">
      <w:pPr>
        <w:pStyle w:val="Bulletlistlevel2"/>
        <w:numPr>
          <w:ilvl w:val="1"/>
          <w:numId w:val="31"/>
        </w:numPr>
      </w:pPr>
      <w:r w:rsidRPr="00CB3C9F">
        <w:t xml:space="preserve">the title of this discussion document </w:t>
      </w:r>
      <w:r w:rsidR="00F5487C">
        <w:t>in the Subject box</w:t>
      </w:r>
    </w:p>
    <w:p w14:paraId="29541200" w14:textId="473F8A09" w:rsidR="00CB3C9F" w:rsidRDefault="00CB3C9F" w:rsidP="00017C9A">
      <w:pPr>
        <w:pStyle w:val="Bulletlistlevel2"/>
        <w:numPr>
          <w:ilvl w:val="1"/>
          <w:numId w:val="31"/>
        </w:numPr>
      </w:pPr>
      <w:r w:rsidRPr="00CB3C9F">
        <w:t>your name and title</w:t>
      </w:r>
      <w:r w:rsidR="00F5487C">
        <w:t xml:space="preserve">, </w:t>
      </w:r>
      <w:r w:rsidRPr="00CB3C9F">
        <w:t xml:space="preserve">your organisation’s name (if you are submitting on behalf of an organisation) and whether your submission represents the whole organisation or a section of it </w:t>
      </w:r>
    </w:p>
    <w:p w14:paraId="23114966" w14:textId="5CB8CC03" w:rsidR="00CB3C9F" w:rsidRDefault="00CB3C9F" w:rsidP="00017C9A">
      <w:pPr>
        <w:pStyle w:val="Bulletlistlevel2"/>
        <w:numPr>
          <w:ilvl w:val="1"/>
          <w:numId w:val="31"/>
        </w:numPr>
      </w:pPr>
      <w:r w:rsidRPr="00CB3C9F">
        <w:t>your contact details (such as phone number, address and/or email)</w:t>
      </w:r>
    </w:p>
    <w:p w14:paraId="38777704" w14:textId="6D57CC26" w:rsidR="00F5487C" w:rsidRPr="00CB3C9F" w:rsidRDefault="00F5487C" w:rsidP="00017C9A">
      <w:pPr>
        <w:pStyle w:val="Bulletlistlevel2"/>
        <w:numPr>
          <w:ilvl w:val="1"/>
          <w:numId w:val="31"/>
        </w:numPr>
      </w:pPr>
      <w:r>
        <w:t xml:space="preserve">whether you want </w:t>
      </w:r>
      <w:proofErr w:type="gramStart"/>
      <w:r>
        <w:t>part</w:t>
      </w:r>
      <w:proofErr w:type="gramEnd"/>
      <w:r>
        <w:t xml:space="preserve"> or all of your submission withheld under the Official Information Act 1982 (see below).</w:t>
      </w:r>
    </w:p>
    <w:p w14:paraId="2E6B0D66" w14:textId="77777777" w:rsidR="00CB3C9F" w:rsidRPr="00061A9E" w:rsidRDefault="00CB3C9F" w:rsidP="00FA4B05">
      <w:pPr>
        <w:pStyle w:val="ListParagraph"/>
        <w:spacing w:after="0"/>
        <w:ind w:left="709"/>
        <w:rPr>
          <w:rFonts w:cstheme="minorHAnsi"/>
          <w:sz w:val="24"/>
          <w:szCs w:val="24"/>
        </w:rPr>
      </w:pPr>
    </w:p>
    <w:p w14:paraId="78551DE6" w14:textId="444EE222" w:rsidR="00FA4B05" w:rsidRPr="00061A9E" w:rsidRDefault="00FA4B05" w:rsidP="00FA4B05">
      <w:pPr>
        <w:pStyle w:val="BodyText1"/>
        <w:spacing w:before="0" w:after="0"/>
        <w:rPr>
          <w:rFonts w:asciiTheme="minorHAnsi" w:hAnsiTheme="minorHAnsi" w:cstheme="minorHAnsi"/>
          <w:sz w:val="24"/>
          <w:szCs w:val="24"/>
        </w:rPr>
      </w:pPr>
      <w:r w:rsidRPr="00061A9E">
        <w:rPr>
          <w:rFonts w:asciiTheme="minorHAnsi" w:hAnsiTheme="minorHAnsi" w:cstheme="minorHAnsi"/>
          <w:sz w:val="24"/>
          <w:szCs w:val="24"/>
        </w:rPr>
        <w:t xml:space="preserve">The closing date for submissions is </w:t>
      </w:r>
      <w:r w:rsidR="004457AB">
        <w:rPr>
          <w:rFonts w:asciiTheme="minorHAnsi" w:hAnsiTheme="minorHAnsi" w:cstheme="minorHAnsi"/>
          <w:b/>
          <w:bCs/>
          <w:sz w:val="24"/>
          <w:szCs w:val="24"/>
        </w:rPr>
        <w:t>21</w:t>
      </w:r>
      <w:r w:rsidR="00F5487C" w:rsidRPr="00F5487C">
        <w:rPr>
          <w:rFonts w:asciiTheme="minorHAnsi" w:hAnsiTheme="minorHAnsi" w:cstheme="minorHAnsi"/>
          <w:b/>
          <w:bCs/>
          <w:sz w:val="24"/>
          <w:szCs w:val="24"/>
        </w:rPr>
        <w:t xml:space="preserve"> May</w:t>
      </w:r>
      <w:r w:rsidRPr="00F5487C">
        <w:rPr>
          <w:rFonts w:asciiTheme="minorHAnsi" w:hAnsiTheme="minorHAnsi" w:cstheme="minorHAnsi"/>
          <w:b/>
          <w:bCs/>
          <w:sz w:val="24"/>
          <w:szCs w:val="24"/>
        </w:rPr>
        <w:t xml:space="preserve"> 2021 at 5pm</w:t>
      </w:r>
      <w:r w:rsidRPr="00061A9E">
        <w:rPr>
          <w:rFonts w:asciiTheme="minorHAnsi" w:hAnsiTheme="minorHAnsi" w:cstheme="minorHAnsi"/>
          <w:sz w:val="24"/>
          <w:szCs w:val="24"/>
        </w:rPr>
        <w:t xml:space="preserve">. </w:t>
      </w:r>
    </w:p>
    <w:p w14:paraId="7468FD3C" w14:textId="77777777" w:rsidR="00FA4B05" w:rsidRPr="00061A9E" w:rsidRDefault="00FA4B05" w:rsidP="00FA4B05">
      <w:pPr>
        <w:pStyle w:val="BodyText1"/>
        <w:spacing w:before="0" w:after="0"/>
        <w:rPr>
          <w:rFonts w:asciiTheme="minorHAnsi" w:hAnsiTheme="minorHAnsi" w:cstheme="minorHAnsi"/>
          <w:sz w:val="24"/>
          <w:szCs w:val="24"/>
        </w:rPr>
      </w:pPr>
    </w:p>
    <w:p w14:paraId="4F6F0EB9" w14:textId="77777777" w:rsidR="00CB3C9F" w:rsidRPr="000856BB" w:rsidRDefault="00CB3C9F" w:rsidP="00017C9A">
      <w:pPr>
        <w:pStyle w:val="BodyText1"/>
        <w:spacing w:before="0"/>
        <w:rPr>
          <w:rFonts w:asciiTheme="minorHAnsi" w:hAnsiTheme="minorHAnsi" w:cstheme="minorHAnsi"/>
          <w:color w:val="4472C4" w:themeColor="accent1"/>
          <w:sz w:val="24"/>
          <w:szCs w:val="24"/>
        </w:rPr>
      </w:pPr>
      <w:r w:rsidRPr="000856BB">
        <w:rPr>
          <w:rFonts w:asciiTheme="minorHAnsi" w:hAnsiTheme="minorHAnsi" w:cstheme="minorHAnsi"/>
          <w:b/>
          <w:color w:val="4472C4" w:themeColor="accent1"/>
          <w:sz w:val="24"/>
          <w:szCs w:val="24"/>
        </w:rPr>
        <w:t>Official Information Act 1982 (OIA)</w:t>
      </w:r>
    </w:p>
    <w:p w14:paraId="7AC7CA39" w14:textId="01CC836C" w:rsidR="00FA4B05" w:rsidRPr="006A2310" w:rsidRDefault="00CB3C9F" w:rsidP="006A2310">
      <w:pPr>
        <w:rPr>
          <w:sz w:val="24"/>
          <w:szCs w:val="24"/>
        </w:rPr>
      </w:pPr>
      <w:r w:rsidRPr="006A2310">
        <w:rPr>
          <w:sz w:val="24"/>
          <w:szCs w:val="24"/>
        </w:rPr>
        <w:t xml:space="preserve">Submissions are official information and may be the subject of requests for information under the Official Information Act 1982 (OIA). The OIA specifies that information is to be made available to requesters unless there is a good reason for withholding it. </w:t>
      </w:r>
      <w:r w:rsidRPr="006A2310">
        <w:rPr>
          <w:b/>
          <w:sz w:val="24"/>
          <w:szCs w:val="24"/>
        </w:rPr>
        <w:t xml:space="preserve">Submitters may indicate grounds for withholding specific information contained in their submissions, such as where they consider information is commercially sensitive or they wish personal information </w:t>
      </w:r>
      <w:proofErr w:type="gramStart"/>
      <w:r w:rsidRPr="006A2310">
        <w:rPr>
          <w:b/>
          <w:sz w:val="24"/>
          <w:szCs w:val="24"/>
        </w:rPr>
        <w:t>be</w:t>
      </w:r>
      <w:proofErr w:type="gramEnd"/>
      <w:r w:rsidRPr="006A2310">
        <w:rPr>
          <w:b/>
          <w:sz w:val="24"/>
          <w:szCs w:val="24"/>
        </w:rPr>
        <w:t xml:space="preserve"> withheld.</w:t>
      </w:r>
      <w:r w:rsidRPr="006A2310">
        <w:rPr>
          <w:sz w:val="24"/>
          <w:szCs w:val="24"/>
        </w:rPr>
        <w:t xml:space="preserve"> We will consider these requests in accordance with the provisions of the OIA. </w:t>
      </w:r>
    </w:p>
    <w:p w14:paraId="5DA5EE68" w14:textId="77777777" w:rsidR="00FA4B05" w:rsidRPr="00061A9E" w:rsidRDefault="00FA4B05" w:rsidP="00FA4B05">
      <w:pPr>
        <w:pStyle w:val="BodyText1"/>
        <w:spacing w:before="0" w:after="0"/>
        <w:rPr>
          <w:rFonts w:asciiTheme="minorHAnsi" w:hAnsiTheme="minorHAnsi" w:cstheme="minorHAnsi"/>
          <w:sz w:val="24"/>
          <w:szCs w:val="24"/>
        </w:rPr>
      </w:pPr>
    </w:p>
    <w:p w14:paraId="157D268C" w14:textId="41B7F5CE" w:rsidR="00FA4B05" w:rsidRPr="00061A9E" w:rsidRDefault="00FA4B05" w:rsidP="00FA4B05">
      <w:pPr>
        <w:rPr>
          <w:rFonts w:ascii="Segoe UI" w:hAnsi="Segoe UI" w:cs="Segoe UI"/>
          <w:b/>
          <w:color w:val="4472C4" w:themeColor="accent1"/>
          <w:sz w:val="24"/>
          <w:szCs w:val="24"/>
        </w:rPr>
      </w:pPr>
      <w:r w:rsidRPr="00061A9E">
        <w:rPr>
          <w:rFonts w:cs="Segoe UI"/>
          <w:sz w:val="24"/>
          <w:szCs w:val="24"/>
        </w:rPr>
        <w:t>We appreciate you taking the time to make a submission</w:t>
      </w:r>
    </w:p>
    <w:p w14:paraId="13F0DD13" w14:textId="77777777" w:rsidR="005435E0" w:rsidRDefault="005435E0">
      <w:pPr>
        <w:rPr>
          <w:rFonts w:ascii="Segoe UI" w:hAnsi="Segoe UI" w:cs="Segoe UI"/>
          <w:b/>
          <w:color w:val="4472C4" w:themeColor="accent1"/>
          <w:sz w:val="24"/>
          <w:szCs w:val="24"/>
        </w:rPr>
      </w:pPr>
    </w:p>
    <w:p w14:paraId="4B7668EF" w14:textId="172F7D91" w:rsidR="00D21EC0" w:rsidRPr="00FA4B05" w:rsidRDefault="00D21EC0">
      <w:pPr>
        <w:rPr>
          <w:rFonts w:ascii="Segoe UI" w:hAnsi="Segoe UI" w:cs="Segoe UI"/>
          <w:b/>
          <w:color w:val="4472C4" w:themeColor="accent1"/>
          <w:sz w:val="24"/>
          <w:szCs w:val="24"/>
        </w:rPr>
      </w:pPr>
      <w:r w:rsidRPr="00FA4B05">
        <w:rPr>
          <w:rFonts w:ascii="Segoe UI" w:hAnsi="Segoe UI" w:cs="Segoe UI"/>
          <w:b/>
          <w:color w:val="4472C4" w:themeColor="accent1"/>
          <w:sz w:val="24"/>
          <w:szCs w:val="24"/>
        </w:rPr>
        <w:lastRenderedPageBreak/>
        <w:t>What will happen after consultation</w:t>
      </w:r>
      <w:r w:rsidR="00857BBB">
        <w:rPr>
          <w:rFonts w:ascii="Segoe UI" w:hAnsi="Segoe UI" w:cs="Segoe UI"/>
          <w:b/>
          <w:color w:val="4472C4" w:themeColor="accent1"/>
          <w:sz w:val="24"/>
          <w:szCs w:val="24"/>
        </w:rPr>
        <w:t>?</w:t>
      </w:r>
    </w:p>
    <w:p w14:paraId="3883E1FA" w14:textId="721798EC" w:rsidR="00A62A35" w:rsidRDefault="0073700C">
      <w:pPr>
        <w:rPr>
          <w:sz w:val="24"/>
          <w:szCs w:val="24"/>
        </w:rPr>
      </w:pPr>
      <w:r>
        <w:rPr>
          <w:sz w:val="24"/>
          <w:szCs w:val="24"/>
        </w:rPr>
        <w:t xml:space="preserve">Once the submissions close, </w:t>
      </w:r>
      <w:proofErr w:type="spellStart"/>
      <w:r>
        <w:rPr>
          <w:sz w:val="24"/>
          <w:szCs w:val="24"/>
        </w:rPr>
        <w:t>Medsafe</w:t>
      </w:r>
      <w:proofErr w:type="spellEnd"/>
      <w:r>
        <w:rPr>
          <w:sz w:val="24"/>
          <w:szCs w:val="24"/>
        </w:rPr>
        <w:t xml:space="preserve"> will review all submissions and </w:t>
      </w:r>
      <w:r w:rsidR="00EC159B">
        <w:rPr>
          <w:sz w:val="24"/>
          <w:szCs w:val="24"/>
        </w:rPr>
        <w:t xml:space="preserve">produce a summary of submissions with responses from </w:t>
      </w:r>
      <w:proofErr w:type="spellStart"/>
      <w:r w:rsidR="00EC159B">
        <w:rPr>
          <w:sz w:val="24"/>
          <w:szCs w:val="24"/>
        </w:rPr>
        <w:t>Medsafe</w:t>
      </w:r>
      <w:proofErr w:type="spellEnd"/>
      <w:r w:rsidR="00EC159B">
        <w:rPr>
          <w:sz w:val="24"/>
          <w:szCs w:val="24"/>
        </w:rPr>
        <w:t xml:space="preserve"> to any concerns or suggestions. The submissions will inform any revisions to the proposal. </w:t>
      </w:r>
    </w:p>
    <w:p w14:paraId="0E529783" w14:textId="589BBAC7" w:rsidR="00EC159B" w:rsidRDefault="005F02FE">
      <w:pPr>
        <w:rPr>
          <w:sz w:val="24"/>
          <w:szCs w:val="24"/>
        </w:rPr>
      </w:pPr>
      <w:r>
        <w:rPr>
          <w:sz w:val="24"/>
          <w:szCs w:val="24"/>
        </w:rPr>
        <w:t>If changes to the Medicines Regulations 1984 are required, t</w:t>
      </w:r>
      <w:r w:rsidR="00EC159B">
        <w:rPr>
          <w:sz w:val="24"/>
          <w:szCs w:val="24"/>
        </w:rPr>
        <w:t>he final proposal will go to Cabinet for approval</w:t>
      </w:r>
      <w:r w:rsidR="00A812D3">
        <w:rPr>
          <w:sz w:val="24"/>
          <w:szCs w:val="24"/>
        </w:rPr>
        <w:t xml:space="preserve">. Any change to </w:t>
      </w:r>
      <w:proofErr w:type="spellStart"/>
      <w:r w:rsidR="00A812D3">
        <w:rPr>
          <w:sz w:val="24"/>
          <w:szCs w:val="24"/>
        </w:rPr>
        <w:t>Medsafe</w:t>
      </w:r>
      <w:proofErr w:type="spellEnd"/>
      <w:r w:rsidR="00A812D3">
        <w:rPr>
          <w:sz w:val="24"/>
          <w:szCs w:val="24"/>
        </w:rPr>
        <w:t xml:space="preserve"> processes will be updated post-</w:t>
      </w:r>
      <w:r w:rsidR="0009786F">
        <w:rPr>
          <w:sz w:val="24"/>
          <w:szCs w:val="24"/>
        </w:rPr>
        <w:t xml:space="preserve">Cabinet </w:t>
      </w:r>
      <w:r w:rsidR="00A812D3">
        <w:rPr>
          <w:sz w:val="24"/>
          <w:szCs w:val="24"/>
        </w:rPr>
        <w:t>approval but before the implementation date.</w:t>
      </w:r>
    </w:p>
    <w:p w14:paraId="277B67EC" w14:textId="1A6902B1" w:rsidR="00C4282A" w:rsidRDefault="00C4282A">
      <w:pPr>
        <w:rPr>
          <w:rFonts w:ascii="Arial" w:hAnsi="Arial" w:cs="Arial"/>
          <w:color w:val="000000"/>
        </w:rPr>
      </w:pPr>
      <w:r>
        <w:br w:type="page"/>
      </w:r>
    </w:p>
    <w:p w14:paraId="499908C2" w14:textId="014B1FB2" w:rsidR="00EC159B" w:rsidRPr="00B70B03" w:rsidRDefault="00B70B03" w:rsidP="00EC159B">
      <w:pPr>
        <w:pStyle w:val="Default"/>
        <w:spacing w:before="120"/>
        <w:mirrorIndents/>
        <w:rPr>
          <w:rFonts w:ascii="Segoe UI" w:hAnsi="Segoe UI" w:cs="Segoe UI"/>
          <w:b/>
          <w:color w:val="4472C4" w:themeColor="accent1"/>
          <w:sz w:val="36"/>
          <w:szCs w:val="36"/>
        </w:rPr>
      </w:pPr>
      <w:r w:rsidRPr="00B70B03">
        <w:rPr>
          <w:rFonts w:ascii="Segoe UI" w:hAnsi="Segoe UI" w:cs="Segoe UI"/>
          <w:b/>
          <w:color w:val="4472C4" w:themeColor="accent1"/>
          <w:sz w:val="36"/>
          <w:szCs w:val="36"/>
        </w:rPr>
        <w:lastRenderedPageBreak/>
        <w:t>How the Fees Review was undertaken</w:t>
      </w:r>
    </w:p>
    <w:p w14:paraId="768A4969" w14:textId="77777777" w:rsidR="0049235E" w:rsidRPr="001F6795" w:rsidRDefault="0049235E" w:rsidP="00EC159B">
      <w:pPr>
        <w:pStyle w:val="Default"/>
        <w:spacing w:before="120"/>
        <w:mirrorIndents/>
        <w:rPr>
          <w:rFonts w:asciiTheme="minorHAnsi" w:hAnsiTheme="minorHAnsi" w:cstheme="minorHAnsi"/>
        </w:rPr>
      </w:pPr>
    </w:p>
    <w:p w14:paraId="3A0BAA55" w14:textId="228E8842" w:rsidR="00B70B03" w:rsidRPr="001F6795" w:rsidRDefault="00947049" w:rsidP="006A2310">
      <w:pPr>
        <w:rPr>
          <w:sz w:val="24"/>
          <w:szCs w:val="24"/>
        </w:rPr>
      </w:pPr>
      <w:proofErr w:type="spellStart"/>
      <w:r w:rsidRPr="001F6795">
        <w:rPr>
          <w:sz w:val="24"/>
          <w:szCs w:val="24"/>
        </w:rPr>
        <w:t>Medsafe</w:t>
      </w:r>
      <w:proofErr w:type="spellEnd"/>
      <w:r w:rsidRPr="001F6795">
        <w:rPr>
          <w:sz w:val="24"/>
          <w:szCs w:val="24"/>
        </w:rPr>
        <w:t xml:space="preserve"> </w:t>
      </w:r>
      <w:r w:rsidR="00EC0BB3" w:rsidRPr="001F6795">
        <w:rPr>
          <w:sz w:val="24"/>
          <w:szCs w:val="24"/>
        </w:rPr>
        <w:t>reviewed</w:t>
      </w:r>
      <w:r w:rsidR="00AF27F4" w:rsidRPr="001F6795">
        <w:rPr>
          <w:sz w:val="24"/>
          <w:szCs w:val="24"/>
        </w:rPr>
        <w:t xml:space="preserve"> the</w:t>
      </w:r>
      <w:r w:rsidR="0049235E" w:rsidRPr="001F6795">
        <w:rPr>
          <w:sz w:val="24"/>
          <w:szCs w:val="24"/>
        </w:rPr>
        <w:t xml:space="preserve"> fees currently being charged</w:t>
      </w:r>
      <w:r w:rsidR="00AF27F4" w:rsidRPr="001F6795">
        <w:rPr>
          <w:sz w:val="24"/>
          <w:szCs w:val="24"/>
        </w:rPr>
        <w:t xml:space="preserve"> under the Medicines Regulations 1984</w:t>
      </w:r>
      <w:r w:rsidR="005F02FE" w:rsidRPr="001F6795">
        <w:rPr>
          <w:sz w:val="24"/>
          <w:szCs w:val="24"/>
        </w:rPr>
        <w:t>. Components considered included:</w:t>
      </w:r>
    </w:p>
    <w:p w14:paraId="7B911711" w14:textId="510E0FF0" w:rsidR="005F02FE" w:rsidRPr="001F6795" w:rsidRDefault="005F02FE" w:rsidP="005F02FE">
      <w:pPr>
        <w:pStyle w:val="ListParagraph"/>
        <w:numPr>
          <w:ilvl w:val="0"/>
          <w:numId w:val="34"/>
        </w:numPr>
        <w:rPr>
          <w:sz w:val="24"/>
          <w:szCs w:val="24"/>
        </w:rPr>
      </w:pPr>
      <w:r w:rsidRPr="001F6795">
        <w:rPr>
          <w:sz w:val="24"/>
          <w:szCs w:val="24"/>
        </w:rPr>
        <w:t>application volumes and types</w:t>
      </w:r>
    </w:p>
    <w:p w14:paraId="3649DB7A" w14:textId="37E50A3F" w:rsidR="005F02FE" w:rsidRPr="001F6795" w:rsidRDefault="005F02FE" w:rsidP="005F02FE">
      <w:pPr>
        <w:pStyle w:val="ListParagraph"/>
        <w:numPr>
          <w:ilvl w:val="0"/>
          <w:numId w:val="34"/>
        </w:numPr>
        <w:rPr>
          <w:sz w:val="24"/>
          <w:szCs w:val="24"/>
        </w:rPr>
      </w:pPr>
      <w:r w:rsidRPr="001F6795">
        <w:rPr>
          <w:sz w:val="24"/>
          <w:szCs w:val="24"/>
        </w:rPr>
        <w:t xml:space="preserve">forecast </w:t>
      </w:r>
      <w:r w:rsidR="00DF0BF6" w:rsidRPr="001F6795">
        <w:rPr>
          <w:sz w:val="24"/>
          <w:szCs w:val="24"/>
        </w:rPr>
        <w:t>revenue and forecast expenditure</w:t>
      </w:r>
    </w:p>
    <w:p w14:paraId="0B86023E" w14:textId="77777777" w:rsidR="00EC0E34" w:rsidRPr="001F6795" w:rsidRDefault="00EC0E34" w:rsidP="00EC0E34">
      <w:pPr>
        <w:pStyle w:val="ListParagraph"/>
        <w:numPr>
          <w:ilvl w:val="0"/>
          <w:numId w:val="34"/>
        </w:numPr>
        <w:rPr>
          <w:sz w:val="24"/>
          <w:szCs w:val="24"/>
        </w:rPr>
      </w:pPr>
      <w:r w:rsidRPr="001F6795">
        <w:rPr>
          <w:sz w:val="24"/>
          <w:szCs w:val="24"/>
        </w:rPr>
        <w:t>assumptions applied in the cost model</w:t>
      </w:r>
    </w:p>
    <w:p w14:paraId="05921938" w14:textId="090FBE9E" w:rsidR="00170594" w:rsidRPr="001F6795" w:rsidRDefault="00DF0BF6" w:rsidP="005F02FE">
      <w:pPr>
        <w:pStyle w:val="ListParagraph"/>
        <w:numPr>
          <w:ilvl w:val="0"/>
          <w:numId w:val="34"/>
        </w:numPr>
        <w:rPr>
          <w:sz w:val="24"/>
          <w:szCs w:val="24"/>
        </w:rPr>
      </w:pPr>
      <w:r w:rsidRPr="001F6795">
        <w:rPr>
          <w:sz w:val="24"/>
          <w:szCs w:val="24"/>
        </w:rPr>
        <w:t>whether cost recovery is</w:t>
      </w:r>
      <w:r w:rsidR="00170594" w:rsidRPr="001F6795">
        <w:rPr>
          <w:sz w:val="24"/>
          <w:szCs w:val="24"/>
        </w:rPr>
        <w:t xml:space="preserve"> </w:t>
      </w:r>
      <w:r w:rsidRPr="001F6795">
        <w:rPr>
          <w:sz w:val="24"/>
          <w:szCs w:val="24"/>
        </w:rPr>
        <w:t>being</w:t>
      </w:r>
      <w:r w:rsidR="00170594" w:rsidRPr="001F6795">
        <w:rPr>
          <w:sz w:val="24"/>
          <w:szCs w:val="24"/>
        </w:rPr>
        <w:t xml:space="preserve"> achieved</w:t>
      </w:r>
    </w:p>
    <w:p w14:paraId="686EF192" w14:textId="22B8E3D9" w:rsidR="00170594" w:rsidRPr="001F6795" w:rsidRDefault="00170594" w:rsidP="005F02FE">
      <w:pPr>
        <w:pStyle w:val="ListParagraph"/>
        <w:numPr>
          <w:ilvl w:val="0"/>
          <w:numId w:val="34"/>
        </w:numPr>
        <w:rPr>
          <w:sz w:val="24"/>
          <w:szCs w:val="24"/>
        </w:rPr>
      </w:pPr>
      <w:r w:rsidRPr="001F6795">
        <w:rPr>
          <w:sz w:val="24"/>
          <w:szCs w:val="24"/>
        </w:rPr>
        <w:t xml:space="preserve">future </w:t>
      </w:r>
      <w:r w:rsidR="00DF0BF6" w:rsidRPr="001F6795">
        <w:rPr>
          <w:sz w:val="24"/>
          <w:szCs w:val="24"/>
        </w:rPr>
        <w:t>investment to improve service</w:t>
      </w:r>
    </w:p>
    <w:p w14:paraId="1DD0C9ED" w14:textId="7727A5AF" w:rsidR="00B70B03" w:rsidRPr="009C26E6" w:rsidRDefault="00B70B03" w:rsidP="00017C9A">
      <w:pPr>
        <w:spacing w:after="120"/>
        <w:rPr>
          <w:b/>
          <w:color w:val="4472C4" w:themeColor="accent1"/>
          <w:sz w:val="32"/>
          <w:szCs w:val="32"/>
        </w:rPr>
      </w:pPr>
      <w:r w:rsidRPr="009C26E6">
        <w:rPr>
          <w:b/>
          <w:color w:val="4472C4" w:themeColor="accent1"/>
          <w:sz w:val="32"/>
          <w:szCs w:val="32"/>
        </w:rPr>
        <w:t>Cost model</w:t>
      </w:r>
    </w:p>
    <w:p w14:paraId="65BFFA52" w14:textId="0B60ECE8" w:rsidR="00B70B03" w:rsidRPr="006A2310" w:rsidRDefault="00B70B03" w:rsidP="006A2310">
      <w:pPr>
        <w:rPr>
          <w:sz w:val="24"/>
          <w:szCs w:val="24"/>
        </w:rPr>
      </w:pPr>
      <w:proofErr w:type="spellStart"/>
      <w:r w:rsidRPr="006A2310">
        <w:rPr>
          <w:sz w:val="24"/>
          <w:szCs w:val="24"/>
        </w:rPr>
        <w:t>Medsafe</w:t>
      </w:r>
      <w:proofErr w:type="spellEnd"/>
      <w:r w:rsidRPr="006A2310">
        <w:rPr>
          <w:sz w:val="24"/>
          <w:szCs w:val="24"/>
        </w:rPr>
        <w:t xml:space="preserve"> uses a standard </w:t>
      </w:r>
      <w:r w:rsidR="00DD4842">
        <w:rPr>
          <w:sz w:val="24"/>
          <w:szCs w:val="24"/>
        </w:rPr>
        <w:t xml:space="preserve">cost </w:t>
      </w:r>
      <w:r w:rsidRPr="006A2310">
        <w:rPr>
          <w:sz w:val="24"/>
          <w:szCs w:val="24"/>
        </w:rPr>
        <w:t xml:space="preserve">model when undertaking a fees review. </w:t>
      </w:r>
    </w:p>
    <w:p w14:paraId="133EE099" w14:textId="77777777" w:rsidR="00263445" w:rsidRPr="006A2310" w:rsidRDefault="0022156E" w:rsidP="006A2310">
      <w:pPr>
        <w:rPr>
          <w:sz w:val="24"/>
          <w:szCs w:val="24"/>
        </w:rPr>
      </w:pPr>
      <w:bookmarkStart w:id="2" w:name="_Hlk53051945"/>
      <w:r w:rsidRPr="006A2310">
        <w:rPr>
          <w:sz w:val="24"/>
          <w:szCs w:val="24"/>
        </w:rPr>
        <w:t xml:space="preserve">The cost model is based on: </w:t>
      </w:r>
    </w:p>
    <w:p w14:paraId="67CCD7D2" w14:textId="5EC7D029" w:rsidR="00263445" w:rsidRPr="00B70B03" w:rsidRDefault="0022156E" w:rsidP="00017C9A">
      <w:pPr>
        <w:pStyle w:val="Bulletlistlevel2"/>
      </w:pPr>
      <w:r w:rsidRPr="00B70B03">
        <w:t xml:space="preserve">estimating the annual expenditure requirement for </w:t>
      </w:r>
      <w:proofErr w:type="spellStart"/>
      <w:r w:rsidRPr="00B70B03">
        <w:t>Medsafe</w:t>
      </w:r>
      <w:proofErr w:type="spellEnd"/>
      <w:r w:rsidRPr="00B70B03">
        <w:t xml:space="preserve"> in </w:t>
      </w:r>
      <w:r w:rsidR="00455BF9">
        <w:t>2021</w:t>
      </w:r>
      <w:r w:rsidR="00616049">
        <w:t xml:space="preserve">/22 and allowing for annual growth over a </w:t>
      </w:r>
      <w:r w:rsidR="00BE3C17">
        <w:t>three-year</w:t>
      </w:r>
      <w:r w:rsidR="00616049">
        <w:t xml:space="preserve"> period</w:t>
      </w:r>
      <w:r w:rsidR="00873DE4" w:rsidRPr="00B70B03">
        <w:t xml:space="preserve"> </w:t>
      </w:r>
    </w:p>
    <w:p w14:paraId="322C598F" w14:textId="1745D483" w:rsidR="00263445" w:rsidRPr="00B70B03" w:rsidRDefault="0022156E" w:rsidP="00017C9A">
      <w:pPr>
        <w:pStyle w:val="Bulletlistlevel2"/>
      </w:pPr>
      <w:r w:rsidRPr="00B70B03">
        <w:t>allocating these costs to outputs (either Crown or industry funded) using an activity</w:t>
      </w:r>
      <w:r w:rsidR="006924CA">
        <w:t>-</w:t>
      </w:r>
      <w:r w:rsidRPr="00B70B03">
        <w:t xml:space="preserve">based costing allocation </w:t>
      </w:r>
    </w:p>
    <w:p w14:paraId="134BAA1D" w14:textId="21D4D18A" w:rsidR="00263445" w:rsidRPr="00B70B03" w:rsidRDefault="0022156E" w:rsidP="00017C9A">
      <w:pPr>
        <w:pStyle w:val="Bulletlistlevel2"/>
      </w:pPr>
      <w:r w:rsidRPr="00B70B03">
        <w:t xml:space="preserve">estimating the volume of applications, based on an average from the previous five years </w:t>
      </w:r>
    </w:p>
    <w:p w14:paraId="0B11C954" w14:textId="0BF4FB79" w:rsidR="00263445" w:rsidRPr="00B70B03" w:rsidRDefault="0022156E" w:rsidP="00017C9A">
      <w:pPr>
        <w:pStyle w:val="Bulletlistlevel2"/>
      </w:pPr>
      <w:r w:rsidRPr="00B70B03">
        <w:t xml:space="preserve">deriving individual fees for each chargeable output by dividing the estimated cost by estimated volumes. </w:t>
      </w:r>
    </w:p>
    <w:p w14:paraId="0CF33AE2" w14:textId="77777777" w:rsidR="00017C9A" w:rsidRDefault="00017C9A" w:rsidP="00017C9A">
      <w:pPr>
        <w:spacing w:after="120" w:line="240" w:lineRule="auto"/>
        <w:rPr>
          <w:rFonts w:cstheme="minorHAnsi"/>
          <w:sz w:val="24"/>
          <w:szCs w:val="24"/>
        </w:rPr>
      </w:pPr>
    </w:p>
    <w:p w14:paraId="004EC406" w14:textId="26CBA0DE" w:rsidR="00263445" w:rsidRDefault="0022156E">
      <w:pPr>
        <w:rPr>
          <w:rFonts w:cstheme="minorHAnsi"/>
          <w:sz w:val="24"/>
          <w:szCs w:val="24"/>
        </w:rPr>
      </w:pPr>
      <w:r w:rsidRPr="00B70B03">
        <w:rPr>
          <w:rFonts w:cstheme="minorHAnsi"/>
          <w:sz w:val="24"/>
          <w:szCs w:val="24"/>
        </w:rPr>
        <w:t>Fees are then scaled within outputs based on the estimated</w:t>
      </w:r>
      <w:r w:rsidR="00D147E6">
        <w:rPr>
          <w:rFonts w:cstheme="minorHAnsi"/>
          <w:sz w:val="24"/>
          <w:szCs w:val="24"/>
        </w:rPr>
        <w:t xml:space="preserve"> </w:t>
      </w:r>
      <w:proofErr w:type="spellStart"/>
      <w:r w:rsidR="00D147E6">
        <w:rPr>
          <w:rFonts w:cstheme="minorHAnsi"/>
          <w:sz w:val="24"/>
          <w:szCs w:val="24"/>
        </w:rPr>
        <w:t>Medsafe</w:t>
      </w:r>
      <w:proofErr w:type="spellEnd"/>
      <w:r w:rsidRPr="00B70B03">
        <w:rPr>
          <w:rFonts w:cstheme="minorHAnsi"/>
          <w:sz w:val="24"/>
          <w:szCs w:val="24"/>
        </w:rPr>
        <w:t xml:space="preserve"> effort involved. For example, an intermediate-risk new medicine application (NMA) is costed at </w:t>
      </w:r>
      <w:r w:rsidR="00B70B03" w:rsidRPr="00B70B03">
        <w:rPr>
          <w:rFonts w:cstheme="minorHAnsi"/>
          <w:sz w:val="24"/>
          <w:szCs w:val="24"/>
        </w:rPr>
        <w:t>5</w:t>
      </w:r>
      <w:r w:rsidRPr="00B70B03">
        <w:rPr>
          <w:rFonts w:cstheme="minorHAnsi"/>
          <w:sz w:val="24"/>
          <w:szCs w:val="24"/>
        </w:rPr>
        <w:t xml:space="preserve">0% of </w:t>
      </w:r>
      <w:proofErr w:type="gramStart"/>
      <w:r w:rsidR="00B70B03" w:rsidRPr="00B70B03">
        <w:rPr>
          <w:rFonts w:cstheme="minorHAnsi"/>
          <w:sz w:val="24"/>
          <w:szCs w:val="24"/>
        </w:rPr>
        <w:t>a</w:t>
      </w:r>
      <w:proofErr w:type="gramEnd"/>
      <w:r w:rsidR="00B70B03" w:rsidRPr="00B70B03">
        <w:rPr>
          <w:rFonts w:cstheme="minorHAnsi"/>
          <w:sz w:val="24"/>
          <w:szCs w:val="24"/>
        </w:rPr>
        <w:t xml:space="preserve"> NCE NMA</w:t>
      </w:r>
      <w:r w:rsidRPr="00B70B03">
        <w:rPr>
          <w:rFonts w:cstheme="minorHAnsi"/>
          <w:sz w:val="24"/>
          <w:szCs w:val="24"/>
        </w:rPr>
        <w:t xml:space="preserve">, and a lower-risk NMA is costed at </w:t>
      </w:r>
      <w:r w:rsidRPr="00F11114">
        <w:rPr>
          <w:rFonts w:cstheme="minorHAnsi"/>
          <w:sz w:val="24"/>
          <w:szCs w:val="24"/>
        </w:rPr>
        <w:t>10</w:t>
      </w:r>
      <w:r w:rsidRPr="00B70B03">
        <w:rPr>
          <w:rFonts w:cstheme="minorHAnsi"/>
          <w:sz w:val="24"/>
          <w:szCs w:val="24"/>
        </w:rPr>
        <w:t xml:space="preserve">% of a </w:t>
      </w:r>
      <w:r w:rsidR="00B70B03" w:rsidRPr="00B70B03">
        <w:rPr>
          <w:rFonts w:cstheme="minorHAnsi"/>
          <w:sz w:val="24"/>
          <w:szCs w:val="24"/>
        </w:rPr>
        <w:t xml:space="preserve">NCE </w:t>
      </w:r>
      <w:r w:rsidRPr="00B70B03">
        <w:rPr>
          <w:rFonts w:cstheme="minorHAnsi"/>
          <w:sz w:val="24"/>
          <w:szCs w:val="24"/>
        </w:rPr>
        <w:t xml:space="preserve">NMA. The effort involved for an abridged application process has been estimated at 50% of </w:t>
      </w:r>
      <w:r w:rsidR="00DE2EA6">
        <w:rPr>
          <w:rFonts w:cstheme="minorHAnsi"/>
          <w:sz w:val="24"/>
          <w:szCs w:val="24"/>
        </w:rPr>
        <w:t xml:space="preserve">the relevant </w:t>
      </w:r>
      <w:r w:rsidRPr="00B70B03">
        <w:rPr>
          <w:rFonts w:cstheme="minorHAnsi"/>
          <w:sz w:val="24"/>
          <w:szCs w:val="24"/>
        </w:rPr>
        <w:t xml:space="preserve">full process </w:t>
      </w:r>
      <w:r w:rsidR="00F11114">
        <w:rPr>
          <w:rFonts w:cstheme="minorHAnsi"/>
          <w:sz w:val="24"/>
          <w:szCs w:val="24"/>
        </w:rPr>
        <w:t>for</w:t>
      </w:r>
      <w:r w:rsidRPr="00B70B03">
        <w:rPr>
          <w:rFonts w:cstheme="minorHAnsi"/>
          <w:sz w:val="24"/>
          <w:szCs w:val="24"/>
        </w:rPr>
        <w:t xml:space="preserve"> the </w:t>
      </w:r>
      <w:r w:rsidR="00B70B03" w:rsidRPr="00B70B03">
        <w:rPr>
          <w:rFonts w:cstheme="minorHAnsi"/>
          <w:sz w:val="24"/>
          <w:szCs w:val="24"/>
        </w:rPr>
        <w:t>NCE</w:t>
      </w:r>
      <w:r w:rsidRPr="00B70B03">
        <w:rPr>
          <w:rFonts w:cstheme="minorHAnsi"/>
          <w:sz w:val="24"/>
          <w:szCs w:val="24"/>
        </w:rPr>
        <w:t xml:space="preserve"> NMA</w:t>
      </w:r>
      <w:r w:rsidR="00F11114">
        <w:rPr>
          <w:rFonts w:cstheme="minorHAnsi"/>
          <w:sz w:val="24"/>
          <w:szCs w:val="24"/>
        </w:rPr>
        <w:t>, other high risk NMA</w:t>
      </w:r>
      <w:r w:rsidRPr="00B70B03">
        <w:rPr>
          <w:rFonts w:cstheme="minorHAnsi"/>
          <w:sz w:val="24"/>
          <w:szCs w:val="24"/>
        </w:rPr>
        <w:t xml:space="preserve"> and the intermediate-risk NMA. </w:t>
      </w:r>
    </w:p>
    <w:p w14:paraId="0C6CAFFA" w14:textId="72EB1424" w:rsidR="00F04593" w:rsidRPr="00B70B03" w:rsidRDefault="00F04593" w:rsidP="00F04593">
      <w:pPr>
        <w:rPr>
          <w:rFonts w:cstheme="minorHAnsi"/>
          <w:sz w:val="24"/>
          <w:szCs w:val="24"/>
        </w:rPr>
      </w:pPr>
      <w:r w:rsidRPr="00B70B03">
        <w:rPr>
          <w:rFonts w:cstheme="minorHAnsi"/>
          <w:sz w:val="24"/>
          <w:szCs w:val="24"/>
        </w:rPr>
        <w:t xml:space="preserve">The cost model uses the methodology used in the 2008 </w:t>
      </w:r>
      <w:r>
        <w:rPr>
          <w:rFonts w:cstheme="minorHAnsi"/>
          <w:sz w:val="24"/>
          <w:szCs w:val="24"/>
        </w:rPr>
        <w:t xml:space="preserve">and 2017 </w:t>
      </w:r>
      <w:r w:rsidRPr="00B70B03">
        <w:rPr>
          <w:rFonts w:cstheme="minorHAnsi"/>
          <w:sz w:val="24"/>
          <w:szCs w:val="24"/>
        </w:rPr>
        <w:t xml:space="preserve">review. The cost model used in 2008 was independently reviewed at the time by Deloitte. </w:t>
      </w:r>
      <w:r w:rsidR="001F6795">
        <w:rPr>
          <w:rFonts w:cstheme="minorHAnsi"/>
          <w:sz w:val="24"/>
          <w:szCs w:val="24"/>
        </w:rPr>
        <w:t xml:space="preserve">For the 2020 fees review, the cost model was reviewed by </w:t>
      </w:r>
      <w:proofErr w:type="spellStart"/>
      <w:r w:rsidR="001F6795">
        <w:rPr>
          <w:rFonts w:cstheme="minorHAnsi"/>
          <w:sz w:val="24"/>
          <w:szCs w:val="24"/>
        </w:rPr>
        <w:t>PriceWaterhouseCoopers</w:t>
      </w:r>
      <w:proofErr w:type="spellEnd"/>
      <w:r w:rsidR="00616049">
        <w:rPr>
          <w:rFonts w:cstheme="minorHAnsi"/>
          <w:sz w:val="24"/>
          <w:szCs w:val="24"/>
        </w:rPr>
        <w:t xml:space="preserve"> (PwC)</w:t>
      </w:r>
      <w:r w:rsidR="00900C1B">
        <w:rPr>
          <w:rFonts w:cstheme="minorHAnsi"/>
          <w:sz w:val="24"/>
          <w:szCs w:val="24"/>
        </w:rPr>
        <w:t xml:space="preserve"> (Appendix </w:t>
      </w:r>
      <w:r w:rsidR="000F2CDC">
        <w:rPr>
          <w:rFonts w:cstheme="minorHAnsi"/>
          <w:sz w:val="24"/>
          <w:szCs w:val="24"/>
        </w:rPr>
        <w:t>A</w:t>
      </w:r>
      <w:r w:rsidR="00900C1B">
        <w:rPr>
          <w:rFonts w:cstheme="minorHAnsi"/>
          <w:sz w:val="24"/>
          <w:szCs w:val="24"/>
        </w:rPr>
        <w:t>)</w:t>
      </w:r>
      <w:r w:rsidR="001F6795">
        <w:rPr>
          <w:rFonts w:cstheme="minorHAnsi"/>
          <w:sz w:val="24"/>
          <w:szCs w:val="24"/>
        </w:rPr>
        <w:t>.</w:t>
      </w:r>
      <w:r w:rsidR="000F2CDC">
        <w:rPr>
          <w:rFonts w:cstheme="minorHAnsi"/>
          <w:sz w:val="24"/>
          <w:szCs w:val="24"/>
        </w:rPr>
        <w:t xml:space="preserve"> </w:t>
      </w:r>
      <w:r w:rsidR="001F6795">
        <w:rPr>
          <w:rFonts w:cstheme="minorHAnsi"/>
          <w:sz w:val="24"/>
          <w:szCs w:val="24"/>
        </w:rPr>
        <w:t>At e</w:t>
      </w:r>
      <w:r>
        <w:rPr>
          <w:rFonts w:cstheme="minorHAnsi"/>
          <w:sz w:val="24"/>
          <w:szCs w:val="24"/>
        </w:rPr>
        <w:t xml:space="preserve">ach fee review the cost model is updated in response to changes in the </w:t>
      </w:r>
      <w:r w:rsidR="00616049">
        <w:rPr>
          <w:rFonts w:cstheme="minorHAnsi"/>
          <w:sz w:val="24"/>
          <w:szCs w:val="24"/>
        </w:rPr>
        <w:t xml:space="preserve">application volumes in the </w:t>
      </w:r>
      <w:r>
        <w:rPr>
          <w:rFonts w:cstheme="minorHAnsi"/>
          <w:sz w:val="24"/>
          <w:szCs w:val="24"/>
        </w:rPr>
        <w:t xml:space="preserve">previous 5 years and forecast changes over the next 3 - 5 years. </w:t>
      </w:r>
    </w:p>
    <w:p w14:paraId="10E1AEA7" w14:textId="77777777" w:rsidR="00263445" w:rsidRPr="00017C9A" w:rsidRDefault="0022156E">
      <w:pPr>
        <w:rPr>
          <w:rFonts w:cstheme="minorHAnsi"/>
          <w:b/>
          <w:color w:val="4472C4" w:themeColor="accent1"/>
          <w:sz w:val="24"/>
          <w:szCs w:val="24"/>
        </w:rPr>
      </w:pPr>
      <w:r w:rsidRPr="00017C9A">
        <w:rPr>
          <w:rFonts w:cstheme="minorHAnsi"/>
          <w:b/>
          <w:color w:val="4472C4" w:themeColor="accent1"/>
          <w:sz w:val="24"/>
          <w:szCs w:val="24"/>
        </w:rPr>
        <w:t xml:space="preserve">Basis of costings and estimated operating budget </w:t>
      </w:r>
    </w:p>
    <w:p w14:paraId="3A1D52D5" w14:textId="1EED61DC" w:rsidR="00263445" w:rsidRDefault="0022156E">
      <w:pPr>
        <w:rPr>
          <w:rFonts w:cstheme="minorHAnsi"/>
          <w:sz w:val="24"/>
          <w:szCs w:val="24"/>
        </w:rPr>
      </w:pPr>
      <w:r w:rsidRPr="00B70B03">
        <w:rPr>
          <w:rFonts w:cstheme="minorHAnsi"/>
          <w:sz w:val="24"/>
          <w:szCs w:val="24"/>
        </w:rPr>
        <w:t xml:space="preserve">In delivering the services that are to be cost recovered from industry under the Medicines Act, </w:t>
      </w:r>
      <w:proofErr w:type="spellStart"/>
      <w:r w:rsidRPr="00B70B03">
        <w:rPr>
          <w:rFonts w:cstheme="minorHAnsi"/>
          <w:sz w:val="24"/>
          <w:szCs w:val="24"/>
        </w:rPr>
        <w:t>Medsafe</w:t>
      </w:r>
      <w:proofErr w:type="spellEnd"/>
      <w:r w:rsidRPr="00B70B03">
        <w:rPr>
          <w:rFonts w:cstheme="minorHAnsi"/>
          <w:sz w:val="24"/>
          <w:szCs w:val="24"/>
        </w:rPr>
        <w:t xml:space="preserve"> incurs direct and indirect costs. Direct costs include personnel and operating costs. Indirect costs include Ministry of Health corporate overhead costs, occupancy costs and depreciation. </w:t>
      </w:r>
    </w:p>
    <w:p w14:paraId="13CFFCB5" w14:textId="77777777" w:rsidR="00B36E36" w:rsidRPr="00B70B03" w:rsidRDefault="00B36E36">
      <w:pPr>
        <w:rPr>
          <w:rFonts w:cstheme="minorHAnsi"/>
          <w:sz w:val="24"/>
          <w:szCs w:val="24"/>
        </w:rPr>
      </w:pPr>
    </w:p>
    <w:p w14:paraId="5EC2F30A" w14:textId="77777777" w:rsidR="00263445" w:rsidRPr="00017C9A" w:rsidRDefault="0022156E">
      <w:pPr>
        <w:rPr>
          <w:rFonts w:cstheme="minorHAnsi"/>
          <w:b/>
          <w:color w:val="4472C4" w:themeColor="accent1"/>
          <w:sz w:val="24"/>
          <w:szCs w:val="24"/>
        </w:rPr>
      </w:pPr>
      <w:proofErr w:type="spellStart"/>
      <w:r w:rsidRPr="00017C9A">
        <w:rPr>
          <w:rFonts w:cstheme="minorHAnsi"/>
          <w:b/>
          <w:color w:val="4472C4" w:themeColor="accent1"/>
          <w:sz w:val="24"/>
          <w:szCs w:val="24"/>
        </w:rPr>
        <w:lastRenderedPageBreak/>
        <w:t>Medsafe</w:t>
      </w:r>
      <w:proofErr w:type="spellEnd"/>
      <w:r w:rsidRPr="00017C9A">
        <w:rPr>
          <w:rFonts w:cstheme="minorHAnsi"/>
          <w:b/>
          <w:color w:val="4472C4" w:themeColor="accent1"/>
          <w:sz w:val="24"/>
          <w:szCs w:val="24"/>
        </w:rPr>
        <w:t xml:space="preserve"> cost estimates </w:t>
      </w:r>
    </w:p>
    <w:p w14:paraId="31A717C5" w14:textId="77777777" w:rsidR="00263445" w:rsidRPr="00B70B03" w:rsidRDefault="0022156E">
      <w:pPr>
        <w:rPr>
          <w:rFonts w:cstheme="minorHAnsi"/>
          <w:sz w:val="24"/>
          <w:szCs w:val="24"/>
        </w:rPr>
      </w:pPr>
      <w:r w:rsidRPr="00B70B03">
        <w:rPr>
          <w:rFonts w:cstheme="minorHAnsi"/>
          <w:sz w:val="24"/>
          <w:szCs w:val="24"/>
        </w:rPr>
        <w:t xml:space="preserve">Direct and indirect costs are allocated to </w:t>
      </w:r>
      <w:proofErr w:type="spellStart"/>
      <w:r w:rsidRPr="00B70B03">
        <w:rPr>
          <w:rFonts w:cstheme="minorHAnsi"/>
          <w:sz w:val="24"/>
          <w:szCs w:val="24"/>
        </w:rPr>
        <w:t>Medsafe’s</w:t>
      </w:r>
      <w:proofErr w:type="spellEnd"/>
      <w:r w:rsidRPr="00B70B03">
        <w:rPr>
          <w:rFonts w:cstheme="minorHAnsi"/>
          <w:sz w:val="24"/>
          <w:szCs w:val="24"/>
        </w:rPr>
        <w:t xml:space="preserve"> outputs each year and form part of the cost of producing the outputs. The steps undertaken by </w:t>
      </w:r>
      <w:proofErr w:type="spellStart"/>
      <w:r w:rsidRPr="00B70B03">
        <w:rPr>
          <w:rFonts w:cstheme="minorHAnsi"/>
          <w:sz w:val="24"/>
          <w:szCs w:val="24"/>
        </w:rPr>
        <w:t>Medsafe</w:t>
      </w:r>
      <w:proofErr w:type="spellEnd"/>
      <w:r w:rsidRPr="00B70B03">
        <w:rPr>
          <w:rFonts w:cstheme="minorHAnsi"/>
          <w:sz w:val="24"/>
          <w:szCs w:val="24"/>
        </w:rPr>
        <w:t xml:space="preserve"> in calculating the costs of the services provided to industry are as follows: </w:t>
      </w:r>
    </w:p>
    <w:p w14:paraId="417F9F37" w14:textId="77777777" w:rsidR="00263445" w:rsidRPr="00B70B03" w:rsidRDefault="0022156E" w:rsidP="00B70B03">
      <w:pPr>
        <w:ind w:left="720"/>
        <w:rPr>
          <w:rFonts w:cstheme="minorHAnsi"/>
          <w:sz w:val="24"/>
          <w:szCs w:val="24"/>
        </w:rPr>
      </w:pPr>
      <w:r w:rsidRPr="00B70B03">
        <w:rPr>
          <w:rFonts w:cstheme="minorHAnsi"/>
          <w:sz w:val="24"/>
          <w:szCs w:val="24"/>
        </w:rPr>
        <w:t xml:space="preserve">• estimate the time spent by each staff member on each of </w:t>
      </w:r>
      <w:proofErr w:type="spellStart"/>
      <w:r w:rsidRPr="00B70B03">
        <w:rPr>
          <w:rFonts w:cstheme="minorHAnsi"/>
          <w:sz w:val="24"/>
          <w:szCs w:val="24"/>
        </w:rPr>
        <w:t>Medsafe’s</w:t>
      </w:r>
      <w:proofErr w:type="spellEnd"/>
      <w:r w:rsidRPr="00B70B03">
        <w:rPr>
          <w:rFonts w:cstheme="minorHAnsi"/>
          <w:sz w:val="24"/>
          <w:szCs w:val="24"/>
        </w:rPr>
        <w:t xml:space="preserve"> outputs on a full-time equivalent (FTE) basis, and allocate personnel costs to each output </w:t>
      </w:r>
    </w:p>
    <w:p w14:paraId="5BE7642A" w14:textId="77777777" w:rsidR="00263445" w:rsidRPr="00B70B03" w:rsidRDefault="0022156E" w:rsidP="00B70B03">
      <w:pPr>
        <w:ind w:left="720"/>
        <w:rPr>
          <w:rFonts w:cstheme="minorHAnsi"/>
          <w:sz w:val="24"/>
          <w:szCs w:val="24"/>
        </w:rPr>
      </w:pPr>
      <w:r w:rsidRPr="00B70B03">
        <w:rPr>
          <w:rFonts w:cstheme="minorHAnsi"/>
          <w:sz w:val="24"/>
          <w:szCs w:val="24"/>
        </w:rPr>
        <w:t xml:space="preserve">• allocate direct operating costs to relevant outputs </w:t>
      </w:r>
    </w:p>
    <w:p w14:paraId="634C3702" w14:textId="77777777" w:rsidR="00263445" w:rsidRPr="00B70B03" w:rsidRDefault="0022156E" w:rsidP="00B70B03">
      <w:pPr>
        <w:ind w:left="720"/>
        <w:rPr>
          <w:rFonts w:cstheme="minorHAnsi"/>
          <w:sz w:val="24"/>
          <w:szCs w:val="24"/>
        </w:rPr>
      </w:pPr>
      <w:r w:rsidRPr="00B70B03">
        <w:rPr>
          <w:rFonts w:cstheme="minorHAnsi"/>
          <w:sz w:val="24"/>
          <w:szCs w:val="24"/>
        </w:rPr>
        <w:t xml:space="preserve">• allocate indirect costs to outputs based on the FTE percentage of each output. </w:t>
      </w:r>
    </w:p>
    <w:p w14:paraId="17CE6DB8" w14:textId="5205C91D" w:rsidR="0022156E" w:rsidRDefault="0022156E" w:rsidP="00455BF9">
      <w:pPr>
        <w:rPr>
          <w:rFonts w:cstheme="minorHAnsi"/>
          <w:sz w:val="24"/>
          <w:szCs w:val="24"/>
        </w:rPr>
      </w:pPr>
      <w:r w:rsidRPr="00B70B03">
        <w:rPr>
          <w:rFonts w:cstheme="minorHAnsi"/>
          <w:sz w:val="24"/>
          <w:szCs w:val="24"/>
        </w:rPr>
        <w:t>Within each output, volumes of each type of fee have been estimated based on five-year trends</w:t>
      </w:r>
      <w:r w:rsidR="00F15221">
        <w:rPr>
          <w:rFonts w:cstheme="minorHAnsi"/>
          <w:sz w:val="24"/>
          <w:szCs w:val="24"/>
        </w:rPr>
        <w:t xml:space="preserve"> </w:t>
      </w:r>
      <w:r w:rsidR="00F15221" w:rsidRPr="00752448">
        <w:rPr>
          <w:rFonts w:cstheme="minorHAnsi"/>
          <w:sz w:val="24"/>
          <w:szCs w:val="24"/>
        </w:rPr>
        <w:t>(</w:t>
      </w:r>
      <w:r w:rsidR="00900C1B">
        <w:rPr>
          <w:rFonts w:cstheme="minorHAnsi"/>
          <w:sz w:val="24"/>
          <w:szCs w:val="24"/>
        </w:rPr>
        <w:t>with some exceptions s</w:t>
      </w:r>
      <w:r w:rsidR="00F15221" w:rsidRPr="00752448">
        <w:rPr>
          <w:rFonts w:cstheme="minorHAnsi"/>
          <w:sz w:val="24"/>
          <w:szCs w:val="24"/>
        </w:rPr>
        <w:t xml:space="preserve">ee </w:t>
      </w:r>
      <w:r w:rsidR="00F15221" w:rsidRPr="000F2CDC">
        <w:rPr>
          <w:rFonts w:cstheme="minorHAnsi"/>
          <w:sz w:val="24"/>
          <w:szCs w:val="24"/>
        </w:rPr>
        <w:t xml:space="preserve">Appendix </w:t>
      </w:r>
      <w:r w:rsidR="000F2CDC">
        <w:rPr>
          <w:rFonts w:cstheme="minorHAnsi"/>
          <w:sz w:val="24"/>
          <w:szCs w:val="24"/>
        </w:rPr>
        <w:t>B</w:t>
      </w:r>
      <w:r w:rsidR="00900C1B">
        <w:rPr>
          <w:rFonts w:cstheme="minorHAnsi"/>
          <w:sz w:val="24"/>
          <w:szCs w:val="24"/>
        </w:rPr>
        <w:t xml:space="preserve"> </w:t>
      </w:r>
      <w:r w:rsidR="00752448">
        <w:rPr>
          <w:rFonts w:cstheme="minorHAnsi"/>
          <w:sz w:val="24"/>
          <w:szCs w:val="24"/>
        </w:rPr>
        <w:t>for volumes used</w:t>
      </w:r>
      <w:r w:rsidR="00F15221">
        <w:rPr>
          <w:rFonts w:cstheme="minorHAnsi"/>
          <w:sz w:val="24"/>
          <w:szCs w:val="24"/>
        </w:rPr>
        <w:t>)</w:t>
      </w:r>
      <w:r w:rsidRPr="00B70B03">
        <w:rPr>
          <w:rFonts w:cstheme="minorHAnsi"/>
          <w:sz w:val="24"/>
          <w:szCs w:val="24"/>
        </w:rPr>
        <w:t xml:space="preserve">. Specific fee levels have been derived by dividing the total cost of each output by the estimated volume of applications. </w:t>
      </w:r>
      <w:r w:rsidRPr="00503BFE">
        <w:rPr>
          <w:rFonts w:cstheme="minorHAnsi"/>
          <w:sz w:val="24"/>
          <w:szCs w:val="24"/>
        </w:rPr>
        <w:t xml:space="preserve">The total forecast expenditure for </w:t>
      </w:r>
      <w:r w:rsidR="00455BF9" w:rsidRPr="00503BFE">
        <w:rPr>
          <w:rFonts w:cstheme="minorHAnsi"/>
          <w:sz w:val="24"/>
          <w:szCs w:val="24"/>
        </w:rPr>
        <w:t>2020</w:t>
      </w:r>
      <w:r w:rsidR="00752448" w:rsidRPr="00503BFE">
        <w:rPr>
          <w:rFonts w:cstheme="minorHAnsi"/>
          <w:sz w:val="24"/>
          <w:szCs w:val="24"/>
        </w:rPr>
        <w:t>/21</w:t>
      </w:r>
      <w:r w:rsidR="00455BF9" w:rsidRPr="00503BFE">
        <w:rPr>
          <w:rFonts w:cstheme="minorHAnsi"/>
          <w:sz w:val="24"/>
          <w:szCs w:val="24"/>
        </w:rPr>
        <w:t xml:space="preserve"> fees review</w:t>
      </w:r>
      <w:r w:rsidRPr="00503BFE">
        <w:rPr>
          <w:rFonts w:cstheme="minorHAnsi"/>
          <w:sz w:val="24"/>
          <w:szCs w:val="24"/>
        </w:rPr>
        <w:t xml:space="preserve"> is $</w:t>
      </w:r>
      <w:r w:rsidR="00E4676B" w:rsidRPr="00503BFE">
        <w:rPr>
          <w:rFonts w:cstheme="minorHAnsi"/>
          <w:sz w:val="24"/>
          <w:szCs w:val="24"/>
        </w:rPr>
        <w:t>12.96</w:t>
      </w:r>
      <w:r w:rsidRPr="00503BFE">
        <w:rPr>
          <w:rFonts w:cstheme="minorHAnsi"/>
          <w:sz w:val="24"/>
          <w:szCs w:val="24"/>
        </w:rPr>
        <w:t xml:space="preserve"> million (GST exclusive), of which $</w:t>
      </w:r>
      <w:r w:rsidR="00E4676B" w:rsidRPr="00503BFE">
        <w:rPr>
          <w:rFonts w:cstheme="minorHAnsi"/>
          <w:sz w:val="24"/>
          <w:szCs w:val="24"/>
        </w:rPr>
        <w:t>11.</w:t>
      </w:r>
      <w:r w:rsidR="00900C1B" w:rsidRPr="00503BFE">
        <w:rPr>
          <w:rFonts w:cstheme="minorHAnsi"/>
          <w:sz w:val="24"/>
          <w:szCs w:val="24"/>
        </w:rPr>
        <w:t xml:space="preserve">39 </w:t>
      </w:r>
      <w:r w:rsidRPr="00503BFE">
        <w:rPr>
          <w:rFonts w:cstheme="minorHAnsi"/>
          <w:sz w:val="24"/>
          <w:szCs w:val="24"/>
        </w:rPr>
        <w:t xml:space="preserve">million is budgeted to come from fees charged to industry, assuming the proposed fee changes are implemented. The </w:t>
      </w:r>
      <w:r w:rsidR="00E4676B" w:rsidRPr="00503BFE">
        <w:rPr>
          <w:rFonts w:cstheme="minorHAnsi"/>
          <w:sz w:val="24"/>
          <w:szCs w:val="24"/>
        </w:rPr>
        <w:t xml:space="preserve">additional </w:t>
      </w:r>
      <w:r w:rsidRPr="00503BFE">
        <w:rPr>
          <w:rFonts w:cstheme="minorHAnsi"/>
          <w:sz w:val="24"/>
          <w:szCs w:val="24"/>
        </w:rPr>
        <w:t>$</w:t>
      </w:r>
      <w:r w:rsidR="00E4676B" w:rsidRPr="00503BFE">
        <w:rPr>
          <w:rFonts w:cstheme="minorHAnsi"/>
          <w:sz w:val="24"/>
          <w:szCs w:val="24"/>
        </w:rPr>
        <w:t>2.1</w:t>
      </w:r>
      <w:r w:rsidRPr="00503BFE">
        <w:rPr>
          <w:rFonts w:cstheme="minorHAnsi"/>
          <w:sz w:val="24"/>
          <w:szCs w:val="24"/>
        </w:rPr>
        <w:t xml:space="preserve"> million </w:t>
      </w:r>
      <w:r w:rsidR="00900C1B" w:rsidRPr="00503BFE">
        <w:rPr>
          <w:rFonts w:cstheme="minorHAnsi"/>
          <w:sz w:val="24"/>
          <w:szCs w:val="24"/>
        </w:rPr>
        <w:t>2021</w:t>
      </w:r>
      <w:r w:rsidR="00455BF9" w:rsidRPr="00503BFE">
        <w:rPr>
          <w:rFonts w:cstheme="minorHAnsi"/>
          <w:sz w:val="24"/>
          <w:szCs w:val="24"/>
        </w:rPr>
        <w:t>/</w:t>
      </w:r>
      <w:r w:rsidR="00900C1B" w:rsidRPr="00503BFE">
        <w:rPr>
          <w:rFonts w:cstheme="minorHAnsi"/>
          <w:sz w:val="24"/>
          <w:szCs w:val="24"/>
        </w:rPr>
        <w:t xml:space="preserve">22 </w:t>
      </w:r>
      <w:r w:rsidRPr="00503BFE">
        <w:rPr>
          <w:rFonts w:cstheme="minorHAnsi"/>
          <w:sz w:val="24"/>
          <w:szCs w:val="24"/>
        </w:rPr>
        <w:t xml:space="preserve">expenditure forecast is an increase of </w:t>
      </w:r>
      <w:r w:rsidR="00455BF9" w:rsidRPr="00503BFE">
        <w:rPr>
          <w:rFonts w:cstheme="minorHAnsi"/>
          <w:sz w:val="24"/>
          <w:szCs w:val="24"/>
        </w:rPr>
        <w:t>19</w:t>
      </w:r>
      <w:r w:rsidRPr="00503BFE">
        <w:rPr>
          <w:rFonts w:cstheme="minorHAnsi"/>
          <w:sz w:val="24"/>
          <w:szCs w:val="24"/>
        </w:rPr>
        <w:t xml:space="preserve">% over the </w:t>
      </w:r>
      <w:r w:rsidR="00455BF9" w:rsidRPr="00503BFE">
        <w:rPr>
          <w:rFonts w:cstheme="minorHAnsi"/>
          <w:sz w:val="24"/>
          <w:szCs w:val="24"/>
        </w:rPr>
        <w:t>2017</w:t>
      </w:r>
      <w:r w:rsidRPr="00503BFE">
        <w:rPr>
          <w:rFonts w:cstheme="minorHAnsi"/>
          <w:sz w:val="24"/>
          <w:szCs w:val="24"/>
        </w:rPr>
        <w:t xml:space="preserve"> budget. </w:t>
      </w:r>
      <w:r w:rsidRPr="00BE280C">
        <w:rPr>
          <w:rFonts w:cstheme="minorHAnsi"/>
          <w:sz w:val="24"/>
          <w:szCs w:val="24"/>
        </w:rPr>
        <w:t>The increase is mainly due to increased personnel costs</w:t>
      </w:r>
      <w:r w:rsidR="00E4676B" w:rsidRPr="00BE280C">
        <w:rPr>
          <w:rFonts w:cstheme="minorHAnsi"/>
          <w:sz w:val="24"/>
          <w:szCs w:val="24"/>
        </w:rPr>
        <w:t xml:space="preserve"> ($1.1</w:t>
      </w:r>
      <w:r w:rsidR="00752448" w:rsidRPr="00BE280C">
        <w:rPr>
          <w:rFonts w:cstheme="minorHAnsi"/>
          <w:sz w:val="24"/>
          <w:szCs w:val="24"/>
        </w:rPr>
        <w:t xml:space="preserve"> million</w:t>
      </w:r>
      <w:r w:rsidR="00E4676B" w:rsidRPr="00BE280C">
        <w:rPr>
          <w:rFonts w:cstheme="minorHAnsi"/>
          <w:sz w:val="24"/>
          <w:szCs w:val="24"/>
        </w:rPr>
        <w:t>)</w:t>
      </w:r>
      <w:r w:rsidRPr="00BE280C">
        <w:rPr>
          <w:rFonts w:cstheme="minorHAnsi"/>
          <w:sz w:val="24"/>
          <w:szCs w:val="24"/>
        </w:rPr>
        <w:t>, which are a combination of an annual increase in salaries (</w:t>
      </w:r>
      <w:r w:rsidR="00455BF9" w:rsidRPr="00BE280C">
        <w:rPr>
          <w:rFonts w:cstheme="minorHAnsi"/>
          <w:sz w:val="24"/>
          <w:szCs w:val="24"/>
        </w:rPr>
        <w:t>2</w:t>
      </w:r>
      <w:r w:rsidRPr="00BE280C">
        <w:rPr>
          <w:rFonts w:cstheme="minorHAnsi"/>
          <w:sz w:val="24"/>
          <w:szCs w:val="24"/>
        </w:rPr>
        <w:t xml:space="preserve">%) and budgeting for </w:t>
      </w:r>
      <w:r w:rsidR="00455BF9" w:rsidRPr="00BE280C">
        <w:rPr>
          <w:rFonts w:cstheme="minorHAnsi"/>
          <w:sz w:val="24"/>
          <w:szCs w:val="24"/>
        </w:rPr>
        <w:t>an increase in</w:t>
      </w:r>
      <w:r w:rsidRPr="00BE280C">
        <w:rPr>
          <w:rFonts w:cstheme="minorHAnsi"/>
          <w:sz w:val="24"/>
          <w:szCs w:val="24"/>
        </w:rPr>
        <w:t xml:space="preserve"> staff</w:t>
      </w:r>
      <w:r w:rsidR="00503BFE" w:rsidRPr="00BE280C">
        <w:rPr>
          <w:rFonts w:cstheme="minorHAnsi"/>
          <w:sz w:val="24"/>
          <w:szCs w:val="24"/>
        </w:rPr>
        <w:t>;</w:t>
      </w:r>
      <w:r w:rsidR="00455BF9" w:rsidRPr="00BE280C">
        <w:rPr>
          <w:rFonts w:cstheme="minorHAnsi"/>
          <w:sz w:val="24"/>
          <w:szCs w:val="24"/>
        </w:rPr>
        <w:t xml:space="preserve"> an allowance to clear the memorandum account balance over 5 years</w:t>
      </w:r>
      <w:r w:rsidR="00503BFE" w:rsidRPr="00BE280C">
        <w:rPr>
          <w:rFonts w:cstheme="minorHAnsi"/>
          <w:sz w:val="24"/>
          <w:szCs w:val="24"/>
        </w:rPr>
        <w:t>; and additional operating costs, in particular upgrading obsolete technology.</w:t>
      </w:r>
    </w:p>
    <w:p w14:paraId="40BE0F83" w14:textId="77777777" w:rsidR="007D53CE" w:rsidRPr="006F5786" w:rsidRDefault="007D53CE" w:rsidP="007D53CE">
      <w:pPr>
        <w:pStyle w:val="Heading"/>
      </w:pPr>
      <w:bookmarkStart w:id="3" w:name="_Toc485628496"/>
      <w:r w:rsidRPr="006F5786">
        <w:t>Forecast expenditure</w:t>
      </w:r>
      <w:bookmarkEnd w:id="3"/>
      <w:r w:rsidRPr="006F5786">
        <w:t xml:space="preserve"> </w:t>
      </w:r>
    </w:p>
    <w:p w14:paraId="5665E908" w14:textId="77777777" w:rsidR="007D53CE" w:rsidRDefault="007D53CE" w:rsidP="007D53CE">
      <w:pPr>
        <w:pStyle w:val="Paragraph"/>
      </w:pPr>
      <w:r w:rsidRPr="00BE280C">
        <w:rPr>
          <w:rFonts w:asciiTheme="minorHAnsi" w:hAnsiTheme="minorHAnsi" w:cstheme="minorHAnsi"/>
          <w:sz w:val="24"/>
          <w:szCs w:val="24"/>
        </w:rPr>
        <w:t xml:space="preserve">The following tables show the forecast expenditures, by expense type and output type, that have been used in the </w:t>
      </w:r>
      <w:proofErr w:type="gramStart"/>
      <w:r w:rsidRPr="00BE280C">
        <w:rPr>
          <w:rFonts w:asciiTheme="minorHAnsi" w:hAnsiTheme="minorHAnsi" w:cstheme="minorHAnsi"/>
          <w:sz w:val="24"/>
          <w:szCs w:val="24"/>
        </w:rPr>
        <w:t>fees</w:t>
      </w:r>
      <w:proofErr w:type="gramEnd"/>
      <w:r w:rsidRPr="00BE280C">
        <w:rPr>
          <w:rFonts w:asciiTheme="minorHAnsi" w:hAnsiTheme="minorHAnsi" w:cstheme="minorHAnsi"/>
          <w:sz w:val="24"/>
          <w:szCs w:val="24"/>
        </w:rPr>
        <w:t xml:space="preserve"> calculations</w:t>
      </w:r>
      <w:r>
        <w:t xml:space="preserve">. </w:t>
      </w:r>
    </w:p>
    <w:tbl>
      <w:tblPr>
        <w:tblW w:w="4229" w:type="pct"/>
        <w:tblInd w:w="38" w:type="dxa"/>
        <w:tblCellMar>
          <w:left w:w="180" w:type="dxa"/>
          <w:right w:w="180" w:type="dxa"/>
        </w:tblCellMar>
        <w:tblLook w:val="0000" w:firstRow="0" w:lastRow="0" w:firstColumn="0" w:lastColumn="0" w:noHBand="0" w:noVBand="0"/>
      </w:tblPr>
      <w:tblGrid>
        <w:gridCol w:w="4489"/>
        <w:gridCol w:w="3128"/>
      </w:tblGrid>
      <w:tr w:rsidR="007D53CE" w:rsidRPr="00B36E36" w14:paraId="67A44526" w14:textId="77777777" w:rsidTr="00587F1D">
        <w:trPr>
          <w:trHeight w:val="507"/>
        </w:trPr>
        <w:tc>
          <w:tcPr>
            <w:tcW w:w="5000" w:type="pct"/>
            <w:gridSpan w:val="2"/>
            <w:tcBorders>
              <w:top w:val="single" w:sz="8" w:space="0" w:color="auto"/>
              <w:left w:val="single" w:sz="8" w:space="0" w:color="auto"/>
              <w:bottom w:val="single" w:sz="8" w:space="0" w:color="auto"/>
              <w:right w:val="single" w:sz="8" w:space="0" w:color="auto"/>
            </w:tcBorders>
            <w:vAlign w:val="center"/>
          </w:tcPr>
          <w:p w14:paraId="73282F1C" w14:textId="77777777" w:rsidR="007D53CE" w:rsidRPr="00B36E36" w:rsidRDefault="007D53CE" w:rsidP="00587F1D">
            <w:pPr>
              <w:spacing w:before="240"/>
              <w:jc w:val="center"/>
              <w:rPr>
                <w:rFonts w:cstheme="minorHAnsi"/>
                <w:b/>
                <w:bCs/>
                <w:sz w:val="24"/>
                <w:szCs w:val="24"/>
              </w:rPr>
            </w:pPr>
            <w:r w:rsidRPr="00B36E36">
              <w:rPr>
                <w:rFonts w:cstheme="minorHAnsi"/>
                <w:b/>
                <w:bCs/>
                <w:color w:val="4472C4" w:themeColor="accent1"/>
                <w:sz w:val="24"/>
                <w:szCs w:val="24"/>
              </w:rPr>
              <w:t xml:space="preserve">Table 1:  Forecast expenditure, by expense type, for </w:t>
            </w:r>
            <w:proofErr w:type="spellStart"/>
            <w:r w:rsidRPr="00B36E36">
              <w:rPr>
                <w:rFonts w:cstheme="minorHAnsi"/>
                <w:b/>
                <w:bCs/>
                <w:color w:val="4472C4" w:themeColor="accent1"/>
                <w:sz w:val="24"/>
                <w:szCs w:val="24"/>
              </w:rPr>
              <w:t>Medsafe</w:t>
            </w:r>
            <w:proofErr w:type="spellEnd"/>
          </w:p>
        </w:tc>
      </w:tr>
      <w:tr w:rsidR="007D53CE" w:rsidRPr="00B36E36" w14:paraId="1D780BF8" w14:textId="77777777" w:rsidTr="00587F1D">
        <w:trPr>
          <w:trHeight w:val="507"/>
        </w:trPr>
        <w:tc>
          <w:tcPr>
            <w:tcW w:w="2947" w:type="pct"/>
            <w:tcBorders>
              <w:top w:val="single" w:sz="8" w:space="0" w:color="auto"/>
              <w:left w:val="single" w:sz="8" w:space="0" w:color="auto"/>
              <w:bottom w:val="single" w:sz="8" w:space="0" w:color="auto"/>
              <w:right w:val="single" w:sz="8" w:space="0" w:color="auto"/>
            </w:tcBorders>
            <w:vAlign w:val="center"/>
          </w:tcPr>
          <w:p w14:paraId="23FDA5F0" w14:textId="77777777" w:rsidR="007D53CE" w:rsidRPr="00B36E36" w:rsidRDefault="007D53CE" w:rsidP="00587F1D">
            <w:pPr>
              <w:spacing w:after="60"/>
              <w:rPr>
                <w:rFonts w:cstheme="minorHAnsi"/>
                <w:b/>
                <w:bCs/>
                <w:sz w:val="24"/>
                <w:szCs w:val="24"/>
              </w:rPr>
            </w:pPr>
            <w:r w:rsidRPr="00B36E36">
              <w:rPr>
                <w:rFonts w:cstheme="minorHAnsi"/>
                <w:b/>
                <w:bCs/>
                <w:sz w:val="24"/>
                <w:szCs w:val="24"/>
              </w:rPr>
              <w:t>Expense type</w:t>
            </w:r>
          </w:p>
        </w:tc>
        <w:tc>
          <w:tcPr>
            <w:tcW w:w="2053" w:type="pct"/>
            <w:tcBorders>
              <w:top w:val="single" w:sz="8" w:space="0" w:color="auto"/>
              <w:left w:val="single" w:sz="8" w:space="0" w:color="auto"/>
              <w:bottom w:val="single" w:sz="8" w:space="0" w:color="auto"/>
              <w:right w:val="single" w:sz="8" w:space="0" w:color="auto"/>
            </w:tcBorders>
            <w:vAlign w:val="center"/>
          </w:tcPr>
          <w:p w14:paraId="54D3A793" w14:textId="77777777" w:rsidR="007D53CE" w:rsidRPr="00B36E36" w:rsidRDefault="007D53CE" w:rsidP="00587F1D">
            <w:pPr>
              <w:spacing w:after="60"/>
              <w:jc w:val="center"/>
              <w:rPr>
                <w:rFonts w:cstheme="minorHAnsi"/>
                <w:b/>
                <w:bCs/>
                <w:sz w:val="24"/>
                <w:szCs w:val="24"/>
              </w:rPr>
            </w:pPr>
            <w:r w:rsidRPr="00B36E36">
              <w:rPr>
                <w:rFonts w:cstheme="minorHAnsi"/>
                <w:b/>
                <w:bCs/>
                <w:sz w:val="24"/>
                <w:szCs w:val="24"/>
              </w:rPr>
              <w:t>2021/22 forecast expenditure</w:t>
            </w:r>
          </w:p>
          <w:p w14:paraId="56D0A5DE" w14:textId="77777777" w:rsidR="007D53CE" w:rsidRPr="00B36E36" w:rsidRDefault="007D53CE" w:rsidP="00587F1D">
            <w:pPr>
              <w:spacing w:after="60"/>
              <w:jc w:val="center"/>
              <w:rPr>
                <w:rFonts w:cstheme="minorHAnsi"/>
                <w:b/>
                <w:bCs/>
                <w:sz w:val="24"/>
                <w:szCs w:val="24"/>
              </w:rPr>
            </w:pPr>
            <w:r w:rsidRPr="00B36E36">
              <w:rPr>
                <w:rFonts w:cstheme="minorHAnsi"/>
                <w:b/>
                <w:bCs/>
                <w:sz w:val="24"/>
                <w:szCs w:val="24"/>
              </w:rPr>
              <w:t>($million)</w:t>
            </w:r>
          </w:p>
        </w:tc>
      </w:tr>
      <w:tr w:rsidR="007D53CE" w:rsidRPr="00B36E36" w14:paraId="3AA37783" w14:textId="77777777" w:rsidTr="00587F1D">
        <w:trPr>
          <w:trHeight w:val="304"/>
        </w:trPr>
        <w:tc>
          <w:tcPr>
            <w:tcW w:w="2947" w:type="pct"/>
            <w:tcBorders>
              <w:top w:val="single" w:sz="8" w:space="0" w:color="auto"/>
              <w:left w:val="single" w:sz="8" w:space="0" w:color="auto"/>
              <w:bottom w:val="single" w:sz="8" w:space="0" w:color="auto"/>
              <w:right w:val="single" w:sz="8" w:space="0" w:color="auto"/>
            </w:tcBorders>
            <w:vAlign w:val="bottom"/>
          </w:tcPr>
          <w:p w14:paraId="216FE62A" w14:textId="77777777" w:rsidR="007D53CE" w:rsidRPr="00B36E36" w:rsidRDefault="007D53CE" w:rsidP="00587F1D">
            <w:pPr>
              <w:spacing w:after="60"/>
              <w:jc w:val="both"/>
              <w:rPr>
                <w:rFonts w:cstheme="minorHAnsi"/>
                <w:sz w:val="24"/>
                <w:szCs w:val="24"/>
              </w:rPr>
            </w:pPr>
            <w:r w:rsidRPr="00B36E36">
              <w:rPr>
                <w:rFonts w:cstheme="minorHAnsi"/>
                <w:sz w:val="24"/>
                <w:szCs w:val="24"/>
              </w:rPr>
              <w:t>Personnel costs</w:t>
            </w:r>
          </w:p>
        </w:tc>
        <w:tc>
          <w:tcPr>
            <w:tcW w:w="2053" w:type="pct"/>
            <w:tcBorders>
              <w:top w:val="single" w:sz="8" w:space="0" w:color="auto"/>
              <w:left w:val="single" w:sz="8" w:space="0" w:color="auto"/>
              <w:bottom w:val="single" w:sz="8" w:space="0" w:color="auto"/>
              <w:right w:val="single" w:sz="8" w:space="0" w:color="auto"/>
            </w:tcBorders>
            <w:vAlign w:val="bottom"/>
          </w:tcPr>
          <w:p w14:paraId="5CDD8E28" w14:textId="77777777" w:rsidR="007D53CE" w:rsidRPr="00B36E36" w:rsidRDefault="007D53CE" w:rsidP="00587F1D">
            <w:pPr>
              <w:spacing w:after="60"/>
              <w:ind w:right="528"/>
              <w:jc w:val="center"/>
              <w:rPr>
                <w:rFonts w:cstheme="minorHAnsi"/>
                <w:sz w:val="24"/>
                <w:szCs w:val="24"/>
              </w:rPr>
            </w:pPr>
            <w:r w:rsidRPr="00B36E36">
              <w:rPr>
                <w:rFonts w:cstheme="minorHAnsi"/>
                <w:sz w:val="24"/>
                <w:szCs w:val="24"/>
              </w:rPr>
              <w:t>5.69</w:t>
            </w:r>
          </w:p>
        </w:tc>
      </w:tr>
      <w:tr w:rsidR="007D53CE" w:rsidRPr="00B36E36" w14:paraId="2843D432" w14:textId="77777777" w:rsidTr="00587F1D">
        <w:trPr>
          <w:trHeight w:val="319"/>
        </w:trPr>
        <w:tc>
          <w:tcPr>
            <w:tcW w:w="2947" w:type="pct"/>
            <w:tcBorders>
              <w:top w:val="single" w:sz="8" w:space="0" w:color="auto"/>
              <w:left w:val="single" w:sz="8" w:space="0" w:color="auto"/>
              <w:bottom w:val="single" w:sz="8" w:space="0" w:color="auto"/>
              <w:right w:val="single" w:sz="8" w:space="0" w:color="auto"/>
            </w:tcBorders>
            <w:vAlign w:val="bottom"/>
          </w:tcPr>
          <w:p w14:paraId="2C2CB468" w14:textId="77777777" w:rsidR="007D53CE" w:rsidRPr="00B36E36" w:rsidRDefault="007D53CE" w:rsidP="00587F1D">
            <w:pPr>
              <w:spacing w:after="60"/>
              <w:jc w:val="both"/>
              <w:rPr>
                <w:rFonts w:cstheme="minorHAnsi"/>
                <w:sz w:val="24"/>
                <w:szCs w:val="24"/>
              </w:rPr>
            </w:pPr>
            <w:r w:rsidRPr="00B36E36">
              <w:rPr>
                <w:rFonts w:cstheme="minorHAnsi"/>
                <w:sz w:val="24"/>
                <w:szCs w:val="24"/>
              </w:rPr>
              <w:t>Operating costs</w:t>
            </w:r>
          </w:p>
        </w:tc>
        <w:tc>
          <w:tcPr>
            <w:tcW w:w="2053" w:type="pct"/>
            <w:tcBorders>
              <w:top w:val="single" w:sz="8" w:space="0" w:color="auto"/>
              <w:left w:val="single" w:sz="8" w:space="0" w:color="auto"/>
              <w:bottom w:val="single" w:sz="8" w:space="0" w:color="auto"/>
              <w:right w:val="single" w:sz="8" w:space="0" w:color="auto"/>
            </w:tcBorders>
            <w:vAlign w:val="bottom"/>
          </w:tcPr>
          <w:p w14:paraId="4A11CF20" w14:textId="77777777" w:rsidR="007D53CE" w:rsidRPr="00B36E36" w:rsidRDefault="007D53CE" w:rsidP="00587F1D">
            <w:pPr>
              <w:spacing w:after="60"/>
              <w:ind w:right="528"/>
              <w:jc w:val="center"/>
              <w:rPr>
                <w:rFonts w:cstheme="minorHAnsi"/>
                <w:sz w:val="24"/>
                <w:szCs w:val="24"/>
              </w:rPr>
            </w:pPr>
            <w:r w:rsidRPr="00B36E36">
              <w:rPr>
                <w:rFonts w:cstheme="minorHAnsi"/>
                <w:sz w:val="24"/>
                <w:szCs w:val="24"/>
              </w:rPr>
              <w:t>3.97</w:t>
            </w:r>
          </w:p>
        </w:tc>
      </w:tr>
      <w:tr w:rsidR="007D53CE" w:rsidRPr="00B36E36" w14:paraId="62B4925D" w14:textId="77777777" w:rsidTr="00587F1D">
        <w:trPr>
          <w:trHeight w:val="334"/>
        </w:trPr>
        <w:tc>
          <w:tcPr>
            <w:tcW w:w="2947" w:type="pct"/>
            <w:tcBorders>
              <w:top w:val="single" w:sz="4" w:space="0" w:color="auto"/>
              <w:left w:val="single" w:sz="8" w:space="0" w:color="auto"/>
              <w:bottom w:val="single" w:sz="8" w:space="0" w:color="auto"/>
              <w:right w:val="single" w:sz="8" w:space="0" w:color="auto"/>
            </w:tcBorders>
            <w:vAlign w:val="bottom"/>
          </w:tcPr>
          <w:p w14:paraId="4D304646" w14:textId="77777777" w:rsidR="007D53CE" w:rsidRPr="00B36E36" w:rsidRDefault="007D53CE" w:rsidP="00587F1D">
            <w:pPr>
              <w:spacing w:after="60"/>
              <w:jc w:val="both"/>
              <w:rPr>
                <w:rFonts w:cstheme="minorHAnsi"/>
                <w:sz w:val="24"/>
                <w:szCs w:val="24"/>
              </w:rPr>
            </w:pPr>
            <w:r w:rsidRPr="00B36E36">
              <w:rPr>
                <w:rFonts w:cstheme="minorHAnsi"/>
                <w:sz w:val="24"/>
                <w:szCs w:val="24"/>
              </w:rPr>
              <w:t>Corporate overheads</w:t>
            </w:r>
          </w:p>
        </w:tc>
        <w:tc>
          <w:tcPr>
            <w:tcW w:w="2053" w:type="pct"/>
            <w:tcBorders>
              <w:top w:val="single" w:sz="4" w:space="0" w:color="auto"/>
              <w:left w:val="single" w:sz="8" w:space="0" w:color="auto"/>
              <w:bottom w:val="single" w:sz="8" w:space="0" w:color="auto"/>
              <w:right w:val="single" w:sz="8" w:space="0" w:color="auto"/>
            </w:tcBorders>
            <w:vAlign w:val="bottom"/>
          </w:tcPr>
          <w:p w14:paraId="5004C98A" w14:textId="77777777" w:rsidR="007D53CE" w:rsidRPr="00B36E36" w:rsidRDefault="007D53CE" w:rsidP="00587F1D">
            <w:pPr>
              <w:spacing w:after="60"/>
              <w:ind w:right="528"/>
              <w:jc w:val="center"/>
              <w:rPr>
                <w:rFonts w:cstheme="minorHAnsi"/>
                <w:sz w:val="24"/>
                <w:szCs w:val="24"/>
              </w:rPr>
            </w:pPr>
            <w:r w:rsidRPr="00B36E36">
              <w:rPr>
                <w:rFonts w:cstheme="minorHAnsi"/>
                <w:sz w:val="24"/>
                <w:szCs w:val="24"/>
              </w:rPr>
              <w:t>2.80</w:t>
            </w:r>
          </w:p>
        </w:tc>
      </w:tr>
      <w:tr w:rsidR="007D53CE" w:rsidRPr="00B36E36" w14:paraId="1C881311" w14:textId="77777777" w:rsidTr="00587F1D">
        <w:trPr>
          <w:trHeight w:val="334"/>
        </w:trPr>
        <w:tc>
          <w:tcPr>
            <w:tcW w:w="2947" w:type="pct"/>
            <w:tcBorders>
              <w:top w:val="single" w:sz="4" w:space="0" w:color="auto"/>
              <w:left w:val="single" w:sz="8" w:space="0" w:color="auto"/>
              <w:bottom w:val="single" w:sz="8" w:space="0" w:color="auto"/>
              <w:right w:val="single" w:sz="8" w:space="0" w:color="auto"/>
            </w:tcBorders>
            <w:vAlign w:val="bottom"/>
          </w:tcPr>
          <w:p w14:paraId="445FF4D1" w14:textId="77777777" w:rsidR="007D53CE" w:rsidRPr="00B36E36" w:rsidRDefault="007D53CE" w:rsidP="00587F1D">
            <w:pPr>
              <w:spacing w:after="60"/>
              <w:jc w:val="both"/>
              <w:rPr>
                <w:rFonts w:cstheme="minorHAnsi"/>
                <w:sz w:val="24"/>
                <w:szCs w:val="24"/>
              </w:rPr>
            </w:pPr>
            <w:r w:rsidRPr="00B36E36">
              <w:rPr>
                <w:rFonts w:cstheme="minorHAnsi"/>
                <w:sz w:val="24"/>
                <w:szCs w:val="24"/>
              </w:rPr>
              <w:t>Memorandum account deficit recovery</w:t>
            </w:r>
          </w:p>
        </w:tc>
        <w:tc>
          <w:tcPr>
            <w:tcW w:w="2053" w:type="pct"/>
            <w:tcBorders>
              <w:top w:val="single" w:sz="4" w:space="0" w:color="auto"/>
              <w:left w:val="single" w:sz="8" w:space="0" w:color="auto"/>
              <w:bottom w:val="single" w:sz="8" w:space="0" w:color="auto"/>
              <w:right w:val="single" w:sz="8" w:space="0" w:color="auto"/>
            </w:tcBorders>
            <w:vAlign w:val="bottom"/>
          </w:tcPr>
          <w:p w14:paraId="303FD982" w14:textId="77777777" w:rsidR="007D53CE" w:rsidRPr="00B36E36" w:rsidRDefault="007D53CE" w:rsidP="00587F1D">
            <w:pPr>
              <w:spacing w:after="60"/>
              <w:ind w:right="528"/>
              <w:jc w:val="center"/>
              <w:rPr>
                <w:rFonts w:cstheme="minorHAnsi"/>
                <w:sz w:val="24"/>
                <w:szCs w:val="24"/>
              </w:rPr>
            </w:pPr>
            <w:r w:rsidRPr="00B36E36">
              <w:rPr>
                <w:rFonts w:cstheme="minorHAnsi"/>
                <w:sz w:val="24"/>
                <w:szCs w:val="24"/>
              </w:rPr>
              <w:t>0.50</w:t>
            </w:r>
          </w:p>
        </w:tc>
      </w:tr>
      <w:tr w:rsidR="007D53CE" w:rsidRPr="00B36E36" w14:paraId="493227AF" w14:textId="77777777" w:rsidTr="00587F1D">
        <w:trPr>
          <w:trHeight w:val="354"/>
        </w:trPr>
        <w:tc>
          <w:tcPr>
            <w:tcW w:w="2947" w:type="pct"/>
            <w:tcBorders>
              <w:top w:val="single" w:sz="8" w:space="0" w:color="auto"/>
              <w:left w:val="single" w:sz="8" w:space="0" w:color="auto"/>
              <w:bottom w:val="single" w:sz="8" w:space="0" w:color="auto"/>
              <w:right w:val="single" w:sz="8" w:space="0" w:color="auto"/>
            </w:tcBorders>
            <w:vAlign w:val="bottom"/>
          </w:tcPr>
          <w:p w14:paraId="2B50278D" w14:textId="77777777" w:rsidR="007D53CE" w:rsidRPr="00B36E36" w:rsidRDefault="007D53CE" w:rsidP="00587F1D">
            <w:pPr>
              <w:spacing w:after="60"/>
              <w:jc w:val="both"/>
              <w:rPr>
                <w:rFonts w:cstheme="minorHAnsi"/>
                <w:b/>
                <w:sz w:val="24"/>
                <w:szCs w:val="24"/>
              </w:rPr>
            </w:pPr>
            <w:r w:rsidRPr="00B36E36">
              <w:rPr>
                <w:rFonts w:cstheme="minorHAnsi"/>
                <w:b/>
                <w:sz w:val="24"/>
                <w:szCs w:val="24"/>
              </w:rPr>
              <w:t>Total</w:t>
            </w:r>
          </w:p>
        </w:tc>
        <w:tc>
          <w:tcPr>
            <w:tcW w:w="2053" w:type="pct"/>
            <w:tcBorders>
              <w:top w:val="single" w:sz="8" w:space="0" w:color="auto"/>
              <w:left w:val="single" w:sz="8" w:space="0" w:color="auto"/>
              <w:bottom w:val="single" w:sz="8" w:space="0" w:color="auto"/>
              <w:right w:val="single" w:sz="8" w:space="0" w:color="auto"/>
            </w:tcBorders>
            <w:vAlign w:val="bottom"/>
          </w:tcPr>
          <w:p w14:paraId="3D0A24CA" w14:textId="77777777" w:rsidR="007D53CE" w:rsidRPr="00B36E36" w:rsidRDefault="007D53CE" w:rsidP="00587F1D">
            <w:pPr>
              <w:spacing w:after="60"/>
              <w:ind w:right="528"/>
              <w:jc w:val="center"/>
              <w:rPr>
                <w:rFonts w:cstheme="minorHAnsi"/>
                <w:b/>
                <w:sz w:val="24"/>
                <w:szCs w:val="24"/>
              </w:rPr>
            </w:pPr>
            <w:r w:rsidRPr="00B36E36">
              <w:rPr>
                <w:rFonts w:cstheme="minorHAnsi"/>
                <w:b/>
                <w:sz w:val="24"/>
                <w:szCs w:val="24"/>
              </w:rPr>
              <w:t>12.96</w:t>
            </w:r>
          </w:p>
        </w:tc>
      </w:tr>
      <w:tr w:rsidR="00900C1B" w:rsidRPr="00B36E36" w14:paraId="094CD6D2" w14:textId="77777777" w:rsidTr="00587F1D">
        <w:trPr>
          <w:trHeight w:val="354"/>
        </w:trPr>
        <w:tc>
          <w:tcPr>
            <w:tcW w:w="2947" w:type="pct"/>
            <w:tcBorders>
              <w:top w:val="single" w:sz="8" w:space="0" w:color="auto"/>
              <w:left w:val="single" w:sz="8" w:space="0" w:color="auto"/>
              <w:bottom w:val="single" w:sz="8" w:space="0" w:color="auto"/>
              <w:right w:val="single" w:sz="8" w:space="0" w:color="auto"/>
            </w:tcBorders>
            <w:vAlign w:val="bottom"/>
          </w:tcPr>
          <w:p w14:paraId="5D7E0D2D" w14:textId="77777777" w:rsidR="00900C1B" w:rsidRPr="00B36E36" w:rsidRDefault="00900C1B" w:rsidP="00587F1D">
            <w:pPr>
              <w:spacing w:after="60"/>
              <w:jc w:val="both"/>
              <w:rPr>
                <w:rFonts w:cstheme="minorHAnsi"/>
                <w:bCs/>
                <w:sz w:val="24"/>
                <w:szCs w:val="24"/>
              </w:rPr>
            </w:pPr>
          </w:p>
        </w:tc>
        <w:tc>
          <w:tcPr>
            <w:tcW w:w="2053" w:type="pct"/>
            <w:tcBorders>
              <w:top w:val="single" w:sz="8" w:space="0" w:color="auto"/>
              <w:left w:val="single" w:sz="8" w:space="0" w:color="auto"/>
              <w:bottom w:val="single" w:sz="8" w:space="0" w:color="auto"/>
              <w:right w:val="single" w:sz="8" w:space="0" w:color="auto"/>
            </w:tcBorders>
            <w:vAlign w:val="bottom"/>
          </w:tcPr>
          <w:p w14:paraId="47CC7261" w14:textId="77777777" w:rsidR="00900C1B" w:rsidRPr="00B36E36" w:rsidRDefault="00900C1B" w:rsidP="00587F1D">
            <w:pPr>
              <w:spacing w:after="60"/>
              <w:ind w:right="528"/>
              <w:jc w:val="center"/>
              <w:rPr>
                <w:rFonts w:cstheme="minorHAnsi"/>
                <w:sz w:val="24"/>
                <w:szCs w:val="24"/>
              </w:rPr>
            </w:pPr>
          </w:p>
        </w:tc>
      </w:tr>
      <w:tr w:rsidR="007D53CE" w:rsidRPr="00B36E36" w14:paraId="643F847C" w14:textId="77777777" w:rsidTr="00587F1D">
        <w:trPr>
          <w:trHeight w:val="354"/>
        </w:trPr>
        <w:tc>
          <w:tcPr>
            <w:tcW w:w="2947" w:type="pct"/>
            <w:tcBorders>
              <w:top w:val="single" w:sz="8" w:space="0" w:color="auto"/>
              <w:left w:val="single" w:sz="8" w:space="0" w:color="auto"/>
              <w:bottom w:val="single" w:sz="8" w:space="0" w:color="auto"/>
              <w:right w:val="single" w:sz="8" w:space="0" w:color="auto"/>
            </w:tcBorders>
            <w:vAlign w:val="bottom"/>
          </w:tcPr>
          <w:p w14:paraId="2429374C" w14:textId="77777777" w:rsidR="007D53CE" w:rsidRPr="00B36E36" w:rsidRDefault="007D53CE" w:rsidP="00587F1D">
            <w:pPr>
              <w:spacing w:after="60"/>
              <w:jc w:val="both"/>
              <w:rPr>
                <w:rFonts w:cstheme="minorHAnsi"/>
                <w:sz w:val="24"/>
                <w:szCs w:val="24"/>
              </w:rPr>
            </w:pPr>
            <w:r w:rsidRPr="00B36E36">
              <w:rPr>
                <w:rFonts w:cstheme="minorHAnsi"/>
                <w:bCs/>
                <w:sz w:val="24"/>
                <w:szCs w:val="24"/>
              </w:rPr>
              <w:t>Total industry-funded activities</w:t>
            </w:r>
          </w:p>
        </w:tc>
        <w:tc>
          <w:tcPr>
            <w:tcW w:w="2053" w:type="pct"/>
            <w:tcBorders>
              <w:top w:val="single" w:sz="8" w:space="0" w:color="auto"/>
              <w:left w:val="single" w:sz="8" w:space="0" w:color="auto"/>
              <w:bottom w:val="single" w:sz="8" w:space="0" w:color="auto"/>
              <w:right w:val="single" w:sz="8" w:space="0" w:color="auto"/>
            </w:tcBorders>
            <w:vAlign w:val="bottom"/>
          </w:tcPr>
          <w:p w14:paraId="5C3B2677" w14:textId="77777777" w:rsidR="007D53CE" w:rsidRPr="00B36E36" w:rsidRDefault="007D53CE" w:rsidP="00587F1D">
            <w:pPr>
              <w:spacing w:after="60"/>
              <w:ind w:right="528"/>
              <w:jc w:val="center"/>
              <w:rPr>
                <w:rFonts w:cstheme="minorHAnsi"/>
                <w:sz w:val="24"/>
                <w:szCs w:val="24"/>
              </w:rPr>
            </w:pPr>
            <w:r w:rsidRPr="00B36E36">
              <w:rPr>
                <w:rFonts w:cstheme="minorHAnsi"/>
                <w:sz w:val="24"/>
                <w:szCs w:val="24"/>
              </w:rPr>
              <w:t>11.39</w:t>
            </w:r>
          </w:p>
        </w:tc>
      </w:tr>
      <w:tr w:rsidR="007D53CE" w:rsidRPr="00B36E36" w14:paraId="1979C107" w14:textId="77777777" w:rsidTr="00587F1D">
        <w:trPr>
          <w:trHeight w:val="354"/>
        </w:trPr>
        <w:tc>
          <w:tcPr>
            <w:tcW w:w="2947" w:type="pct"/>
            <w:tcBorders>
              <w:top w:val="single" w:sz="8" w:space="0" w:color="auto"/>
              <w:left w:val="single" w:sz="8" w:space="0" w:color="auto"/>
              <w:bottom w:val="single" w:sz="8" w:space="0" w:color="auto"/>
              <w:right w:val="single" w:sz="8" w:space="0" w:color="auto"/>
            </w:tcBorders>
            <w:vAlign w:val="bottom"/>
          </w:tcPr>
          <w:p w14:paraId="73CA8068" w14:textId="77777777" w:rsidR="007D53CE" w:rsidRPr="00B36E36" w:rsidRDefault="007D53CE" w:rsidP="00587F1D">
            <w:pPr>
              <w:spacing w:after="60"/>
              <w:jc w:val="both"/>
              <w:rPr>
                <w:rFonts w:cstheme="minorHAnsi"/>
                <w:sz w:val="24"/>
                <w:szCs w:val="24"/>
              </w:rPr>
            </w:pPr>
            <w:r w:rsidRPr="00B36E36">
              <w:rPr>
                <w:rFonts w:cstheme="minorHAnsi"/>
                <w:bCs/>
                <w:sz w:val="24"/>
                <w:szCs w:val="24"/>
              </w:rPr>
              <w:t>Total Crown-funded activities</w:t>
            </w:r>
          </w:p>
        </w:tc>
        <w:tc>
          <w:tcPr>
            <w:tcW w:w="2053" w:type="pct"/>
            <w:tcBorders>
              <w:top w:val="single" w:sz="8" w:space="0" w:color="auto"/>
              <w:left w:val="single" w:sz="8" w:space="0" w:color="auto"/>
              <w:bottom w:val="single" w:sz="8" w:space="0" w:color="auto"/>
              <w:right w:val="single" w:sz="8" w:space="0" w:color="auto"/>
            </w:tcBorders>
            <w:vAlign w:val="bottom"/>
          </w:tcPr>
          <w:p w14:paraId="3AACFD2F" w14:textId="77777777" w:rsidR="007D53CE" w:rsidRPr="00B36E36" w:rsidRDefault="007D53CE" w:rsidP="00587F1D">
            <w:pPr>
              <w:spacing w:after="60"/>
              <w:ind w:right="528"/>
              <w:jc w:val="center"/>
              <w:rPr>
                <w:rFonts w:cstheme="minorHAnsi"/>
                <w:sz w:val="24"/>
                <w:szCs w:val="24"/>
              </w:rPr>
            </w:pPr>
            <w:r w:rsidRPr="00B36E36">
              <w:rPr>
                <w:rFonts w:cstheme="minorHAnsi"/>
                <w:sz w:val="24"/>
                <w:szCs w:val="24"/>
              </w:rPr>
              <w:t>1.57</w:t>
            </w:r>
          </w:p>
        </w:tc>
      </w:tr>
      <w:tr w:rsidR="007D53CE" w:rsidRPr="00B36E36" w14:paraId="77052E5E" w14:textId="77777777" w:rsidTr="00587F1D">
        <w:trPr>
          <w:trHeight w:val="354"/>
        </w:trPr>
        <w:tc>
          <w:tcPr>
            <w:tcW w:w="2947" w:type="pct"/>
            <w:tcBorders>
              <w:top w:val="single" w:sz="8" w:space="0" w:color="auto"/>
              <w:left w:val="single" w:sz="8" w:space="0" w:color="auto"/>
              <w:bottom w:val="single" w:sz="8" w:space="0" w:color="auto"/>
              <w:right w:val="single" w:sz="8" w:space="0" w:color="auto"/>
            </w:tcBorders>
            <w:vAlign w:val="bottom"/>
          </w:tcPr>
          <w:p w14:paraId="6EEEF1EC" w14:textId="77777777" w:rsidR="007D53CE" w:rsidRPr="00B36E36" w:rsidRDefault="007D53CE" w:rsidP="00587F1D">
            <w:pPr>
              <w:spacing w:after="60"/>
              <w:jc w:val="both"/>
              <w:rPr>
                <w:rFonts w:cstheme="minorHAnsi"/>
                <w:b/>
                <w:sz w:val="24"/>
                <w:szCs w:val="24"/>
              </w:rPr>
            </w:pPr>
            <w:r w:rsidRPr="00B36E36">
              <w:rPr>
                <w:rFonts w:cstheme="minorHAnsi"/>
                <w:b/>
                <w:sz w:val="24"/>
                <w:szCs w:val="24"/>
              </w:rPr>
              <w:t>Total</w:t>
            </w:r>
          </w:p>
        </w:tc>
        <w:tc>
          <w:tcPr>
            <w:tcW w:w="2053" w:type="pct"/>
            <w:tcBorders>
              <w:top w:val="single" w:sz="8" w:space="0" w:color="auto"/>
              <w:left w:val="single" w:sz="8" w:space="0" w:color="auto"/>
              <w:bottom w:val="single" w:sz="8" w:space="0" w:color="auto"/>
              <w:right w:val="single" w:sz="8" w:space="0" w:color="auto"/>
            </w:tcBorders>
            <w:vAlign w:val="bottom"/>
          </w:tcPr>
          <w:p w14:paraId="5FC3D668" w14:textId="77777777" w:rsidR="007D53CE" w:rsidRPr="00B36E36" w:rsidRDefault="007D53CE" w:rsidP="00587F1D">
            <w:pPr>
              <w:spacing w:after="60"/>
              <w:ind w:right="528"/>
              <w:jc w:val="center"/>
              <w:rPr>
                <w:rFonts w:cstheme="minorHAnsi"/>
                <w:b/>
                <w:sz w:val="24"/>
                <w:szCs w:val="24"/>
              </w:rPr>
            </w:pPr>
            <w:r w:rsidRPr="00B36E36">
              <w:rPr>
                <w:rFonts w:cstheme="minorHAnsi"/>
                <w:b/>
                <w:sz w:val="24"/>
                <w:szCs w:val="24"/>
              </w:rPr>
              <w:t>12.96</w:t>
            </w:r>
          </w:p>
        </w:tc>
      </w:tr>
    </w:tbl>
    <w:p w14:paraId="1CD0BD25" w14:textId="77777777" w:rsidR="007D53CE" w:rsidRDefault="007D53CE" w:rsidP="007D53CE">
      <w:pPr>
        <w:pStyle w:val="Paragraph"/>
      </w:pPr>
    </w:p>
    <w:p w14:paraId="0EF4E4A0" w14:textId="77777777" w:rsidR="007D53CE" w:rsidRDefault="007D53CE" w:rsidP="007D53CE">
      <w:pPr>
        <w:pStyle w:val="Paragraph"/>
      </w:pPr>
    </w:p>
    <w:tbl>
      <w:tblPr>
        <w:tblStyle w:val="TableGrid"/>
        <w:tblW w:w="0" w:type="auto"/>
        <w:tblLook w:val="04A0" w:firstRow="1" w:lastRow="0" w:firstColumn="1" w:lastColumn="0" w:noHBand="0" w:noVBand="1"/>
      </w:tblPr>
      <w:tblGrid>
        <w:gridCol w:w="4644"/>
        <w:gridCol w:w="3261"/>
      </w:tblGrid>
      <w:tr w:rsidR="007D53CE" w:rsidRPr="00B36E36" w14:paraId="0E91F033" w14:textId="77777777" w:rsidTr="00587F1D">
        <w:tc>
          <w:tcPr>
            <w:tcW w:w="7905" w:type="dxa"/>
            <w:gridSpan w:val="2"/>
            <w:vAlign w:val="center"/>
          </w:tcPr>
          <w:p w14:paraId="63F379BB" w14:textId="77777777" w:rsidR="007D53CE" w:rsidRPr="00B36E36" w:rsidRDefault="007D53CE" w:rsidP="00587F1D">
            <w:pPr>
              <w:spacing w:before="240" w:after="160" w:line="259" w:lineRule="auto"/>
              <w:jc w:val="center"/>
              <w:rPr>
                <w:rFonts w:cstheme="minorHAnsi"/>
                <w:b/>
                <w:bCs/>
                <w:sz w:val="24"/>
                <w:szCs w:val="24"/>
              </w:rPr>
            </w:pPr>
            <w:r w:rsidRPr="00B36E36">
              <w:rPr>
                <w:rFonts w:cstheme="minorHAnsi"/>
                <w:b/>
                <w:bCs/>
                <w:color w:val="4472C4" w:themeColor="accent1"/>
                <w:sz w:val="24"/>
                <w:szCs w:val="24"/>
              </w:rPr>
              <w:t xml:space="preserve">Table 2:  Forecast expenditure, by industry output, for </w:t>
            </w:r>
            <w:proofErr w:type="spellStart"/>
            <w:r w:rsidRPr="00B36E36">
              <w:rPr>
                <w:rFonts w:cstheme="minorHAnsi"/>
                <w:b/>
                <w:bCs/>
                <w:color w:val="4472C4" w:themeColor="accent1"/>
                <w:sz w:val="24"/>
                <w:szCs w:val="24"/>
              </w:rPr>
              <w:t>Medsafe</w:t>
            </w:r>
            <w:proofErr w:type="spellEnd"/>
          </w:p>
        </w:tc>
      </w:tr>
      <w:tr w:rsidR="007D53CE" w:rsidRPr="00B36E36" w14:paraId="37B29766" w14:textId="77777777" w:rsidTr="00587F1D">
        <w:tc>
          <w:tcPr>
            <w:tcW w:w="4644" w:type="dxa"/>
            <w:vAlign w:val="center"/>
          </w:tcPr>
          <w:p w14:paraId="0FB89246"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b/>
                <w:bCs/>
                <w:sz w:val="24"/>
                <w:szCs w:val="24"/>
              </w:rPr>
              <w:t>Output</w:t>
            </w:r>
          </w:p>
        </w:tc>
        <w:tc>
          <w:tcPr>
            <w:tcW w:w="3261" w:type="dxa"/>
          </w:tcPr>
          <w:p w14:paraId="36D02E52" w14:textId="77777777" w:rsidR="007D53CE" w:rsidRPr="00B36E36" w:rsidRDefault="007D53CE" w:rsidP="00587F1D">
            <w:pPr>
              <w:jc w:val="center"/>
              <w:rPr>
                <w:rFonts w:cstheme="minorHAnsi"/>
                <w:b/>
                <w:bCs/>
                <w:sz w:val="24"/>
                <w:szCs w:val="24"/>
              </w:rPr>
            </w:pPr>
            <w:r w:rsidRPr="00B36E36">
              <w:rPr>
                <w:rFonts w:cstheme="minorHAnsi"/>
                <w:b/>
                <w:bCs/>
                <w:sz w:val="24"/>
                <w:szCs w:val="24"/>
              </w:rPr>
              <w:t>2021/22 forecast cost</w:t>
            </w:r>
          </w:p>
          <w:p w14:paraId="6B8DBDAD" w14:textId="77777777" w:rsidR="007D53CE" w:rsidRPr="00B36E36" w:rsidRDefault="007D53CE" w:rsidP="00587F1D">
            <w:pPr>
              <w:pStyle w:val="Paragraph"/>
              <w:jc w:val="center"/>
              <w:rPr>
                <w:rFonts w:asciiTheme="minorHAnsi" w:hAnsiTheme="minorHAnsi" w:cstheme="minorHAnsi"/>
                <w:b/>
                <w:bCs/>
                <w:sz w:val="24"/>
                <w:szCs w:val="24"/>
                <w:lang w:eastAsia="en-NZ"/>
              </w:rPr>
            </w:pPr>
            <w:r w:rsidRPr="00B36E36">
              <w:rPr>
                <w:rFonts w:asciiTheme="minorHAnsi" w:hAnsiTheme="minorHAnsi" w:cstheme="minorHAnsi"/>
                <w:b/>
                <w:bCs/>
                <w:sz w:val="24"/>
                <w:szCs w:val="24"/>
                <w:lang w:eastAsia="en-NZ"/>
              </w:rPr>
              <w:t>($million)</w:t>
            </w:r>
          </w:p>
        </w:tc>
      </w:tr>
      <w:tr w:rsidR="007D53CE" w:rsidRPr="00B36E36" w14:paraId="643F5F65" w14:textId="77777777" w:rsidTr="00587F1D">
        <w:trPr>
          <w:trHeight w:val="340"/>
        </w:trPr>
        <w:tc>
          <w:tcPr>
            <w:tcW w:w="4644" w:type="dxa"/>
            <w:vAlign w:val="bottom"/>
          </w:tcPr>
          <w:p w14:paraId="59670024"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New medicine applications – medicine containing a new drug substance</w:t>
            </w:r>
          </w:p>
        </w:tc>
        <w:tc>
          <w:tcPr>
            <w:tcW w:w="3261" w:type="dxa"/>
            <w:vAlign w:val="bottom"/>
          </w:tcPr>
          <w:p w14:paraId="5F7D47FB" w14:textId="77777777" w:rsidR="007D53CE" w:rsidRPr="00B36E36" w:rsidRDefault="007D53CE" w:rsidP="00587F1D">
            <w:pPr>
              <w:spacing w:before="120"/>
              <w:ind w:right="528"/>
              <w:jc w:val="center"/>
              <w:rPr>
                <w:rFonts w:cstheme="minorHAnsi"/>
                <w:sz w:val="24"/>
                <w:szCs w:val="24"/>
              </w:rPr>
            </w:pPr>
            <w:r w:rsidRPr="00B36E36">
              <w:rPr>
                <w:rFonts w:cstheme="minorHAnsi"/>
                <w:sz w:val="24"/>
                <w:szCs w:val="24"/>
              </w:rPr>
              <w:t>2.89</w:t>
            </w:r>
          </w:p>
        </w:tc>
      </w:tr>
      <w:tr w:rsidR="007D53CE" w:rsidRPr="00B36E36" w14:paraId="76CB0546" w14:textId="77777777" w:rsidTr="00587F1D">
        <w:trPr>
          <w:trHeight w:val="340"/>
        </w:trPr>
        <w:tc>
          <w:tcPr>
            <w:tcW w:w="4644" w:type="dxa"/>
            <w:vAlign w:val="bottom"/>
          </w:tcPr>
          <w:p w14:paraId="6E3B7F27"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New medicine applications – prescription medicine not containing a new drug substance</w:t>
            </w:r>
          </w:p>
        </w:tc>
        <w:tc>
          <w:tcPr>
            <w:tcW w:w="3261" w:type="dxa"/>
            <w:vAlign w:val="bottom"/>
          </w:tcPr>
          <w:p w14:paraId="7B89F6B9" w14:textId="77777777" w:rsidR="007D53CE" w:rsidRPr="00B36E36" w:rsidRDefault="007D53CE" w:rsidP="00587F1D">
            <w:pPr>
              <w:spacing w:before="120"/>
              <w:ind w:right="528"/>
              <w:jc w:val="center"/>
              <w:rPr>
                <w:rFonts w:cstheme="minorHAnsi"/>
                <w:sz w:val="24"/>
                <w:szCs w:val="24"/>
              </w:rPr>
            </w:pPr>
            <w:r w:rsidRPr="00B36E36">
              <w:rPr>
                <w:rFonts w:cstheme="minorHAnsi"/>
                <w:sz w:val="24"/>
                <w:szCs w:val="24"/>
              </w:rPr>
              <w:t>1.41</w:t>
            </w:r>
          </w:p>
        </w:tc>
      </w:tr>
      <w:tr w:rsidR="007D53CE" w:rsidRPr="00B36E36" w14:paraId="5A1F3157" w14:textId="77777777" w:rsidTr="00587F1D">
        <w:trPr>
          <w:trHeight w:val="340"/>
        </w:trPr>
        <w:tc>
          <w:tcPr>
            <w:tcW w:w="4644" w:type="dxa"/>
            <w:vAlign w:val="bottom"/>
          </w:tcPr>
          <w:p w14:paraId="65964830"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New medicine applications – non-prescription medicine</w:t>
            </w:r>
          </w:p>
        </w:tc>
        <w:tc>
          <w:tcPr>
            <w:tcW w:w="3261" w:type="dxa"/>
            <w:vAlign w:val="bottom"/>
          </w:tcPr>
          <w:p w14:paraId="515C39B8" w14:textId="77777777" w:rsidR="007D53CE" w:rsidRPr="00B36E36" w:rsidRDefault="007D53CE" w:rsidP="00587F1D">
            <w:pPr>
              <w:spacing w:before="120"/>
              <w:ind w:right="528"/>
              <w:jc w:val="center"/>
              <w:rPr>
                <w:rFonts w:cstheme="minorHAnsi"/>
                <w:sz w:val="24"/>
                <w:szCs w:val="24"/>
              </w:rPr>
            </w:pPr>
            <w:r w:rsidRPr="00B36E36">
              <w:rPr>
                <w:rFonts w:cstheme="minorHAnsi"/>
                <w:sz w:val="24"/>
                <w:szCs w:val="24"/>
              </w:rPr>
              <w:t>0.62</w:t>
            </w:r>
          </w:p>
        </w:tc>
      </w:tr>
      <w:tr w:rsidR="007D53CE" w:rsidRPr="00B36E36" w14:paraId="13A4168D" w14:textId="77777777" w:rsidTr="00587F1D">
        <w:trPr>
          <w:trHeight w:val="340"/>
        </w:trPr>
        <w:tc>
          <w:tcPr>
            <w:tcW w:w="4644" w:type="dxa"/>
            <w:vAlign w:val="bottom"/>
          </w:tcPr>
          <w:p w14:paraId="79B4CD37"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Changed medicine notifications</w:t>
            </w:r>
          </w:p>
        </w:tc>
        <w:tc>
          <w:tcPr>
            <w:tcW w:w="3261" w:type="dxa"/>
            <w:vAlign w:val="bottom"/>
          </w:tcPr>
          <w:p w14:paraId="2831A56D" w14:textId="77777777" w:rsidR="007D53CE" w:rsidRPr="00B36E36" w:rsidRDefault="007D53CE" w:rsidP="00587F1D">
            <w:pPr>
              <w:spacing w:before="120"/>
              <w:ind w:right="528"/>
              <w:jc w:val="center"/>
              <w:rPr>
                <w:rFonts w:cstheme="minorHAnsi"/>
                <w:sz w:val="24"/>
                <w:szCs w:val="24"/>
              </w:rPr>
            </w:pPr>
            <w:r w:rsidRPr="00B36E36">
              <w:rPr>
                <w:rFonts w:cstheme="minorHAnsi"/>
                <w:sz w:val="24"/>
                <w:szCs w:val="24"/>
              </w:rPr>
              <w:t>5.12</w:t>
            </w:r>
          </w:p>
        </w:tc>
      </w:tr>
      <w:tr w:rsidR="007D53CE" w:rsidRPr="00B36E36" w14:paraId="3AB00306" w14:textId="77777777" w:rsidTr="00587F1D">
        <w:trPr>
          <w:trHeight w:val="340"/>
        </w:trPr>
        <w:tc>
          <w:tcPr>
            <w:tcW w:w="4644" w:type="dxa"/>
            <w:vAlign w:val="bottom"/>
          </w:tcPr>
          <w:p w14:paraId="1901CB6F"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Clinical trial applications</w:t>
            </w:r>
          </w:p>
        </w:tc>
        <w:tc>
          <w:tcPr>
            <w:tcW w:w="3261" w:type="dxa"/>
            <w:vAlign w:val="bottom"/>
          </w:tcPr>
          <w:p w14:paraId="74E61B3E" w14:textId="77777777" w:rsidR="007D53CE" w:rsidRPr="00B36E36" w:rsidRDefault="007D53CE" w:rsidP="00587F1D">
            <w:pPr>
              <w:spacing w:before="120"/>
              <w:ind w:right="528"/>
              <w:jc w:val="center"/>
              <w:rPr>
                <w:rFonts w:cstheme="minorHAnsi"/>
                <w:sz w:val="24"/>
                <w:szCs w:val="24"/>
              </w:rPr>
            </w:pPr>
            <w:r w:rsidRPr="00B36E36">
              <w:rPr>
                <w:rFonts w:cstheme="minorHAnsi"/>
                <w:sz w:val="24"/>
                <w:szCs w:val="24"/>
              </w:rPr>
              <w:t>0.70</w:t>
            </w:r>
          </w:p>
        </w:tc>
      </w:tr>
      <w:tr w:rsidR="007D53CE" w:rsidRPr="00B36E36" w14:paraId="14B21ECC" w14:textId="77777777" w:rsidTr="00587F1D">
        <w:trPr>
          <w:trHeight w:val="340"/>
        </w:trPr>
        <w:tc>
          <w:tcPr>
            <w:tcW w:w="4644" w:type="dxa"/>
            <w:vAlign w:val="bottom"/>
          </w:tcPr>
          <w:p w14:paraId="0D70CD6E"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 xml:space="preserve">Manufacturing assessment (manufacturer and packer licensing) </w:t>
            </w:r>
          </w:p>
        </w:tc>
        <w:tc>
          <w:tcPr>
            <w:tcW w:w="3261" w:type="dxa"/>
            <w:vAlign w:val="bottom"/>
          </w:tcPr>
          <w:p w14:paraId="3B85BD0B" w14:textId="77777777" w:rsidR="007D53CE" w:rsidRPr="00B36E36" w:rsidRDefault="007D53CE" w:rsidP="00587F1D">
            <w:pPr>
              <w:spacing w:before="120"/>
              <w:ind w:right="528"/>
              <w:jc w:val="center"/>
              <w:rPr>
                <w:rFonts w:cstheme="minorHAnsi"/>
                <w:sz w:val="24"/>
                <w:szCs w:val="24"/>
              </w:rPr>
            </w:pPr>
            <w:r w:rsidRPr="00B36E36">
              <w:rPr>
                <w:rFonts w:cstheme="minorHAnsi"/>
                <w:sz w:val="24"/>
                <w:szCs w:val="24"/>
              </w:rPr>
              <w:t>0.65</w:t>
            </w:r>
          </w:p>
        </w:tc>
      </w:tr>
      <w:tr w:rsidR="007D53CE" w:rsidRPr="00B36E36" w14:paraId="63FF3C9B" w14:textId="77777777" w:rsidTr="00587F1D">
        <w:trPr>
          <w:trHeight w:val="493"/>
        </w:trPr>
        <w:tc>
          <w:tcPr>
            <w:tcW w:w="4644" w:type="dxa"/>
            <w:vAlign w:val="bottom"/>
          </w:tcPr>
          <w:p w14:paraId="10543CBF" w14:textId="77777777" w:rsidR="007D53CE" w:rsidRPr="00B36E36" w:rsidRDefault="007D53CE" w:rsidP="00587F1D">
            <w:pPr>
              <w:pStyle w:val="Paragraph"/>
              <w:rPr>
                <w:rFonts w:asciiTheme="minorHAnsi" w:hAnsiTheme="minorHAnsi" w:cstheme="minorHAnsi"/>
                <w:sz w:val="24"/>
                <w:szCs w:val="24"/>
              </w:rPr>
            </w:pPr>
            <w:r w:rsidRPr="00B36E36">
              <w:rPr>
                <w:rFonts w:asciiTheme="minorHAnsi" w:hAnsiTheme="minorHAnsi" w:cstheme="minorHAnsi"/>
                <w:b/>
                <w:bCs/>
                <w:sz w:val="24"/>
                <w:szCs w:val="24"/>
              </w:rPr>
              <w:t>Total industry-funded activities</w:t>
            </w:r>
          </w:p>
        </w:tc>
        <w:tc>
          <w:tcPr>
            <w:tcW w:w="3261" w:type="dxa"/>
            <w:vAlign w:val="bottom"/>
          </w:tcPr>
          <w:p w14:paraId="0AAB2D8D" w14:textId="77777777" w:rsidR="007D53CE" w:rsidRPr="00B36E36" w:rsidRDefault="007D53CE" w:rsidP="00587F1D">
            <w:pPr>
              <w:spacing w:before="120"/>
              <w:ind w:right="528"/>
              <w:jc w:val="center"/>
              <w:rPr>
                <w:rFonts w:cstheme="minorHAnsi"/>
                <w:b/>
                <w:sz w:val="24"/>
                <w:szCs w:val="24"/>
              </w:rPr>
            </w:pPr>
            <w:r w:rsidRPr="00B36E36">
              <w:rPr>
                <w:rFonts w:cstheme="minorHAnsi"/>
                <w:b/>
                <w:sz w:val="24"/>
                <w:szCs w:val="24"/>
              </w:rPr>
              <w:t>11.39</w:t>
            </w:r>
          </w:p>
        </w:tc>
      </w:tr>
    </w:tbl>
    <w:p w14:paraId="6FFFBB37" w14:textId="77777777" w:rsidR="007D53CE" w:rsidRDefault="007D53CE" w:rsidP="00455BF9">
      <w:pPr>
        <w:rPr>
          <w:rFonts w:cstheme="minorHAnsi"/>
          <w:sz w:val="24"/>
          <w:szCs w:val="24"/>
        </w:rPr>
      </w:pPr>
    </w:p>
    <w:p w14:paraId="25AE79DD" w14:textId="3F50E289" w:rsidR="00EC0E34" w:rsidRPr="00ED306C" w:rsidRDefault="00EC0E34" w:rsidP="00EC0E34">
      <w:pPr>
        <w:pStyle w:val="Paragraph"/>
        <w:rPr>
          <w:rFonts w:asciiTheme="minorHAnsi" w:hAnsiTheme="minorHAnsi" w:cstheme="minorHAnsi"/>
          <w:b/>
          <w:bCs/>
          <w:sz w:val="24"/>
          <w:szCs w:val="24"/>
        </w:rPr>
      </w:pPr>
      <w:r>
        <w:rPr>
          <w:rFonts w:asciiTheme="minorHAnsi" w:hAnsiTheme="minorHAnsi" w:cstheme="minorHAnsi"/>
          <w:b/>
          <w:bCs/>
          <w:sz w:val="24"/>
          <w:szCs w:val="24"/>
        </w:rPr>
        <w:t>Memorandum Account Movement</w:t>
      </w:r>
    </w:p>
    <w:p w14:paraId="7CA5D0D1" w14:textId="5539CE5C" w:rsidR="00EC0E34" w:rsidRPr="00D32E9E" w:rsidRDefault="00EC0E34" w:rsidP="00EC0E34">
      <w:pPr>
        <w:pStyle w:val="Paragraph"/>
        <w:rPr>
          <w:rFonts w:asciiTheme="minorHAnsi" w:hAnsiTheme="minorHAnsi" w:cstheme="minorHAnsi"/>
          <w:sz w:val="24"/>
          <w:szCs w:val="24"/>
        </w:rPr>
      </w:pPr>
      <w:r w:rsidRPr="00D32E9E">
        <w:rPr>
          <w:rFonts w:asciiTheme="minorHAnsi" w:hAnsiTheme="minorHAnsi" w:cstheme="minorHAnsi"/>
          <w:sz w:val="24"/>
          <w:szCs w:val="24"/>
        </w:rPr>
        <w:t xml:space="preserve">Table 3 shows the movement in the </w:t>
      </w:r>
      <w:proofErr w:type="spellStart"/>
      <w:r w:rsidRPr="00D32E9E">
        <w:rPr>
          <w:rFonts w:asciiTheme="minorHAnsi" w:hAnsiTheme="minorHAnsi" w:cstheme="minorHAnsi"/>
          <w:sz w:val="24"/>
          <w:szCs w:val="24"/>
        </w:rPr>
        <w:t>Medsafe</w:t>
      </w:r>
      <w:proofErr w:type="spellEnd"/>
      <w:r w:rsidRPr="00D32E9E">
        <w:rPr>
          <w:rFonts w:asciiTheme="minorHAnsi" w:hAnsiTheme="minorHAnsi" w:cstheme="minorHAnsi"/>
          <w:sz w:val="24"/>
          <w:szCs w:val="24"/>
        </w:rPr>
        <w:t xml:space="preserve"> memorandum account for the last five complete financial years.  The memorandum account is externally audited annually and published in the Ministry of Health’s Annual Report.</w:t>
      </w:r>
    </w:p>
    <w:p w14:paraId="0048DE50" w14:textId="77777777" w:rsidR="00EC0E34" w:rsidRPr="00D32E9E" w:rsidRDefault="00EC0E34" w:rsidP="00EC0E34">
      <w:pPr>
        <w:pStyle w:val="Paragraph"/>
        <w:rPr>
          <w:rFonts w:asciiTheme="minorHAnsi" w:hAnsiTheme="minorHAnsi" w:cstheme="minorHAnsi"/>
          <w:sz w:val="24"/>
          <w:szCs w:val="24"/>
        </w:rPr>
      </w:pPr>
      <w:r w:rsidRPr="00D32E9E">
        <w:rPr>
          <w:rFonts w:asciiTheme="minorHAnsi" w:hAnsiTheme="minorHAnsi" w:cstheme="minorHAnsi"/>
          <w:sz w:val="24"/>
          <w:szCs w:val="24"/>
        </w:rPr>
        <w:t xml:space="preserve">The memorandum account has recorded annual deficits over this five-year period, moving from a $2.6 million surplus position to $2.5 million deficit position. This is largely due to lower new medicine application volumes than </w:t>
      </w:r>
      <w:proofErr w:type="gramStart"/>
      <w:r w:rsidRPr="00D32E9E">
        <w:rPr>
          <w:rFonts w:asciiTheme="minorHAnsi" w:hAnsiTheme="minorHAnsi" w:cstheme="minorHAnsi"/>
          <w:sz w:val="24"/>
          <w:szCs w:val="24"/>
        </w:rPr>
        <w:t>budgeted,</w:t>
      </w:r>
      <w:proofErr w:type="gramEnd"/>
      <w:r w:rsidRPr="00D32E9E">
        <w:rPr>
          <w:rFonts w:asciiTheme="minorHAnsi" w:hAnsiTheme="minorHAnsi" w:cstheme="minorHAnsi"/>
          <w:sz w:val="24"/>
          <w:szCs w:val="24"/>
        </w:rPr>
        <w:t xml:space="preserve"> however the size of the annual deficit has reduced in the two most recent years.</w:t>
      </w:r>
    </w:p>
    <w:p w14:paraId="06854442" w14:textId="77777777" w:rsidR="00EC0E34" w:rsidRPr="009A707F" w:rsidRDefault="00EC0E34" w:rsidP="00EC0E34">
      <w:pPr>
        <w:pStyle w:val="Paragraph"/>
      </w:pPr>
    </w:p>
    <w:tbl>
      <w:tblPr>
        <w:tblStyle w:val="TableGrid"/>
        <w:tblW w:w="0" w:type="auto"/>
        <w:tblLook w:val="04A0" w:firstRow="1" w:lastRow="0" w:firstColumn="1" w:lastColumn="0" w:noHBand="0" w:noVBand="1"/>
      </w:tblPr>
      <w:tblGrid>
        <w:gridCol w:w="1809"/>
        <w:gridCol w:w="1440"/>
        <w:gridCol w:w="1440"/>
        <w:gridCol w:w="1440"/>
        <w:gridCol w:w="1441"/>
        <w:gridCol w:w="1446"/>
      </w:tblGrid>
      <w:tr w:rsidR="00EC0E34" w:rsidRPr="00B36E36" w14:paraId="0D428247" w14:textId="77777777" w:rsidTr="00587F1D">
        <w:tc>
          <w:tcPr>
            <w:tcW w:w="9016" w:type="dxa"/>
            <w:gridSpan w:val="6"/>
          </w:tcPr>
          <w:p w14:paraId="41985D5D" w14:textId="77777777" w:rsidR="00EC0E34" w:rsidRPr="00B36E36" w:rsidRDefault="00EC0E34" w:rsidP="00587F1D">
            <w:pPr>
              <w:pStyle w:val="Paragraph"/>
              <w:spacing w:before="240"/>
              <w:jc w:val="center"/>
              <w:rPr>
                <w:rFonts w:asciiTheme="minorHAnsi" w:hAnsiTheme="minorHAnsi" w:cstheme="minorHAnsi"/>
                <w:color w:val="4472C4" w:themeColor="accent1"/>
                <w:sz w:val="24"/>
                <w:szCs w:val="24"/>
              </w:rPr>
            </w:pPr>
            <w:r w:rsidRPr="00B36E36">
              <w:rPr>
                <w:rFonts w:asciiTheme="minorHAnsi" w:hAnsiTheme="minorHAnsi" w:cstheme="minorHAnsi"/>
                <w:b/>
                <w:bCs/>
                <w:color w:val="4472C4" w:themeColor="accent1"/>
                <w:sz w:val="24"/>
                <w:szCs w:val="24"/>
              </w:rPr>
              <w:t xml:space="preserve">Table 3:  Movement in the </w:t>
            </w:r>
            <w:proofErr w:type="spellStart"/>
            <w:r w:rsidRPr="00B36E36">
              <w:rPr>
                <w:rFonts w:asciiTheme="minorHAnsi" w:hAnsiTheme="minorHAnsi" w:cstheme="minorHAnsi"/>
                <w:b/>
                <w:bCs/>
                <w:color w:val="4472C4" w:themeColor="accent1"/>
                <w:sz w:val="24"/>
                <w:szCs w:val="24"/>
              </w:rPr>
              <w:t>Medsafe</w:t>
            </w:r>
            <w:proofErr w:type="spellEnd"/>
            <w:r w:rsidRPr="00B36E36">
              <w:rPr>
                <w:rFonts w:asciiTheme="minorHAnsi" w:hAnsiTheme="minorHAnsi" w:cstheme="minorHAnsi"/>
                <w:b/>
                <w:bCs/>
                <w:color w:val="4472C4" w:themeColor="accent1"/>
                <w:sz w:val="24"/>
                <w:szCs w:val="24"/>
              </w:rPr>
              <w:t xml:space="preserve"> memorandum account</w:t>
            </w:r>
          </w:p>
        </w:tc>
      </w:tr>
      <w:tr w:rsidR="00EC0E34" w:rsidRPr="00B36E36" w14:paraId="635EC737" w14:textId="77777777" w:rsidTr="00587F1D">
        <w:trPr>
          <w:trHeight w:val="582"/>
        </w:trPr>
        <w:tc>
          <w:tcPr>
            <w:tcW w:w="1519" w:type="dxa"/>
            <w:vAlign w:val="center"/>
          </w:tcPr>
          <w:p w14:paraId="4B8CA80C" w14:textId="77777777" w:rsidR="00EC0E34" w:rsidRPr="00B36E36" w:rsidRDefault="00EC0E34" w:rsidP="00587F1D">
            <w:pPr>
              <w:pStyle w:val="Paragraph"/>
              <w:jc w:val="center"/>
              <w:rPr>
                <w:rFonts w:asciiTheme="minorHAnsi" w:hAnsiTheme="minorHAnsi" w:cstheme="minorHAnsi"/>
                <w:b/>
                <w:sz w:val="24"/>
                <w:szCs w:val="24"/>
              </w:rPr>
            </w:pPr>
            <w:r w:rsidRPr="00B36E36">
              <w:rPr>
                <w:rFonts w:asciiTheme="minorHAnsi" w:hAnsiTheme="minorHAnsi" w:cstheme="minorHAnsi"/>
                <w:b/>
                <w:sz w:val="24"/>
                <w:szCs w:val="24"/>
              </w:rPr>
              <w:t>($000)</w:t>
            </w:r>
          </w:p>
        </w:tc>
        <w:tc>
          <w:tcPr>
            <w:tcW w:w="1498" w:type="dxa"/>
            <w:vAlign w:val="center"/>
          </w:tcPr>
          <w:p w14:paraId="6E17AE6C" w14:textId="77777777" w:rsidR="00EC0E34" w:rsidRPr="00B36E36" w:rsidRDefault="00EC0E34" w:rsidP="00587F1D">
            <w:pPr>
              <w:pStyle w:val="Paragraph"/>
              <w:jc w:val="center"/>
              <w:rPr>
                <w:rFonts w:asciiTheme="minorHAnsi" w:hAnsiTheme="minorHAnsi" w:cstheme="minorHAnsi"/>
                <w:b/>
                <w:sz w:val="24"/>
                <w:szCs w:val="24"/>
              </w:rPr>
            </w:pPr>
            <w:r w:rsidRPr="00B36E36">
              <w:rPr>
                <w:rFonts w:asciiTheme="minorHAnsi" w:hAnsiTheme="minorHAnsi" w:cstheme="minorHAnsi"/>
                <w:b/>
                <w:bCs/>
                <w:color w:val="000000"/>
                <w:sz w:val="24"/>
                <w:szCs w:val="24"/>
              </w:rPr>
              <w:t>2015/16</w:t>
            </w:r>
          </w:p>
        </w:tc>
        <w:tc>
          <w:tcPr>
            <w:tcW w:w="1498" w:type="dxa"/>
            <w:vAlign w:val="center"/>
          </w:tcPr>
          <w:p w14:paraId="1D8B4BD0" w14:textId="77777777" w:rsidR="00EC0E34" w:rsidRPr="00B36E36" w:rsidRDefault="00EC0E34" w:rsidP="00587F1D">
            <w:pPr>
              <w:pStyle w:val="Paragraph"/>
              <w:jc w:val="center"/>
              <w:rPr>
                <w:rFonts w:asciiTheme="minorHAnsi" w:hAnsiTheme="minorHAnsi" w:cstheme="minorHAnsi"/>
                <w:b/>
                <w:sz w:val="24"/>
                <w:szCs w:val="24"/>
              </w:rPr>
            </w:pPr>
            <w:r w:rsidRPr="00B36E36">
              <w:rPr>
                <w:rFonts w:asciiTheme="minorHAnsi" w:hAnsiTheme="minorHAnsi" w:cstheme="minorHAnsi"/>
                <w:b/>
                <w:bCs/>
                <w:color w:val="000000"/>
                <w:sz w:val="24"/>
                <w:szCs w:val="24"/>
              </w:rPr>
              <w:t>2016/17</w:t>
            </w:r>
          </w:p>
        </w:tc>
        <w:tc>
          <w:tcPr>
            <w:tcW w:w="1498" w:type="dxa"/>
            <w:vAlign w:val="center"/>
          </w:tcPr>
          <w:p w14:paraId="03E837AB" w14:textId="77777777" w:rsidR="00EC0E34" w:rsidRPr="00B36E36" w:rsidRDefault="00EC0E34" w:rsidP="00587F1D">
            <w:pPr>
              <w:pStyle w:val="Paragraph"/>
              <w:jc w:val="center"/>
              <w:rPr>
                <w:rFonts w:asciiTheme="minorHAnsi" w:hAnsiTheme="minorHAnsi" w:cstheme="minorHAnsi"/>
                <w:b/>
                <w:sz w:val="24"/>
                <w:szCs w:val="24"/>
              </w:rPr>
            </w:pPr>
            <w:r w:rsidRPr="00B36E36">
              <w:rPr>
                <w:rFonts w:asciiTheme="minorHAnsi" w:hAnsiTheme="minorHAnsi" w:cstheme="minorHAnsi"/>
                <w:b/>
                <w:bCs/>
                <w:color w:val="000000"/>
                <w:sz w:val="24"/>
                <w:szCs w:val="24"/>
              </w:rPr>
              <w:t>2017/18</w:t>
            </w:r>
          </w:p>
        </w:tc>
        <w:tc>
          <w:tcPr>
            <w:tcW w:w="1499" w:type="dxa"/>
            <w:vAlign w:val="center"/>
          </w:tcPr>
          <w:p w14:paraId="7EAC4B12" w14:textId="77777777" w:rsidR="00EC0E34" w:rsidRPr="00B36E36" w:rsidRDefault="00EC0E34" w:rsidP="00587F1D">
            <w:pPr>
              <w:pStyle w:val="Paragraph"/>
              <w:jc w:val="center"/>
              <w:rPr>
                <w:rFonts w:asciiTheme="minorHAnsi" w:hAnsiTheme="minorHAnsi" w:cstheme="minorHAnsi"/>
                <w:b/>
                <w:sz w:val="24"/>
                <w:szCs w:val="24"/>
              </w:rPr>
            </w:pPr>
            <w:r w:rsidRPr="00B36E36">
              <w:rPr>
                <w:rFonts w:asciiTheme="minorHAnsi" w:hAnsiTheme="minorHAnsi" w:cstheme="minorHAnsi"/>
                <w:b/>
                <w:bCs/>
                <w:color w:val="000000"/>
                <w:sz w:val="24"/>
                <w:szCs w:val="24"/>
              </w:rPr>
              <w:t>2018/19</w:t>
            </w:r>
          </w:p>
        </w:tc>
        <w:tc>
          <w:tcPr>
            <w:tcW w:w="1504" w:type="dxa"/>
            <w:vAlign w:val="center"/>
          </w:tcPr>
          <w:p w14:paraId="32C8FB55" w14:textId="77777777" w:rsidR="00EC0E34" w:rsidRPr="00B36E36" w:rsidRDefault="00EC0E34" w:rsidP="00587F1D">
            <w:pPr>
              <w:pStyle w:val="Paragraph"/>
              <w:jc w:val="center"/>
              <w:rPr>
                <w:rFonts w:asciiTheme="minorHAnsi" w:hAnsiTheme="minorHAnsi" w:cstheme="minorHAnsi"/>
                <w:b/>
                <w:sz w:val="24"/>
                <w:szCs w:val="24"/>
              </w:rPr>
            </w:pPr>
            <w:r w:rsidRPr="00B36E36">
              <w:rPr>
                <w:rFonts w:asciiTheme="minorHAnsi" w:hAnsiTheme="minorHAnsi" w:cstheme="minorHAnsi"/>
                <w:b/>
                <w:bCs/>
                <w:color w:val="000000"/>
                <w:sz w:val="24"/>
                <w:szCs w:val="24"/>
              </w:rPr>
              <w:t>2019/20</w:t>
            </w:r>
          </w:p>
        </w:tc>
      </w:tr>
      <w:tr w:rsidR="00EC0E34" w:rsidRPr="00B36E36" w14:paraId="70F3AFF6" w14:textId="77777777" w:rsidTr="00587F1D">
        <w:tc>
          <w:tcPr>
            <w:tcW w:w="1519" w:type="dxa"/>
            <w:vAlign w:val="bottom"/>
          </w:tcPr>
          <w:p w14:paraId="460D72EE" w14:textId="77777777" w:rsidR="00EC0E34" w:rsidRPr="00B36E36" w:rsidRDefault="00EC0E34"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Opening balance</w:t>
            </w:r>
          </w:p>
        </w:tc>
        <w:tc>
          <w:tcPr>
            <w:tcW w:w="1498" w:type="dxa"/>
            <w:vAlign w:val="bottom"/>
          </w:tcPr>
          <w:p w14:paraId="0CFEE829"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2,636</w:t>
            </w:r>
          </w:p>
        </w:tc>
        <w:tc>
          <w:tcPr>
            <w:tcW w:w="1498" w:type="dxa"/>
            <w:vAlign w:val="bottom"/>
          </w:tcPr>
          <w:p w14:paraId="2A1D1C40"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1,288</w:t>
            </w:r>
          </w:p>
        </w:tc>
        <w:tc>
          <w:tcPr>
            <w:tcW w:w="1498" w:type="dxa"/>
            <w:vAlign w:val="bottom"/>
          </w:tcPr>
          <w:p w14:paraId="39D1954C"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6</w:t>
            </w:r>
          </w:p>
        </w:tc>
        <w:tc>
          <w:tcPr>
            <w:tcW w:w="1499" w:type="dxa"/>
            <w:vAlign w:val="bottom"/>
          </w:tcPr>
          <w:p w14:paraId="38595A7A"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-1,310</w:t>
            </w:r>
          </w:p>
        </w:tc>
        <w:tc>
          <w:tcPr>
            <w:tcW w:w="1504" w:type="dxa"/>
            <w:vAlign w:val="bottom"/>
          </w:tcPr>
          <w:p w14:paraId="56F0DA4D"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-2,046</w:t>
            </w:r>
          </w:p>
        </w:tc>
      </w:tr>
      <w:tr w:rsidR="00EC0E34" w:rsidRPr="00B36E36" w14:paraId="1DEBA88A" w14:textId="77777777" w:rsidTr="00587F1D">
        <w:tc>
          <w:tcPr>
            <w:tcW w:w="1519" w:type="dxa"/>
            <w:vAlign w:val="bottom"/>
          </w:tcPr>
          <w:p w14:paraId="4FB25119" w14:textId="77777777" w:rsidR="00EC0E34" w:rsidRPr="00B36E36" w:rsidRDefault="00EC0E34"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Revenue</w:t>
            </w:r>
          </w:p>
        </w:tc>
        <w:tc>
          <w:tcPr>
            <w:tcW w:w="1498" w:type="dxa"/>
            <w:vAlign w:val="bottom"/>
          </w:tcPr>
          <w:p w14:paraId="06DE191B"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7,427</w:t>
            </w:r>
          </w:p>
        </w:tc>
        <w:tc>
          <w:tcPr>
            <w:tcW w:w="1498" w:type="dxa"/>
            <w:vAlign w:val="bottom"/>
          </w:tcPr>
          <w:p w14:paraId="1175DF4D"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7,646</w:t>
            </w:r>
          </w:p>
        </w:tc>
        <w:tc>
          <w:tcPr>
            <w:tcW w:w="1498" w:type="dxa"/>
            <w:vAlign w:val="bottom"/>
          </w:tcPr>
          <w:p w14:paraId="7204532E"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7,309</w:t>
            </w:r>
          </w:p>
        </w:tc>
        <w:tc>
          <w:tcPr>
            <w:tcW w:w="1499" w:type="dxa"/>
            <w:vAlign w:val="bottom"/>
          </w:tcPr>
          <w:p w14:paraId="2AF7ED1F"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8,746</w:t>
            </w:r>
          </w:p>
        </w:tc>
        <w:tc>
          <w:tcPr>
            <w:tcW w:w="1504" w:type="dxa"/>
            <w:vAlign w:val="bottom"/>
          </w:tcPr>
          <w:p w14:paraId="045076D6"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8,400</w:t>
            </w:r>
          </w:p>
        </w:tc>
      </w:tr>
      <w:tr w:rsidR="00EC0E34" w:rsidRPr="00B36E36" w14:paraId="6AFEAE69" w14:textId="77777777" w:rsidTr="00587F1D">
        <w:tc>
          <w:tcPr>
            <w:tcW w:w="1519" w:type="dxa"/>
            <w:vAlign w:val="bottom"/>
          </w:tcPr>
          <w:p w14:paraId="74AD83D5" w14:textId="77777777" w:rsidR="00EC0E34" w:rsidRPr="00B36E36" w:rsidRDefault="00EC0E34"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Expenditure</w:t>
            </w:r>
          </w:p>
        </w:tc>
        <w:tc>
          <w:tcPr>
            <w:tcW w:w="1498" w:type="dxa"/>
            <w:vAlign w:val="bottom"/>
          </w:tcPr>
          <w:p w14:paraId="3FA76A14"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-8,775</w:t>
            </w:r>
          </w:p>
        </w:tc>
        <w:tc>
          <w:tcPr>
            <w:tcW w:w="1498" w:type="dxa"/>
            <w:vAlign w:val="bottom"/>
          </w:tcPr>
          <w:p w14:paraId="149D6A18"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-8,928</w:t>
            </w:r>
          </w:p>
        </w:tc>
        <w:tc>
          <w:tcPr>
            <w:tcW w:w="1498" w:type="dxa"/>
            <w:vAlign w:val="bottom"/>
          </w:tcPr>
          <w:p w14:paraId="75FBD29D"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-8,625</w:t>
            </w:r>
          </w:p>
        </w:tc>
        <w:tc>
          <w:tcPr>
            <w:tcW w:w="1499" w:type="dxa"/>
            <w:vAlign w:val="bottom"/>
          </w:tcPr>
          <w:p w14:paraId="58CBBE34"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-9,482</w:t>
            </w:r>
          </w:p>
        </w:tc>
        <w:tc>
          <w:tcPr>
            <w:tcW w:w="1504" w:type="dxa"/>
            <w:vAlign w:val="bottom"/>
          </w:tcPr>
          <w:p w14:paraId="1B4CC3C2"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-8,839</w:t>
            </w:r>
          </w:p>
        </w:tc>
      </w:tr>
      <w:tr w:rsidR="00EC0E34" w:rsidRPr="00B36E36" w14:paraId="5AECFF7C" w14:textId="77777777" w:rsidTr="00587F1D">
        <w:tc>
          <w:tcPr>
            <w:tcW w:w="1519" w:type="dxa"/>
            <w:vAlign w:val="bottom"/>
          </w:tcPr>
          <w:p w14:paraId="4775D02E" w14:textId="77777777" w:rsidR="00EC0E34" w:rsidRPr="00B36E36" w:rsidRDefault="00EC0E34" w:rsidP="00587F1D">
            <w:pPr>
              <w:rPr>
                <w:rFonts w:cstheme="minorHAnsi"/>
                <w:color w:val="000000"/>
                <w:sz w:val="24"/>
                <w:szCs w:val="24"/>
              </w:rPr>
            </w:pPr>
            <w:r w:rsidRPr="00B36E36">
              <w:rPr>
                <w:rFonts w:cstheme="minorHAnsi"/>
                <w:color w:val="000000"/>
                <w:sz w:val="24"/>
                <w:szCs w:val="24"/>
              </w:rPr>
              <w:t>Annual Surplus/(Deficit)</w:t>
            </w:r>
          </w:p>
        </w:tc>
        <w:tc>
          <w:tcPr>
            <w:tcW w:w="1498" w:type="dxa"/>
            <w:vAlign w:val="bottom"/>
          </w:tcPr>
          <w:p w14:paraId="0DC04D0E" w14:textId="77777777" w:rsidR="00EC0E34" w:rsidRPr="00B36E36" w:rsidRDefault="00EC0E34" w:rsidP="00587F1D">
            <w:pPr>
              <w:pStyle w:val="Paragraph"/>
              <w:jc w:val="right"/>
              <w:rPr>
                <w:rFonts w:asciiTheme="minorHAnsi" w:hAnsiTheme="minorHAnsi" w:cstheme="minorHAnsi"/>
                <w:color w:val="000000"/>
                <w:sz w:val="24"/>
                <w:szCs w:val="24"/>
              </w:rPr>
            </w:pPr>
            <w:r w:rsidRPr="00B36E36">
              <w:rPr>
                <w:rFonts w:asciiTheme="minorHAnsi" w:hAnsiTheme="minorHAnsi" w:cstheme="minorHAnsi"/>
                <w:color w:val="000000"/>
                <w:sz w:val="24"/>
                <w:szCs w:val="24"/>
              </w:rPr>
              <w:t>-1,348</w:t>
            </w:r>
          </w:p>
        </w:tc>
        <w:tc>
          <w:tcPr>
            <w:tcW w:w="1498" w:type="dxa"/>
            <w:vAlign w:val="bottom"/>
          </w:tcPr>
          <w:p w14:paraId="2558CB7C" w14:textId="77777777" w:rsidR="00EC0E34" w:rsidRPr="00B36E36" w:rsidRDefault="00EC0E34" w:rsidP="00587F1D">
            <w:pPr>
              <w:pStyle w:val="Paragraph"/>
              <w:jc w:val="right"/>
              <w:rPr>
                <w:rFonts w:asciiTheme="minorHAnsi" w:hAnsiTheme="minorHAnsi" w:cstheme="minorHAnsi"/>
                <w:color w:val="000000"/>
                <w:sz w:val="24"/>
                <w:szCs w:val="24"/>
              </w:rPr>
            </w:pPr>
            <w:r w:rsidRPr="00B36E36">
              <w:rPr>
                <w:rFonts w:asciiTheme="minorHAnsi" w:hAnsiTheme="minorHAnsi" w:cstheme="minorHAnsi"/>
                <w:color w:val="000000"/>
                <w:sz w:val="24"/>
                <w:szCs w:val="24"/>
              </w:rPr>
              <w:t>-1,282</w:t>
            </w:r>
          </w:p>
        </w:tc>
        <w:tc>
          <w:tcPr>
            <w:tcW w:w="1498" w:type="dxa"/>
            <w:vAlign w:val="bottom"/>
          </w:tcPr>
          <w:p w14:paraId="5A830CC4" w14:textId="77777777" w:rsidR="00EC0E34" w:rsidRPr="00B36E36" w:rsidRDefault="00EC0E34" w:rsidP="00587F1D">
            <w:pPr>
              <w:pStyle w:val="Paragraph"/>
              <w:jc w:val="right"/>
              <w:rPr>
                <w:rFonts w:asciiTheme="minorHAnsi" w:hAnsiTheme="minorHAnsi" w:cstheme="minorHAnsi"/>
                <w:color w:val="000000"/>
                <w:sz w:val="24"/>
                <w:szCs w:val="24"/>
              </w:rPr>
            </w:pPr>
            <w:r w:rsidRPr="00B36E36">
              <w:rPr>
                <w:rFonts w:asciiTheme="minorHAnsi" w:hAnsiTheme="minorHAnsi" w:cstheme="minorHAnsi"/>
                <w:color w:val="000000"/>
                <w:sz w:val="24"/>
                <w:szCs w:val="24"/>
              </w:rPr>
              <w:t>-1,316</w:t>
            </w:r>
          </w:p>
        </w:tc>
        <w:tc>
          <w:tcPr>
            <w:tcW w:w="1499" w:type="dxa"/>
            <w:vAlign w:val="bottom"/>
          </w:tcPr>
          <w:p w14:paraId="708DA84C" w14:textId="77777777" w:rsidR="00EC0E34" w:rsidRPr="00B36E36" w:rsidRDefault="00EC0E34" w:rsidP="00587F1D">
            <w:pPr>
              <w:pStyle w:val="Paragraph"/>
              <w:jc w:val="right"/>
              <w:rPr>
                <w:rFonts w:asciiTheme="minorHAnsi" w:hAnsiTheme="minorHAnsi" w:cstheme="minorHAnsi"/>
                <w:color w:val="000000"/>
                <w:sz w:val="24"/>
                <w:szCs w:val="24"/>
              </w:rPr>
            </w:pPr>
            <w:r w:rsidRPr="00B36E36">
              <w:rPr>
                <w:rFonts w:asciiTheme="minorHAnsi" w:hAnsiTheme="minorHAnsi" w:cstheme="minorHAnsi"/>
                <w:color w:val="000000"/>
                <w:sz w:val="24"/>
                <w:szCs w:val="24"/>
              </w:rPr>
              <w:t>-736</w:t>
            </w:r>
          </w:p>
        </w:tc>
        <w:tc>
          <w:tcPr>
            <w:tcW w:w="1504" w:type="dxa"/>
            <w:vAlign w:val="bottom"/>
          </w:tcPr>
          <w:p w14:paraId="057E576F" w14:textId="77777777" w:rsidR="00EC0E34" w:rsidRPr="00B36E36" w:rsidRDefault="00EC0E34" w:rsidP="00587F1D">
            <w:pPr>
              <w:pStyle w:val="Paragraph"/>
              <w:jc w:val="right"/>
              <w:rPr>
                <w:rFonts w:asciiTheme="minorHAnsi" w:hAnsiTheme="minorHAnsi" w:cstheme="minorHAnsi"/>
                <w:i/>
                <w:iCs/>
                <w:color w:val="000000"/>
                <w:sz w:val="24"/>
                <w:szCs w:val="24"/>
              </w:rPr>
            </w:pPr>
            <w:r w:rsidRPr="00B36E36">
              <w:rPr>
                <w:rFonts w:asciiTheme="minorHAnsi" w:hAnsiTheme="minorHAnsi" w:cstheme="minorHAnsi"/>
                <w:color w:val="000000"/>
                <w:sz w:val="24"/>
                <w:szCs w:val="24"/>
              </w:rPr>
              <w:t>-439</w:t>
            </w:r>
          </w:p>
        </w:tc>
      </w:tr>
      <w:tr w:rsidR="00EC0E34" w:rsidRPr="00B36E36" w14:paraId="213555E5" w14:textId="77777777" w:rsidTr="00587F1D">
        <w:tc>
          <w:tcPr>
            <w:tcW w:w="1519" w:type="dxa"/>
            <w:vAlign w:val="bottom"/>
          </w:tcPr>
          <w:p w14:paraId="511220CC" w14:textId="77777777" w:rsidR="00EC0E34" w:rsidRPr="00B36E36" w:rsidRDefault="00EC0E34" w:rsidP="00587F1D">
            <w:pPr>
              <w:pStyle w:val="Paragraph"/>
              <w:rPr>
                <w:rFonts w:asciiTheme="minorHAnsi" w:hAnsiTheme="minorHAnsi" w:cstheme="minorHAnsi"/>
                <w:sz w:val="24"/>
                <w:szCs w:val="24"/>
              </w:rPr>
            </w:pPr>
            <w:r w:rsidRPr="00B36E36">
              <w:rPr>
                <w:rFonts w:asciiTheme="minorHAnsi" w:hAnsiTheme="minorHAnsi" w:cstheme="minorHAnsi"/>
                <w:sz w:val="24"/>
                <w:szCs w:val="24"/>
              </w:rPr>
              <w:t>Closing balance</w:t>
            </w:r>
          </w:p>
        </w:tc>
        <w:tc>
          <w:tcPr>
            <w:tcW w:w="1498" w:type="dxa"/>
            <w:vAlign w:val="bottom"/>
          </w:tcPr>
          <w:p w14:paraId="3F810967"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1,288</w:t>
            </w:r>
          </w:p>
        </w:tc>
        <w:tc>
          <w:tcPr>
            <w:tcW w:w="1498" w:type="dxa"/>
            <w:vAlign w:val="bottom"/>
          </w:tcPr>
          <w:p w14:paraId="54527F58"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6</w:t>
            </w:r>
          </w:p>
        </w:tc>
        <w:tc>
          <w:tcPr>
            <w:tcW w:w="1498" w:type="dxa"/>
            <w:vAlign w:val="bottom"/>
          </w:tcPr>
          <w:p w14:paraId="7BEC4562"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-1,310</w:t>
            </w:r>
          </w:p>
        </w:tc>
        <w:tc>
          <w:tcPr>
            <w:tcW w:w="1499" w:type="dxa"/>
            <w:vAlign w:val="bottom"/>
          </w:tcPr>
          <w:p w14:paraId="322EA874"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-2,046</w:t>
            </w:r>
          </w:p>
        </w:tc>
        <w:tc>
          <w:tcPr>
            <w:tcW w:w="1504" w:type="dxa"/>
            <w:vAlign w:val="bottom"/>
          </w:tcPr>
          <w:p w14:paraId="43013AB0" w14:textId="77777777" w:rsidR="00EC0E34" w:rsidRPr="00B36E36" w:rsidRDefault="00EC0E34" w:rsidP="00587F1D">
            <w:pPr>
              <w:pStyle w:val="Paragraph"/>
              <w:jc w:val="right"/>
              <w:rPr>
                <w:rFonts w:asciiTheme="minorHAnsi" w:hAnsiTheme="minorHAnsi" w:cstheme="minorHAnsi"/>
                <w:sz w:val="24"/>
                <w:szCs w:val="24"/>
              </w:rPr>
            </w:pPr>
            <w:r w:rsidRPr="00B36E36">
              <w:rPr>
                <w:rFonts w:asciiTheme="minorHAnsi" w:hAnsiTheme="minorHAnsi" w:cstheme="minorHAnsi"/>
                <w:color w:val="000000"/>
                <w:sz w:val="24"/>
                <w:szCs w:val="24"/>
              </w:rPr>
              <w:t>-2,485</w:t>
            </w:r>
          </w:p>
        </w:tc>
      </w:tr>
    </w:tbl>
    <w:p w14:paraId="10742185" w14:textId="77777777" w:rsidR="00900C1B" w:rsidRPr="009C26E6" w:rsidRDefault="00900C1B" w:rsidP="00900C1B">
      <w:pPr>
        <w:rPr>
          <w:rFonts w:cstheme="minorHAnsi"/>
          <w:b/>
          <w:color w:val="4472C4" w:themeColor="accent1"/>
          <w:sz w:val="32"/>
          <w:szCs w:val="32"/>
        </w:rPr>
      </w:pPr>
      <w:r w:rsidRPr="009C26E6">
        <w:rPr>
          <w:rFonts w:cstheme="minorHAnsi"/>
          <w:b/>
          <w:color w:val="4472C4" w:themeColor="accent1"/>
          <w:sz w:val="32"/>
          <w:szCs w:val="32"/>
        </w:rPr>
        <w:lastRenderedPageBreak/>
        <w:t>Cost Recovery</w:t>
      </w:r>
    </w:p>
    <w:p w14:paraId="52369773" w14:textId="77777777" w:rsidR="00900C1B" w:rsidRPr="006A2310" w:rsidRDefault="00900C1B" w:rsidP="00900C1B">
      <w:pPr>
        <w:rPr>
          <w:sz w:val="24"/>
          <w:szCs w:val="24"/>
        </w:rPr>
      </w:pPr>
      <w:r w:rsidRPr="006A2310">
        <w:rPr>
          <w:sz w:val="24"/>
          <w:szCs w:val="24"/>
        </w:rPr>
        <w:t xml:space="preserve">Analysis of the cost recovery aspects </w:t>
      </w:r>
      <w:r>
        <w:rPr>
          <w:sz w:val="24"/>
          <w:szCs w:val="24"/>
        </w:rPr>
        <w:t xml:space="preserve">of the fees </w:t>
      </w:r>
      <w:r w:rsidRPr="006A2310">
        <w:rPr>
          <w:sz w:val="24"/>
          <w:szCs w:val="24"/>
        </w:rPr>
        <w:t xml:space="preserve">were undertaken in line with The Treasury (2017), </w:t>
      </w:r>
      <w:r w:rsidRPr="006A2310">
        <w:rPr>
          <w:i/>
          <w:sz w:val="24"/>
          <w:szCs w:val="24"/>
        </w:rPr>
        <w:t>Guidelines for Setting Charges in the Public Sector</w:t>
      </w:r>
      <w:r w:rsidRPr="006A2310">
        <w:rPr>
          <w:sz w:val="24"/>
          <w:szCs w:val="24"/>
        </w:rPr>
        <w:t xml:space="preserve"> and the Office of the Controller and Auditor-General (2008), </w:t>
      </w:r>
      <w:r w:rsidRPr="006A2310">
        <w:rPr>
          <w:i/>
          <w:sz w:val="24"/>
          <w:szCs w:val="24"/>
        </w:rPr>
        <w:t>Charging Fees for Public Sector Goods and Services</w:t>
      </w:r>
      <w:r>
        <w:rPr>
          <w:sz w:val="24"/>
          <w:szCs w:val="24"/>
        </w:rPr>
        <w:t>.</w:t>
      </w:r>
    </w:p>
    <w:p w14:paraId="135CF018" w14:textId="77777777" w:rsidR="00900C1B" w:rsidRPr="006A2310" w:rsidRDefault="00900C1B" w:rsidP="00900C1B">
      <w:pPr>
        <w:rPr>
          <w:sz w:val="24"/>
          <w:szCs w:val="24"/>
        </w:rPr>
      </w:pPr>
      <w:r w:rsidRPr="006A2310">
        <w:rPr>
          <w:sz w:val="24"/>
          <w:szCs w:val="24"/>
        </w:rPr>
        <w:t>The following cost recovery principles were applied:</w:t>
      </w:r>
    </w:p>
    <w:p w14:paraId="6F738FF9" w14:textId="77777777" w:rsidR="00900C1B" w:rsidRPr="004E16C3" w:rsidRDefault="00900C1B" w:rsidP="00900C1B">
      <w:pPr>
        <w:pStyle w:val="Bullet-list"/>
        <w:numPr>
          <w:ilvl w:val="0"/>
          <w:numId w:val="24"/>
        </w:numPr>
        <w:rPr>
          <w:rFonts w:asciiTheme="minorHAnsi" w:hAnsiTheme="minorHAnsi" w:cstheme="minorHAnsi"/>
          <w:sz w:val="24"/>
          <w:szCs w:val="24"/>
        </w:rPr>
      </w:pPr>
      <w:r w:rsidRPr="004E16C3">
        <w:rPr>
          <w:rFonts w:asciiTheme="minorHAnsi" w:hAnsiTheme="minorHAnsi" w:cstheme="minorHAnsi"/>
          <w:sz w:val="24"/>
          <w:szCs w:val="24"/>
        </w:rPr>
        <w:t>Equity – that fees are fairly attributed to the beneficiaries of the service</w:t>
      </w:r>
    </w:p>
    <w:p w14:paraId="3F6739B2" w14:textId="77ADBE22" w:rsidR="00900C1B" w:rsidRDefault="00900C1B" w:rsidP="00900C1B">
      <w:pPr>
        <w:pStyle w:val="Bullet-list"/>
        <w:numPr>
          <w:ilvl w:val="0"/>
          <w:numId w:val="24"/>
        </w:numPr>
        <w:rPr>
          <w:rFonts w:asciiTheme="minorHAnsi" w:hAnsiTheme="minorHAnsi" w:cstheme="minorHAnsi"/>
          <w:sz w:val="24"/>
          <w:szCs w:val="24"/>
        </w:rPr>
      </w:pPr>
      <w:r w:rsidRPr="004E16C3">
        <w:rPr>
          <w:rFonts w:asciiTheme="minorHAnsi" w:hAnsiTheme="minorHAnsi" w:cstheme="minorHAnsi"/>
          <w:sz w:val="24"/>
          <w:szCs w:val="24"/>
        </w:rPr>
        <w:t xml:space="preserve">Efficiency </w:t>
      </w:r>
      <w:r w:rsidR="00177474">
        <w:rPr>
          <w:rFonts w:asciiTheme="minorHAnsi" w:hAnsiTheme="minorHAnsi" w:cstheme="minorHAnsi"/>
          <w:sz w:val="24"/>
          <w:szCs w:val="24"/>
        </w:rPr>
        <w:t>that decisions on volume and standards of service, and costs to recover are consistent with the efficient allocation of resources.</w:t>
      </w:r>
      <w:r w:rsidRPr="004E16C3">
        <w:rPr>
          <w:rFonts w:asciiTheme="minorHAnsi" w:hAnsiTheme="minorHAnsi" w:cstheme="minorHAnsi"/>
          <w:sz w:val="24"/>
          <w:szCs w:val="24"/>
        </w:rPr>
        <w:t xml:space="preserve"> </w:t>
      </w:r>
    </w:p>
    <w:p w14:paraId="761D2D6A" w14:textId="4FC8FF22" w:rsidR="00900C1B" w:rsidRPr="004E16C3" w:rsidRDefault="00900C1B" w:rsidP="00900C1B">
      <w:pPr>
        <w:pStyle w:val="Bullet-list"/>
        <w:numPr>
          <w:ilvl w:val="0"/>
          <w:numId w:val="24"/>
        </w:numPr>
        <w:rPr>
          <w:rFonts w:asciiTheme="minorHAnsi" w:hAnsiTheme="minorHAnsi" w:cstheme="minorHAnsi"/>
          <w:sz w:val="24"/>
          <w:szCs w:val="24"/>
        </w:rPr>
      </w:pPr>
      <w:r>
        <w:rPr>
          <w:rFonts w:asciiTheme="minorHAnsi" w:hAnsiTheme="minorHAnsi" w:cstheme="minorHAnsi"/>
          <w:sz w:val="24"/>
          <w:szCs w:val="24"/>
        </w:rPr>
        <w:t xml:space="preserve">Effectiveness </w:t>
      </w:r>
      <w:r w:rsidR="0054072E">
        <w:rPr>
          <w:rFonts w:asciiTheme="minorHAnsi" w:hAnsiTheme="minorHAnsi" w:cstheme="minorHAnsi"/>
          <w:sz w:val="24"/>
          <w:szCs w:val="24"/>
        </w:rPr>
        <w:t>–</w:t>
      </w:r>
      <w:r>
        <w:rPr>
          <w:rFonts w:asciiTheme="minorHAnsi" w:hAnsiTheme="minorHAnsi" w:cstheme="minorHAnsi"/>
          <w:sz w:val="24"/>
          <w:szCs w:val="24"/>
        </w:rPr>
        <w:t xml:space="preserve"> </w:t>
      </w:r>
      <w:r w:rsidR="000A58A8">
        <w:rPr>
          <w:rFonts w:asciiTheme="minorHAnsi" w:hAnsiTheme="minorHAnsi" w:cstheme="minorHAnsi"/>
          <w:sz w:val="24"/>
          <w:szCs w:val="24"/>
        </w:rPr>
        <w:t>that the desired outcomes are going to be achieved by the activity.</w:t>
      </w:r>
    </w:p>
    <w:p w14:paraId="58642DD9" w14:textId="77777777" w:rsidR="00900C1B" w:rsidRPr="004E16C3" w:rsidRDefault="00900C1B" w:rsidP="00900C1B">
      <w:pPr>
        <w:pStyle w:val="Bullet-list"/>
        <w:numPr>
          <w:ilvl w:val="0"/>
          <w:numId w:val="24"/>
        </w:numPr>
        <w:rPr>
          <w:rFonts w:asciiTheme="minorHAnsi" w:hAnsiTheme="minorHAnsi" w:cstheme="minorHAnsi"/>
          <w:sz w:val="24"/>
          <w:szCs w:val="24"/>
        </w:rPr>
      </w:pPr>
      <w:r w:rsidRPr="004E16C3">
        <w:rPr>
          <w:rFonts w:asciiTheme="minorHAnsi" w:hAnsiTheme="minorHAnsi" w:cstheme="minorHAnsi"/>
          <w:sz w:val="24"/>
          <w:szCs w:val="24"/>
        </w:rPr>
        <w:t>Justifiability – that costs recovered are appropriate and are not unreasonable</w:t>
      </w:r>
    </w:p>
    <w:p w14:paraId="163FBEDE" w14:textId="77777777" w:rsidR="00900C1B" w:rsidRPr="004E16C3" w:rsidRDefault="00900C1B" w:rsidP="00900C1B">
      <w:pPr>
        <w:pStyle w:val="Bullet-list"/>
        <w:numPr>
          <w:ilvl w:val="0"/>
          <w:numId w:val="24"/>
        </w:numPr>
        <w:rPr>
          <w:rFonts w:asciiTheme="minorHAnsi" w:hAnsiTheme="minorHAnsi" w:cstheme="minorHAnsi"/>
          <w:sz w:val="24"/>
          <w:szCs w:val="24"/>
        </w:rPr>
      </w:pPr>
      <w:r w:rsidRPr="004E16C3">
        <w:rPr>
          <w:rFonts w:asciiTheme="minorHAnsi" w:hAnsiTheme="minorHAnsi" w:cstheme="minorHAnsi"/>
          <w:sz w:val="24"/>
          <w:szCs w:val="24"/>
        </w:rPr>
        <w:t xml:space="preserve">Transparency – costs </w:t>
      </w:r>
      <w:proofErr w:type="gramStart"/>
      <w:r w:rsidRPr="004E16C3">
        <w:rPr>
          <w:rFonts w:asciiTheme="minorHAnsi" w:hAnsiTheme="minorHAnsi" w:cstheme="minorHAnsi"/>
          <w:sz w:val="24"/>
          <w:szCs w:val="24"/>
        </w:rPr>
        <w:t>are able to</w:t>
      </w:r>
      <w:proofErr w:type="gramEnd"/>
      <w:r w:rsidRPr="004E16C3">
        <w:rPr>
          <w:rFonts w:asciiTheme="minorHAnsi" w:hAnsiTheme="minorHAnsi" w:cstheme="minorHAnsi"/>
          <w:sz w:val="24"/>
          <w:szCs w:val="24"/>
        </w:rPr>
        <w:t xml:space="preserve"> be identified and that those impacted by the service have the available information to comment on how the charges are calculated</w:t>
      </w:r>
    </w:p>
    <w:p w14:paraId="268A06BE" w14:textId="77777777" w:rsidR="00900C1B" w:rsidRPr="004E16C3" w:rsidRDefault="00900C1B" w:rsidP="00900C1B">
      <w:pPr>
        <w:pStyle w:val="Bullet-list"/>
        <w:numPr>
          <w:ilvl w:val="0"/>
          <w:numId w:val="24"/>
        </w:numPr>
        <w:rPr>
          <w:rFonts w:asciiTheme="minorHAnsi" w:hAnsiTheme="minorHAnsi" w:cstheme="minorHAnsi"/>
          <w:sz w:val="24"/>
          <w:szCs w:val="24"/>
        </w:rPr>
      </w:pPr>
      <w:r w:rsidRPr="004E16C3">
        <w:rPr>
          <w:rFonts w:asciiTheme="minorHAnsi" w:hAnsiTheme="minorHAnsi" w:cstheme="minorHAnsi"/>
          <w:sz w:val="24"/>
          <w:szCs w:val="24"/>
        </w:rPr>
        <w:t xml:space="preserve">Simplicity and consistency – fee structures are simple and consistent so that fee payers understand the fee they </w:t>
      </w:r>
      <w:proofErr w:type="gramStart"/>
      <w:r w:rsidRPr="004E16C3">
        <w:rPr>
          <w:rFonts w:asciiTheme="minorHAnsi" w:hAnsiTheme="minorHAnsi" w:cstheme="minorHAnsi"/>
          <w:sz w:val="24"/>
          <w:szCs w:val="24"/>
        </w:rPr>
        <w:t>have to</w:t>
      </w:r>
      <w:proofErr w:type="gramEnd"/>
      <w:r w:rsidRPr="004E16C3">
        <w:rPr>
          <w:rFonts w:asciiTheme="minorHAnsi" w:hAnsiTheme="minorHAnsi" w:cstheme="minorHAnsi"/>
          <w:sz w:val="24"/>
          <w:szCs w:val="24"/>
        </w:rPr>
        <w:t xml:space="preserve"> pay and helps them plan their business effectively</w:t>
      </w:r>
    </w:p>
    <w:p w14:paraId="1831746D" w14:textId="77777777" w:rsidR="00900C1B" w:rsidRPr="002B21D9" w:rsidRDefault="00900C1B" w:rsidP="00900C1B">
      <w:pPr>
        <w:pStyle w:val="Bullet-list"/>
        <w:numPr>
          <w:ilvl w:val="0"/>
          <w:numId w:val="0"/>
        </w:numPr>
        <w:rPr>
          <w:rFonts w:asciiTheme="minorHAnsi" w:hAnsiTheme="minorHAnsi" w:cstheme="minorHAnsi"/>
          <w:sz w:val="24"/>
          <w:szCs w:val="24"/>
        </w:rPr>
      </w:pPr>
      <w:r>
        <w:rPr>
          <w:rFonts w:asciiTheme="minorHAnsi" w:hAnsiTheme="minorHAnsi" w:cstheme="minorHAnsi"/>
          <w:sz w:val="24"/>
          <w:szCs w:val="24"/>
        </w:rPr>
        <w:t xml:space="preserve">With these principles in mind, the approach undertaken was to ensure that </w:t>
      </w:r>
      <w:proofErr w:type="spellStart"/>
      <w:r>
        <w:rPr>
          <w:rFonts w:asciiTheme="minorHAnsi" w:hAnsiTheme="minorHAnsi" w:cstheme="minorHAnsi"/>
          <w:sz w:val="24"/>
          <w:szCs w:val="24"/>
        </w:rPr>
        <w:t>Medsafe</w:t>
      </w:r>
      <w:proofErr w:type="spellEnd"/>
      <w:r>
        <w:rPr>
          <w:rFonts w:asciiTheme="minorHAnsi" w:hAnsiTheme="minorHAnsi" w:cstheme="minorHAnsi"/>
          <w:sz w:val="24"/>
          <w:szCs w:val="24"/>
        </w:rPr>
        <w:t xml:space="preserve"> would be recovering</w:t>
      </w:r>
      <w:r w:rsidRPr="002B21D9">
        <w:rPr>
          <w:rFonts w:asciiTheme="minorHAnsi" w:hAnsiTheme="minorHAnsi" w:cstheme="minorHAnsi"/>
          <w:sz w:val="24"/>
          <w:szCs w:val="24"/>
        </w:rPr>
        <w:t xml:space="preserve"> </w:t>
      </w:r>
      <w:r w:rsidRPr="00082CE8">
        <w:rPr>
          <w:rFonts w:asciiTheme="minorHAnsi" w:hAnsiTheme="minorHAnsi" w:cstheme="minorHAnsi"/>
          <w:sz w:val="24"/>
          <w:szCs w:val="24"/>
        </w:rPr>
        <w:t>the actual cost of evaluating the medicine applications</w:t>
      </w:r>
      <w:r>
        <w:rPr>
          <w:rFonts w:asciiTheme="minorHAnsi" w:hAnsiTheme="minorHAnsi" w:cstheme="minorHAnsi"/>
          <w:sz w:val="24"/>
          <w:szCs w:val="24"/>
        </w:rPr>
        <w:t xml:space="preserve"> and </w:t>
      </w:r>
      <w:r w:rsidRPr="00082CE8">
        <w:rPr>
          <w:rFonts w:asciiTheme="minorHAnsi" w:hAnsiTheme="minorHAnsi" w:cstheme="minorHAnsi"/>
          <w:sz w:val="24"/>
          <w:szCs w:val="24"/>
        </w:rPr>
        <w:t>ensure equitable and proportionate payment of fees for all stakeholders</w:t>
      </w:r>
      <w:r w:rsidRPr="002B21D9">
        <w:rPr>
          <w:rFonts w:asciiTheme="minorHAnsi" w:hAnsiTheme="minorHAnsi" w:cstheme="minorHAnsi"/>
          <w:sz w:val="24"/>
          <w:szCs w:val="24"/>
        </w:rPr>
        <w:t>. All fees were examined against the effort</w:t>
      </w:r>
      <w:r>
        <w:rPr>
          <w:rFonts w:asciiTheme="minorHAnsi" w:hAnsiTheme="minorHAnsi" w:cstheme="minorHAnsi"/>
          <w:sz w:val="24"/>
          <w:szCs w:val="24"/>
        </w:rPr>
        <w:t xml:space="preserve"> (risk level and time) required</w:t>
      </w:r>
      <w:r w:rsidRPr="002B21D9">
        <w:rPr>
          <w:rFonts w:asciiTheme="minorHAnsi" w:hAnsiTheme="minorHAnsi" w:cstheme="minorHAnsi"/>
          <w:sz w:val="24"/>
          <w:szCs w:val="24"/>
        </w:rPr>
        <w:t>.</w:t>
      </w:r>
    </w:p>
    <w:p w14:paraId="3C4C456D" w14:textId="77777777" w:rsidR="00900C1B" w:rsidRPr="006A2310" w:rsidRDefault="00900C1B" w:rsidP="00900C1B">
      <w:pPr>
        <w:rPr>
          <w:sz w:val="24"/>
          <w:szCs w:val="24"/>
        </w:rPr>
      </w:pPr>
      <w:r w:rsidRPr="006A2310">
        <w:rPr>
          <w:sz w:val="24"/>
          <w:szCs w:val="24"/>
        </w:rPr>
        <w:t xml:space="preserve">It should be noted that this </w:t>
      </w:r>
      <w:r>
        <w:rPr>
          <w:sz w:val="24"/>
          <w:szCs w:val="24"/>
        </w:rPr>
        <w:t>i</w:t>
      </w:r>
      <w:r w:rsidRPr="006A2310">
        <w:rPr>
          <w:sz w:val="24"/>
          <w:szCs w:val="24"/>
        </w:rPr>
        <w:t>s a review of the existing cost recovery calculations and does not introduce new cost recovery mechanisms.</w:t>
      </w:r>
    </w:p>
    <w:p w14:paraId="5510398B" w14:textId="23D82B78" w:rsidR="00900C1B" w:rsidRPr="006A2310" w:rsidRDefault="00900C1B" w:rsidP="00900C1B">
      <w:pPr>
        <w:rPr>
          <w:sz w:val="24"/>
          <w:szCs w:val="24"/>
        </w:rPr>
      </w:pPr>
      <w:r w:rsidRPr="006A2310">
        <w:rPr>
          <w:sz w:val="24"/>
          <w:szCs w:val="24"/>
        </w:rPr>
        <w:t>Cost recovery is reflected in the cost model</w:t>
      </w:r>
      <w:r>
        <w:rPr>
          <w:sz w:val="24"/>
          <w:szCs w:val="24"/>
        </w:rPr>
        <w:t xml:space="preserve"> (</w:t>
      </w:r>
      <w:r w:rsidRPr="000F2CDC">
        <w:rPr>
          <w:sz w:val="24"/>
          <w:szCs w:val="24"/>
        </w:rPr>
        <w:t xml:space="preserve">see Appendix </w:t>
      </w:r>
      <w:r w:rsidR="000F2CDC">
        <w:rPr>
          <w:sz w:val="24"/>
          <w:szCs w:val="24"/>
        </w:rPr>
        <w:t>A</w:t>
      </w:r>
      <w:r>
        <w:rPr>
          <w:sz w:val="24"/>
          <w:szCs w:val="24"/>
        </w:rPr>
        <w:t>).</w:t>
      </w:r>
    </w:p>
    <w:p w14:paraId="1D98F2DC" w14:textId="77777777" w:rsidR="005435E0" w:rsidRDefault="005435E0" w:rsidP="00EF59B3">
      <w:pPr>
        <w:rPr>
          <w:rFonts w:cstheme="minorHAnsi"/>
          <w:b/>
          <w:color w:val="4472C4" w:themeColor="accent1"/>
          <w:sz w:val="32"/>
          <w:szCs w:val="32"/>
        </w:rPr>
      </w:pPr>
    </w:p>
    <w:p w14:paraId="0059ACB2" w14:textId="1A5DDAA0" w:rsidR="00EF59B3" w:rsidRPr="00E53DDB" w:rsidRDefault="00E4676B" w:rsidP="00EF59B3">
      <w:pPr>
        <w:rPr>
          <w:rFonts w:cstheme="minorHAnsi"/>
          <w:b/>
          <w:color w:val="4472C4" w:themeColor="accent1"/>
          <w:sz w:val="32"/>
          <w:szCs w:val="32"/>
        </w:rPr>
      </w:pPr>
      <w:r>
        <w:rPr>
          <w:rFonts w:cstheme="minorHAnsi"/>
          <w:b/>
          <w:color w:val="4472C4" w:themeColor="accent1"/>
          <w:sz w:val="32"/>
          <w:szCs w:val="32"/>
        </w:rPr>
        <w:t>Other</w:t>
      </w:r>
      <w:r w:rsidR="00EF59B3" w:rsidRPr="00E53DDB">
        <w:rPr>
          <w:rFonts w:cstheme="minorHAnsi"/>
          <w:b/>
          <w:color w:val="4472C4" w:themeColor="accent1"/>
          <w:sz w:val="32"/>
          <w:szCs w:val="32"/>
        </w:rPr>
        <w:t xml:space="preserve"> cost considerations</w:t>
      </w:r>
    </w:p>
    <w:p w14:paraId="1DC93515" w14:textId="77777777" w:rsidR="00E53DDB" w:rsidRDefault="00E53DDB" w:rsidP="00E53DDB">
      <w:pPr>
        <w:rPr>
          <w:rFonts w:ascii="Segoe UI" w:hAnsi="Segoe UI" w:cs="Segoe UI"/>
          <w:b/>
          <w:color w:val="4472C4" w:themeColor="accent1"/>
          <w:sz w:val="24"/>
          <w:szCs w:val="24"/>
        </w:rPr>
      </w:pPr>
      <w:r>
        <w:rPr>
          <w:rFonts w:ascii="Segoe UI" w:hAnsi="Segoe UI" w:cs="Segoe UI"/>
          <w:b/>
          <w:color w:val="4472C4" w:themeColor="accent1"/>
          <w:sz w:val="24"/>
          <w:szCs w:val="24"/>
        </w:rPr>
        <w:t>CPI Increase</w:t>
      </w:r>
    </w:p>
    <w:p w14:paraId="4B06396D" w14:textId="3C1CC198" w:rsidR="00E53DDB" w:rsidRDefault="00E53DDB" w:rsidP="00E53DDB">
      <w:pPr>
        <w:rPr>
          <w:rFonts w:cstheme="minorHAnsi"/>
          <w:sz w:val="24"/>
          <w:szCs w:val="24"/>
        </w:rPr>
      </w:pPr>
      <w:r>
        <w:rPr>
          <w:rFonts w:cstheme="minorHAnsi"/>
          <w:sz w:val="24"/>
          <w:szCs w:val="24"/>
        </w:rPr>
        <w:t xml:space="preserve">Changes to the Consumer Price Index (CPI) was last applied in 2017/18 and was a significant increase of 15% to cover CPI changes over the previous 10 </w:t>
      </w:r>
      <w:r w:rsidRPr="00BE280C">
        <w:rPr>
          <w:rFonts w:cstheme="minorHAnsi"/>
          <w:sz w:val="24"/>
          <w:szCs w:val="24"/>
        </w:rPr>
        <w:t>years</w:t>
      </w:r>
      <w:r w:rsidR="008508A6" w:rsidRPr="00BE280C">
        <w:rPr>
          <w:rFonts w:cstheme="minorHAnsi"/>
          <w:sz w:val="24"/>
          <w:szCs w:val="24"/>
        </w:rPr>
        <w:t>, where the fees remain unchanged while the memorandum account surplus was cleared</w:t>
      </w:r>
      <w:r w:rsidRPr="00BE280C">
        <w:rPr>
          <w:rFonts w:cstheme="minorHAnsi"/>
          <w:sz w:val="24"/>
          <w:szCs w:val="24"/>
        </w:rPr>
        <w:t>.</w:t>
      </w:r>
      <w:r>
        <w:rPr>
          <w:rFonts w:cstheme="minorHAnsi"/>
          <w:sz w:val="24"/>
          <w:szCs w:val="24"/>
        </w:rPr>
        <w:t xml:space="preserve"> Accordingly, any CPI change between 2018 and 2020 will be lower.</w:t>
      </w:r>
    </w:p>
    <w:p w14:paraId="48D5D96C" w14:textId="146B8471" w:rsidR="00E53DDB" w:rsidRDefault="00E53DDB" w:rsidP="00E53DDB">
      <w:pPr>
        <w:rPr>
          <w:rFonts w:cstheme="minorHAnsi"/>
          <w:sz w:val="24"/>
          <w:szCs w:val="24"/>
        </w:rPr>
      </w:pPr>
      <w:r>
        <w:rPr>
          <w:rFonts w:cstheme="minorHAnsi"/>
          <w:sz w:val="24"/>
          <w:szCs w:val="24"/>
        </w:rPr>
        <w:t xml:space="preserve">CPI has been calculated using the information on the </w:t>
      </w:r>
      <w:r w:rsidR="00E4676B">
        <w:rPr>
          <w:rFonts w:cstheme="minorHAnsi"/>
          <w:sz w:val="24"/>
          <w:szCs w:val="24"/>
        </w:rPr>
        <w:t>Reserve Bank inflation calculator for general CPI</w:t>
      </w:r>
      <w:r>
        <w:rPr>
          <w:rFonts w:cstheme="minorHAnsi"/>
          <w:sz w:val="24"/>
          <w:szCs w:val="24"/>
        </w:rPr>
        <w:t xml:space="preserve"> and is </w:t>
      </w:r>
      <w:r w:rsidR="004A1F17">
        <w:rPr>
          <w:rFonts w:cstheme="minorHAnsi"/>
          <w:sz w:val="24"/>
          <w:szCs w:val="24"/>
        </w:rPr>
        <w:t xml:space="preserve">a </w:t>
      </w:r>
      <w:r>
        <w:rPr>
          <w:rFonts w:cstheme="minorHAnsi"/>
          <w:sz w:val="24"/>
          <w:szCs w:val="24"/>
        </w:rPr>
        <w:t>4.</w:t>
      </w:r>
      <w:r w:rsidR="00E4676B">
        <w:rPr>
          <w:rFonts w:cstheme="minorHAnsi"/>
          <w:sz w:val="24"/>
          <w:szCs w:val="24"/>
        </w:rPr>
        <w:t>2</w:t>
      </w:r>
      <w:r>
        <w:rPr>
          <w:rFonts w:cstheme="minorHAnsi"/>
          <w:sz w:val="24"/>
          <w:szCs w:val="24"/>
        </w:rPr>
        <w:t>%</w:t>
      </w:r>
      <w:r w:rsidR="004A1F17">
        <w:rPr>
          <w:rFonts w:cstheme="minorHAnsi"/>
          <w:sz w:val="24"/>
          <w:szCs w:val="24"/>
        </w:rPr>
        <w:t xml:space="preserve"> change over the previous 3 years</w:t>
      </w:r>
      <w:r w:rsidR="00E4676B">
        <w:rPr>
          <w:rFonts w:cstheme="minorHAnsi"/>
          <w:sz w:val="24"/>
          <w:szCs w:val="24"/>
        </w:rPr>
        <w:t xml:space="preserve"> (2017 Q3 to 2020 Q2)</w:t>
      </w:r>
      <w:r>
        <w:rPr>
          <w:rFonts w:cstheme="minorHAnsi"/>
          <w:sz w:val="24"/>
          <w:szCs w:val="24"/>
        </w:rPr>
        <w:t xml:space="preserve">. </w:t>
      </w:r>
      <w:r w:rsidR="00BE280C" w:rsidRPr="00BE280C">
        <w:rPr>
          <w:rFonts w:cstheme="minorHAnsi"/>
          <w:sz w:val="24"/>
          <w:szCs w:val="24"/>
        </w:rPr>
        <w:t>T</w:t>
      </w:r>
      <w:r w:rsidR="008508A6" w:rsidRPr="00BE280C">
        <w:rPr>
          <w:rFonts w:cstheme="minorHAnsi"/>
          <w:sz w:val="24"/>
          <w:szCs w:val="24"/>
        </w:rPr>
        <w:t xml:space="preserve">his 4.2% has been used as the proxy as to the CPI increases for the </w:t>
      </w:r>
      <w:proofErr w:type="gramStart"/>
      <w:r w:rsidR="008508A6" w:rsidRPr="00BE280C">
        <w:rPr>
          <w:rFonts w:cstheme="minorHAnsi"/>
          <w:sz w:val="24"/>
          <w:szCs w:val="24"/>
        </w:rPr>
        <w:t>3 year</w:t>
      </w:r>
      <w:proofErr w:type="gramEnd"/>
      <w:r w:rsidR="008508A6" w:rsidRPr="00BE280C">
        <w:rPr>
          <w:rFonts w:cstheme="minorHAnsi"/>
          <w:sz w:val="24"/>
          <w:szCs w:val="24"/>
        </w:rPr>
        <w:t xml:space="preserve"> period that this review covers.</w:t>
      </w:r>
    </w:p>
    <w:p w14:paraId="629E6B67" w14:textId="728B2F13" w:rsidR="005435E0" w:rsidRDefault="005435E0" w:rsidP="00E53DDB">
      <w:pPr>
        <w:rPr>
          <w:rFonts w:cstheme="minorHAnsi"/>
          <w:sz w:val="24"/>
          <w:szCs w:val="24"/>
        </w:rPr>
      </w:pPr>
    </w:p>
    <w:p w14:paraId="6099D1E1" w14:textId="77777777" w:rsidR="005435E0" w:rsidRPr="00BE280C" w:rsidRDefault="005435E0" w:rsidP="00E53DDB">
      <w:pPr>
        <w:rPr>
          <w:rFonts w:cstheme="minorHAnsi"/>
          <w:sz w:val="24"/>
          <w:szCs w:val="24"/>
        </w:rPr>
      </w:pPr>
    </w:p>
    <w:p w14:paraId="614FF656" w14:textId="40127493" w:rsidR="00E4676B" w:rsidRDefault="00E4676B" w:rsidP="00E4676B">
      <w:pPr>
        <w:rPr>
          <w:rFonts w:ascii="Segoe UI" w:hAnsi="Segoe UI" w:cs="Segoe UI"/>
          <w:b/>
          <w:color w:val="4472C4" w:themeColor="accent1"/>
          <w:sz w:val="24"/>
          <w:szCs w:val="24"/>
        </w:rPr>
      </w:pPr>
      <w:r>
        <w:rPr>
          <w:rFonts w:ascii="Segoe UI" w:hAnsi="Segoe UI" w:cs="Segoe UI"/>
          <w:b/>
          <w:color w:val="4472C4" w:themeColor="accent1"/>
          <w:sz w:val="24"/>
          <w:szCs w:val="24"/>
        </w:rPr>
        <w:lastRenderedPageBreak/>
        <w:t xml:space="preserve">Increased </w:t>
      </w:r>
      <w:r w:rsidR="00752448">
        <w:rPr>
          <w:rFonts w:ascii="Segoe UI" w:hAnsi="Segoe UI" w:cs="Segoe UI"/>
          <w:b/>
          <w:color w:val="4472C4" w:themeColor="accent1"/>
          <w:sz w:val="24"/>
          <w:szCs w:val="24"/>
        </w:rPr>
        <w:t>staff</w:t>
      </w:r>
      <w:r w:rsidR="008508A6">
        <w:rPr>
          <w:rFonts w:ascii="Segoe UI" w:hAnsi="Segoe UI" w:cs="Segoe UI"/>
          <w:b/>
          <w:color w:val="4472C4" w:themeColor="accent1"/>
          <w:sz w:val="24"/>
          <w:szCs w:val="24"/>
        </w:rPr>
        <w:t xml:space="preserve"> </w:t>
      </w:r>
    </w:p>
    <w:p w14:paraId="53AA32FC" w14:textId="2188C9E2" w:rsidR="00E4676B" w:rsidRDefault="00E4676B" w:rsidP="00E4676B">
      <w:pPr>
        <w:rPr>
          <w:rFonts w:cstheme="minorHAnsi"/>
          <w:bCs/>
          <w:sz w:val="24"/>
          <w:szCs w:val="24"/>
        </w:rPr>
      </w:pPr>
      <w:proofErr w:type="spellStart"/>
      <w:r w:rsidRPr="00752448">
        <w:rPr>
          <w:rFonts w:cstheme="minorHAnsi"/>
          <w:bCs/>
          <w:sz w:val="24"/>
          <w:szCs w:val="24"/>
        </w:rPr>
        <w:t>Medsafe</w:t>
      </w:r>
      <w:proofErr w:type="spellEnd"/>
      <w:r w:rsidRPr="00752448">
        <w:rPr>
          <w:rFonts w:cstheme="minorHAnsi"/>
          <w:bCs/>
          <w:sz w:val="24"/>
          <w:szCs w:val="24"/>
        </w:rPr>
        <w:t xml:space="preserve"> has identified several areas where additional </w:t>
      </w:r>
      <w:r w:rsidR="00752448" w:rsidRPr="00752448">
        <w:rPr>
          <w:rFonts w:cstheme="minorHAnsi"/>
          <w:bCs/>
          <w:sz w:val="24"/>
          <w:szCs w:val="24"/>
        </w:rPr>
        <w:t>staff</w:t>
      </w:r>
      <w:r w:rsidRPr="00752448">
        <w:rPr>
          <w:rFonts w:cstheme="minorHAnsi"/>
          <w:bCs/>
          <w:sz w:val="24"/>
          <w:szCs w:val="24"/>
        </w:rPr>
        <w:t xml:space="preserve"> would be justified. </w:t>
      </w:r>
      <w:r w:rsidR="00752448" w:rsidRPr="00752448">
        <w:rPr>
          <w:rFonts w:cstheme="minorHAnsi"/>
          <w:bCs/>
          <w:sz w:val="24"/>
          <w:szCs w:val="24"/>
        </w:rPr>
        <w:t>A</w:t>
      </w:r>
      <w:r w:rsidRPr="00752448">
        <w:rPr>
          <w:rFonts w:cstheme="minorHAnsi"/>
          <w:bCs/>
          <w:sz w:val="24"/>
          <w:szCs w:val="24"/>
        </w:rPr>
        <w:t xml:space="preserve">dditional evaluators would help with </w:t>
      </w:r>
      <w:r w:rsidR="00752448" w:rsidRPr="00752448">
        <w:rPr>
          <w:rFonts w:cstheme="minorHAnsi"/>
          <w:bCs/>
          <w:sz w:val="24"/>
          <w:szCs w:val="24"/>
        </w:rPr>
        <w:t>improving</w:t>
      </w:r>
      <w:r w:rsidRPr="00752448">
        <w:rPr>
          <w:rFonts w:cstheme="minorHAnsi"/>
          <w:bCs/>
          <w:sz w:val="24"/>
          <w:szCs w:val="24"/>
        </w:rPr>
        <w:t xml:space="preserve"> evaluation timelines.</w:t>
      </w:r>
      <w:r>
        <w:rPr>
          <w:rFonts w:cstheme="minorHAnsi"/>
          <w:bCs/>
          <w:sz w:val="24"/>
          <w:szCs w:val="24"/>
        </w:rPr>
        <w:t xml:space="preserve"> These are intended to be permanent </w:t>
      </w:r>
      <w:r w:rsidR="009C26E6">
        <w:rPr>
          <w:rFonts w:cstheme="minorHAnsi"/>
          <w:bCs/>
          <w:sz w:val="24"/>
          <w:szCs w:val="24"/>
        </w:rPr>
        <w:t>staff</w:t>
      </w:r>
      <w:r>
        <w:rPr>
          <w:rFonts w:cstheme="minorHAnsi"/>
          <w:bCs/>
          <w:sz w:val="24"/>
          <w:szCs w:val="24"/>
        </w:rPr>
        <w:t xml:space="preserve"> changes</w:t>
      </w:r>
      <w:r w:rsidR="00DD4842">
        <w:rPr>
          <w:rFonts w:cstheme="minorHAnsi"/>
          <w:bCs/>
          <w:sz w:val="24"/>
          <w:szCs w:val="24"/>
        </w:rPr>
        <w:t>.</w:t>
      </w:r>
    </w:p>
    <w:p w14:paraId="3C8CCAE2" w14:textId="77777777" w:rsidR="00E53DDB" w:rsidRPr="00E205D6" w:rsidRDefault="00E53DDB" w:rsidP="00E53DDB">
      <w:pPr>
        <w:rPr>
          <w:rFonts w:ascii="Segoe UI" w:hAnsi="Segoe UI" w:cs="Segoe UI"/>
          <w:b/>
          <w:color w:val="4472C4" w:themeColor="accent1"/>
          <w:sz w:val="24"/>
          <w:szCs w:val="24"/>
        </w:rPr>
      </w:pPr>
      <w:r w:rsidRPr="00E205D6">
        <w:rPr>
          <w:rFonts w:ascii="Segoe UI" w:hAnsi="Segoe UI" w:cs="Segoe UI"/>
          <w:b/>
          <w:color w:val="4472C4" w:themeColor="accent1"/>
          <w:sz w:val="24"/>
          <w:szCs w:val="24"/>
        </w:rPr>
        <w:t>Contract renewals</w:t>
      </w:r>
    </w:p>
    <w:p w14:paraId="005023FC" w14:textId="051AFFD6" w:rsidR="00E53DDB" w:rsidRPr="0013681B" w:rsidRDefault="006924CA" w:rsidP="00E53DDB">
      <w:pPr>
        <w:rPr>
          <w:rFonts w:cstheme="minorHAnsi"/>
          <w:sz w:val="24"/>
          <w:szCs w:val="24"/>
        </w:rPr>
      </w:pPr>
      <w:proofErr w:type="spellStart"/>
      <w:r>
        <w:rPr>
          <w:rFonts w:cstheme="minorHAnsi"/>
          <w:sz w:val="24"/>
          <w:szCs w:val="24"/>
        </w:rPr>
        <w:t>Medsafe</w:t>
      </w:r>
      <w:proofErr w:type="spellEnd"/>
      <w:r>
        <w:rPr>
          <w:rFonts w:cstheme="minorHAnsi"/>
          <w:sz w:val="24"/>
          <w:szCs w:val="24"/>
        </w:rPr>
        <w:t xml:space="preserve"> has contracts with ESR to provide testing services, with CARM for pharmacovigilance</w:t>
      </w:r>
      <w:r w:rsidR="00E4676B">
        <w:rPr>
          <w:rFonts w:cstheme="minorHAnsi"/>
          <w:sz w:val="24"/>
          <w:szCs w:val="24"/>
        </w:rPr>
        <w:t>, and for maintenance of our SMARTI database</w:t>
      </w:r>
      <w:r>
        <w:rPr>
          <w:rFonts w:cstheme="minorHAnsi"/>
          <w:sz w:val="24"/>
          <w:szCs w:val="24"/>
        </w:rPr>
        <w:t xml:space="preserve">. These contracts are regularly reviewed and adjusted, in the case of ESR on a Ministry-wide basis, and costs are allocated. </w:t>
      </w:r>
      <w:r w:rsidR="00752448">
        <w:rPr>
          <w:rFonts w:cstheme="minorHAnsi"/>
          <w:sz w:val="24"/>
          <w:szCs w:val="24"/>
        </w:rPr>
        <w:t>These contracts benefit sponsor companies by providing efficient, robust and supporting services to the regulation of medicines</w:t>
      </w:r>
      <w:r w:rsidR="00D147E6">
        <w:rPr>
          <w:rFonts w:cstheme="minorHAnsi"/>
          <w:sz w:val="24"/>
          <w:szCs w:val="24"/>
        </w:rPr>
        <w:t>, and relevant capability (including sustainability)</w:t>
      </w:r>
      <w:r w:rsidR="00752448">
        <w:rPr>
          <w:rFonts w:cstheme="minorHAnsi"/>
          <w:sz w:val="24"/>
          <w:szCs w:val="24"/>
        </w:rPr>
        <w:t>.</w:t>
      </w:r>
    </w:p>
    <w:p w14:paraId="1D8132E5" w14:textId="77777777" w:rsidR="00E53DDB" w:rsidRDefault="00E53DDB" w:rsidP="00E53DDB">
      <w:pPr>
        <w:rPr>
          <w:rFonts w:ascii="Segoe UI" w:hAnsi="Segoe UI" w:cs="Segoe UI"/>
          <w:b/>
          <w:color w:val="4472C4" w:themeColor="accent1"/>
          <w:sz w:val="24"/>
          <w:szCs w:val="24"/>
        </w:rPr>
      </w:pPr>
      <w:r>
        <w:rPr>
          <w:rFonts w:ascii="Segoe UI" w:hAnsi="Segoe UI" w:cs="Segoe UI"/>
          <w:b/>
          <w:color w:val="4472C4" w:themeColor="accent1"/>
          <w:sz w:val="24"/>
          <w:szCs w:val="24"/>
        </w:rPr>
        <w:t>Replacement of obsolete technology</w:t>
      </w:r>
    </w:p>
    <w:p w14:paraId="008A4573" w14:textId="77777777" w:rsidR="00E53DDB" w:rsidRDefault="00E53DDB" w:rsidP="00E53DDB">
      <w:pPr>
        <w:rPr>
          <w:rFonts w:cstheme="minorHAnsi"/>
          <w:sz w:val="24"/>
          <w:szCs w:val="24"/>
        </w:rPr>
      </w:pPr>
      <w:r>
        <w:rPr>
          <w:rFonts w:cstheme="minorHAnsi"/>
          <w:sz w:val="24"/>
          <w:szCs w:val="24"/>
        </w:rPr>
        <w:t xml:space="preserve">Before the COVID-19 pandemic lockdown, </w:t>
      </w:r>
      <w:proofErr w:type="spellStart"/>
      <w:r>
        <w:rPr>
          <w:rFonts w:cstheme="minorHAnsi"/>
          <w:sz w:val="24"/>
          <w:szCs w:val="24"/>
        </w:rPr>
        <w:t>Medsafe</w:t>
      </w:r>
      <w:proofErr w:type="spellEnd"/>
      <w:r>
        <w:rPr>
          <w:rFonts w:cstheme="minorHAnsi"/>
          <w:sz w:val="24"/>
          <w:szCs w:val="24"/>
        </w:rPr>
        <w:t xml:space="preserve"> primarily worked with electronic files submitted on CD-ROM and in hard copy. This way of doing things was becoming difficult for both </w:t>
      </w:r>
      <w:proofErr w:type="spellStart"/>
      <w:r>
        <w:rPr>
          <w:rFonts w:cstheme="minorHAnsi"/>
          <w:sz w:val="24"/>
          <w:szCs w:val="24"/>
        </w:rPr>
        <w:t>Medsafe</w:t>
      </w:r>
      <w:proofErr w:type="spellEnd"/>
      <w:r>
        <w:rPr>
          <w:rFonts w:cstheme="minorHAnsi"/>
          <w:sz w:val="24"/>
          <w:szCs w:val="24"/>
        </w:rPr>
        <w:t xml:space="preserve"> and industry as:</w:t>
      </w:r>
    </w:p>
    <w:p w14:paraId="53970EDD" w14:textId="17B59468" w:rsidR="00E53DDB" w:rsidRDefault="00E53DDB" w:rsidP="00E53DDB">
      <w:pPr>
        <w:pStyle w:val="ListParagraph"/>
        <w:numPr>
          <w:ilvl w:val="0"/>
          <w:numId w:val="19"/>
        </w:numPr>
        <w:rPr>
          <w:rFonts w:cstheme="minorHAnsi"/>
          <w:sz w:val="24"/>
          <w:szCs w:val="24"/>
        </w:rPr>
      </w:pPr>
      <w:r>
        <w:rPr>
          <w:rFonts w:cstheme="minorHAnsi"/>
          <w:sz w:val="24"/>
          <w:szCs w:val="24"/>
        </w:rPr>
        <w:t xml:space="preserve">CD-ROM technology is essentially </w:t>
      </w:r>
      <w:r w:rsidR="00D147E6">
        <w:rPr>
          <w:rFonts w:cstheme="minorHAnsi"/>
          <w:sz w:val="24"/>
          <w:szCs w:val="24"/>
        </w:rPr>
        <w:t xml:space="preserve">now </w:t>
      </w:r>
      <w:r>
        <w:rPr>
          <w:rFonts w:cstheme="minorHAnsi"/>
          <w:sz w:val="24"/>
          <w:szCs w:val="24"/>
        </w:rPr>
        <w:t xml:space="preserve">obsolete, and </w:t>
      </w:r>
      <w:r w:rsidR="00D147E6">
        <w:rPr>
          <w:rFonts w:cstheme="minorHAnsi"/>
          <w:sz w:val="24"/>
          <w:szCs w:val="24"/>
        </w:rPr>
        <w:t xml:space="preserve">ongoing support </w:t>
      </w:r>
      <w:r>
        <w:rPr>
          <w:rFonts w:cstheme="minorHAnsi"/>
          <w:sz w:val="24"/>
          <w:szCs w:val="24"/>
        </w:rPr>
        <w:t xml:space="preserve">of equipment </w:t>
      </w:r>
      <w:r w:rsidR="00A21068">
        <w:rPr>
          <w:rFonts w:cstheme="minorHAnsi"/>
          <w:sz w:val="24"/>
          <w:szCs w:val="24"/>
        </w:rPr>
        <w:t>i</w:t>
      </w:r>
      <w:r>
        <w:rPr>
          <w:rFonts w:cstheme="minorHAnsi"/>
          <w:sz w:val="24"/>
          <w:szCs w:val="24"/>
        </w:rPr>
        <w:t>s becoming more difficult.</w:t>
      </w:r>
    </w:p>
    <w:p w14:paraId="3CF2D05F" w14:textId="1217C613" w:rsidR="00D147E6" w:rsidRDefault="00D147E6" w:rsidP="00E53DDB">
      <w:pPr>
        <w:pStyle w:val="ListParagraph"/>
        <w:numPr>
          <w:ilvl w:val="0"/>
          <w:numId w:val="19"/>
        </w:numPr>
        <w:rPr>
          <w:rFonts w:cstheme="minorHAnsi"/>
          <w:sz w:val="24"/>
          <w:szCs w:val="24"/>
        </w:rPr>
      </w:pPr>
      <w:r>
        <w:rPr>
          <w:rFonts w:cstheme="minorHAnsi"/>
          <w:sz w:val="24"/>
          <w:szCs w:val="24"/>
        </w:rPr>
        <w:t>Applicants have additional costs to maintain this technology for NZ as this is not the norm for submissions to other regulators</w:t>
      </w:r>
    </w:p>
    <w:p w14:paraId="65221611" w14:textId="56B3B69C" w:rsidR="00E53DDB" w:rsidRDefault="00E53DDB" w:rsidP="00E53DDB">
      <w:pPr>
        <w:pStyle w:val="ListParagraph"/>
        <w:numPr>
          <w:ilvl w:val="0"/>
          <w:numId w:val="19"/>
        </w:numPr>
        <w:rPr>
          <w:rFonts w:cstheme="minorHAnsi"/>
          <w:sz w:val="24"/>
          <w:szCs w:val="24"/>
        </w:rPr>
      </w:pPr>
      <w:r>
        <w:rPr>
          <w:rFonts w:cstheme="minorHAnsi"/>
          <w:sz w:val="24"/>
          <w:szCs w:val="24"/>
        </w:rPr>
        <w:t xml:space="preserve">Storage of the CD-ROMs requires physical space, which is finite and expensive, and </w:t>
      </w:r>
      <w:r w:rsidR="00D147E6">
        <w:rPr>
          <w:rFonts w:cstheme="minorHAnsi"/>
          <w:sz w:val="24"/>
          <w:szCs w:val="24"/>
        </w:rPr>
        <w:t>are not fully consistent with</w:t>
      </w:r>
      <w:r>
        <w:rPr>
          <w:rFonts w:cstheme="minorHAnsi"/>
          <w:sz w:val="24"/>
          <w:szCs w:val="24"/>
        </w:rPr>
        <w:t xml:space="preserve"> the requirements of the </w:t>
      </w:r>
      <w:r w:rsidR="001035A7">
        <w:rPr>
          <w:rFonts w:cstheme="minorHAnsi"/>
          <w:sz w:val="24"/>
          <w:szCs w:val="24"/>
        </w:rPr>
        <w:t>Public Records</w:t>
      </w:r>
      <w:r>
        <w:rPr>
          <w:rFonts w:cstheme="minorHAnsi"/>
          <w:sz w:val="24"/>
          <w:szCs w:val="24"/>
        </w:rPr>
        <w:t xml:space="preserve"> Act </w:t>
      </w:r>
      <w:r w:rsidR="001035A7">
        <w:rPr>
          <w:rFonts w:cstheme="minorHAnsi"/>
          <w:sz w:val="24"/>
          <w:szCs w:val="24"/>
        </w:rPr>
        <w:t xml:space="preserve">2005 </w:t>
      </w:r>
      <w:r>
        <w:rPr>
          <w:rFonts w:cstheme="minorHAnsi"/>
          <w:sz w:val="24"/>
          <w:szCs w:val="24"/>
        </w:rPr>
        <w:t>(current storage conditions are likely to lead to degradation of the files)</w:t>
      </w:r>
    </w:p>
    <w:p w14:paraId="67B5710D" w14:textId="207C8EB9" w:rsidR="00E53DDB" w:rsidRDefault="00E53DDB" w:rsidP="00E53DDB">
      <w:pPr>
        <w:pStyle w:val="ListParagraph"/>
        <w:numPr>
          <w:ilvl w:val="0"/>
          <w:numId w:val="19"/>
        </w:numPr>
        <w:rPr>
          <w:rFonts w:cstheme="minorHAnsi"/>
          <w:sz w:val="24"/>
          <w:szCs w:val="24"/>
        </w:rPr>
      </w:pPr>
      <w:r>
        <w:rPr>
          <w:rFonts w:cstheme="minorHAnsi"/>
          <w:sz w:val="24"/>
          <w:szCs w:val="24"/>
        </w:rPr>
        <w:t xml:space="preserve">Sponsors </w:t>
      </w:r>
      <w:r w:rsidR="00A21068">
        <w:rPr>
          <w:rFonts w:cstheme="minorHAnsi"/>
          <w:sz w:val="24"/>
          <w:szCs w:val="24"/>
        </w:rPr>
        <w:t xml:space="preserve">regularly </w:t>
      </w:r>
      <w:proofErr w:type="gramStart"/>
      <w:r>
        <w:rPr>
          <w:rFonts w:cstheme="minorHAnsi"/>
          <w:sz w:val="24"/>
          <w:szCs w:val="24"/>
        </w:rPr>
        <w:t>have to</w:t>
      </w:r>
      <w:proofErr w:type="gramEnd"/>
      <w:r>
        <w:rPr>
          <w:rFonts w:cstheme="minorHAnsi"/>
          <w:sz w:val="24"/>
          <w:szCs w:val="24"/>
        </w:rPr>
        <w:t xml:space="preserve"> transfer information from one format to another and ensure links within the electronic documents work. This is inefficient</w:t>
      </w:r>
      <w:r w:rsidR="00D147E6">
        <w:rPr>
          <w:rFonts w:cstheme="minorHAnsi"/>
          <w:sz w:val="24"/>
          <w:szCs w:val="24"/>
        </w:rPr>
        <w:t xml:space="preserve"> and has cost to firms of maintaining obsolete technology not used elsewhere</w:t>
      </w:r>
      <w:r>
        <w:rPr>
          <w:rFonts w:cstheme="minorHAnsi"/>
          <w:sz w:val="24"/>
          <w:szCs w:val="24"/>
        </w:rPr>
        <w:t>.</w:t>
      </w:r>
    </w:p>
    <w:p w14:paraId="36BEE8A0" w14:textId="4CC633E7" w:rsidR="00E53DDB" w:rsidRPr="0013681B" w:rsidRDefault="00E53DDB" w:rsidP="00E53DDB">
      <w:pPr>
        <w:pStyle w:val="ListParagraph"/>
        <w:numPr>
          <w:ilvl w:val="0"/>
          <w:numId w:val="19"/>
        </w:numPr>
        <w:rPr>
          <w:rFonts w:cstheme="minorHAnsi"/>
          <w:sz w:val="24"/>
          <w:szCs w:val="24"/>
        </w:rPr>
      </w:pPr>
      <w:r>
        <w:rPr>
          <w:rFonts w:cstheme="minorHAnsi"/>
          <w:sz w:val="24"/>
          <w:szCs w:val="24"/>
        </w:rPr>
        <w:t>Providing hardcopies of documents was originally to ensure authenticity</w:t>
      </w:r>
      <w:r w:rsidR="00A21068">
        <w:rPr>
          <w:rFonts w:cstheme="minorHAnsi"/>
          <w:sz w:val="24"/>
          <w:szCs w:val="24"/>
        </w:rPr>
        <w:t xml:space="preserve"> and</w:t>
      </w:r>
      <w:r>
        <w:rPr>
          <w:rFonts w:cstheme="minorHAnsi"/>
          <w:sz w:val="24"/>
          <w:szCs w:val="24"/>
        </w:rPr>
        <w:t xml:space="preserve"> </w:t>
      </w:r>
      <w:r w:rsidR="00A21068">
        <w:rPr>
          <w:rFonts w:cstheme="minorHAnsi"/>
          <w:sz w:val="24"/>
          <w:szCs w:val="24"/>
        </w:rPr>
        <w:t xml:space="preserve">security </w:t>
      </w:r>
      <w:r>
        <w:rPr>
          <w:rFonts w:cstheme="minorHAnsi"/>
          <w:sz w:val="24"/>
          <w:szCs w:val="24"/>
        </w:rPr>
        <w:t>of the documents</w:t>
      </w:r>
      <w:r w:rsidR="00DF0BF6">
        <w:rPr>
          <w:rFonts w:cstheme="minorHAnsi"/>
          <w:sz w:val="24"/>
          <w:szCs w:val="24"/>
        </w:rPr>
        <w:t xml:space="preserve"> </w:t>
      </w:r>
      <w:r>
        <w:rPr>
          <w:rFonts w:cstheme="minorHAnsi"/>
          <w:sz w:val="24"/>
          <w:szCs w:val="24"/>
        </w:rPr>
        <w:t>and provide a physical paper trail. Current technology can provide adequate assurance of this.</w:t>
      </w:r>
    </w:p>
    <w:p w14:paraId="54EF00FD" w14:textId="40713838" w:rsidR="00E53DDB" w:rsidRDefault="00E53DDB" w:rsidP="00E53DDB">
      <w:pPr>
        <w:rPr>
          <w:rFonts w:cstheme="minorHAnsi"/>
          <w:sz w:val="24"/>
          <w:szCs w:val="24"/>
        </w:rPr>
      </w:pPr>
      <w:r>
        <w:rPr>
          <w:rFonts w:cstheme="minorHAnsi"/>
          <w:sz w:val="24"/>
          <w:szCs w:val="24"/>
        </w:rPr>
        <w:t>During the COVID-19 pandemic lockdown</w:t>
      </w:r>
      <w:r w:rsidR="00D147E6">
        <w:rPr>
          <w:rFonts w:cstheme="minorHAnsi"/>
          <w:sz w:val="24"/>
          <w:szCs w:val="24"/>
        </w:rPr>
        <w:t xml:space="preserve"> level 4 from March 2020</w:t>
      </w:r>
      <w:r>
        <w:rPr>
          <w:rFonts w:cstheme="minorHAnsi"/>
          <w:sz w:val="24"/>
          <w:szCs w:val="24"/>
        </w:rPr>
        <w:t xml:space="preserve">, both sponsors and </w:t>
      </w:r>
      <w:proofErr w:type="spellStart"/>
      <w:r>
        <w:rPr>
          <w:rFonts w:cstheme="minorHAnsi"/>
          <w:sz w:val="24"/>
          <w:szCs w:val="24"/>
        </w:rPr>
        <w:t>Medsafe</w:t>
      </w:r>
      <w:proofErr w:type="spellEnd"/>
      <w:r>
        <w:rPr>
          <w:rFonts w:cstheme="minorHAnsi"/>
          <w:sz w:val="24"/>
          <w:szCs w:val="24"/>
        </w:rPr>
        <w:t xml:space="preserve"> had to work from home without access, in many cases, to printers and CD-ROM devices. </w:t>
      </w:r>
      <w:proofErr w:type="spellStart"/>
      <w:r>
        <w:rPr>
          <w:rFonts w:cstheme="minorHAnsi"/>
          <w:sz w:val="24"/>
          <w:szCs w:val="24"/>
        </w:rPr>
        <w:t>Medsafe</w:t>
      </w:r>
      <w:proofErr w:type="spellEnd"/>
      <w:r>
        <w:rPr>
          <w:rFonts w:cstheme="minorHAnsi"/>
          <w:sz w:val="24"/>
          <w:szCs w:val="24"/>
        </w:rPr>
        <w:t xml:space="preserve"> had initiated a pilot on a secure electronic file transfer (EFT) system prior to the </w:t>
      </w:r>
      <w:r w:rsidR="00A21068">
        <w:rPr>
          <w:rFonts w:cstheme="minorHAnsi"/>
          <w:sz w:val="24"/>
          <w:szCs w:val="24"/>
        </w:rPr>
        <w:t>lockdown and</w:t>
      </w:r>
      <w:r>
        <w:rPr>
          <w:rFonts w:cstheme="minorHAnsi"/>
          <w:sz w:val="24"/>
          <w:szCs w:val="24"/>
        </w:rPr>
        <w:t xml:space="preserve"> worked to stand up this system fully in the days before the lockdown. </w:t>
      </w:r>
      <w:proofErr w:type="spellStart"/>
      <w:r>
        <w:rPr>
          <w:rFonts w:cstheme="minorHAnsi"/>
          <w:sz w:val="24"/>
          <w:szCs w:val="24"/>
        </w:rPr>
        <w:t>Medsafe</w:t>
      </w:r>
      <w:proofErr w:type="spellEnd"/>
      <w:r>
        <w:rPr>
          <w:rFonts w:cstheme="minorHAnsi"/>
          <w:sz w:val="24"/>
          <w:szCs w:val="24"/>
        </w:rPr>
        <w:t xml:space="preserve"> also adjusted process</w:t>
      </w:r>
      <w:r w:rsidR="00F11114">
        <w:rPr>
          <w:rFonts w:cstheme="minorHAnsi"/>
          <w:sz w:val="24"/>
          <w:szCs w:val="24"/>
        </w:rPr>
        <w:t>es</w:t>
      </w:r>
      <w:r>
        <w:rPr>
          <w:rFonts w:cstheme="minorHAnsi"/>
          <w:sz w:val="24"/>
          <w:szCs w:val="24"/>
        </w:rPr>
        <w:t xml:space="preserve"> (internal and external) to enable business as usual to continue with minimal disruption to industry. Feedback </w:t>
      </w:r>
      <w:r w:rsidR="00D147E6">
        <w:rPr>
          <w:rFonts w:cstheme="minorHAnsi"/>
          <w:sz w:val="24"/>
          <w:szCs w:val="24"/>
        </w:rPr>
        <w:t xml:space="preserve">from industry and </w:t>
      </w:r>
      <w:proofErr w:type="spellStart"/>
      <w:r w:rsidR="00D147E6">
        <w:rPr>
          <w:rFonts w:cstheme="minorHAnsi"/>
          <w:sz w:val="24"/>
          <w:szCs w:val="24"/>
        </w:rPr>
        <w:t>Medsafe</w:t>
      </w:r>
      <w:proofErr w:type="spellEnd"/>
      <w:r w:rsidR="00D147E6">
        <w:rPr>
          <w:rFonts w:cstheme="minorHAnsi"/>
          <w:sz w:val="24"/>
          <w:szCs w:val="24"/>
        </w:rPr>
        <w:t xml:space="preserve"> staff </w:t>
      </w:r>
      <w:r>
        <w:rPr>
          <w:rFonts w:cstheme="minorHAnsi"/>
          <w:sz w:val="24"/>
          <w:szCs w:val="24"/>
        </w:rPr>
        <w:t xml:space="preserve">indicates that this approach </w:t>
      </w:r>
      <w:r w:rsidR="00D147E6">
        <w:rPr>
          <w:rFonts w:cstheme="minorHAnsi"/>
          <w:sz w:val="24"/>
          <w:szCs w:val="24"/>
        </w:rPr>
        <w:t xml:space="preserve">provided significant </w:t>
      </w:r>
      <w:r w:rsidR="003A68C8">
        <w:rPr>
          <w:rFonts w:cstheme="minorHAnsi"/>
          <w:sz w:val="24"/>
          <w:szCs w:val="24"/>
        </w:rPr>
        <w:t>efficiency</w:t>
      </w:r>
      <w:r w:rsidR="00D147E6">
        <w:rPr>
          <w:rFonts w:cstheme="minorHAnsi"/>
          <w:sz w:val="24"/>
          <w:szCs w:val="24"/>
        </w:rPr>
        <w:t xml:space="preserve"> </w:t>
      </w:r>
      <w:r w:rsidR="003A68C8">
        <w:rPr>
          <w:rFonts w:cstheme="minorHAnsi"/>
          <w:sz w:val="24"/>
          <w:szCs w:val="24"/>
        </w:rPr>
        <w:t>benefits</w:t>
      </w:r>
      <w:r>
        <w:rPr>
          <w:rFonts w:cstheme="minorHAnsi"/>
          <w:sz w:val="24"/>
          <w:szCs w:val="24"/>
        </w:rPr>
        <w:t xml:space="preserve"> and both </w:t>
      </w:r>
      <w:r w:rsidR="00D147E6">
        <w:rPr>
          <w:rFonts w:cstheme="minorHAnsi"/>
          <w:sz w:val="24"/>
          <w:szCs w:val="24"/>
        </w:rPr>
        <w:t xml:space="preserve">parties </w:t>
      </w:r>
      <w:r>
        <w:rPr>
          <w:rFonts w:cstheme="minorHAnsi"/>
          <w:sz w:val="24"/>
          <w:szCs w:val="24"/>
        </w:rPr>
        <w:t>want to retain the EFT as a permanent feature.</w:t>
      </w:r>
    </w:p>
    <w:p w14:paraId="7005D2F5" w14:textId="3D2BFFC3" w:rsidR="00E53DDB" w:rsidRDefault="00E53DDB" w:rsidP="00E53DDB">
      <w:pPr>
        <w:rPr>
          <w:rFonts w:cstheme="minorHAnsi"/>
          <w:sz w:val="24"/>
          <w:szCs w:val="24"/>
        </w:rPr>
      </w:pPr>
      <w:r>
        <w:rPr>
          <w:rFonts w:cstheme="minorHAnsi"/>
          <w:sz w:val="24"/>
          <w:szCs w:val="24"/>
        </w:rPr>
        <w:t>To make the EFT permanent, some improvements need to be made to the infrastructure</w:t>
      </w:r>
      <w:r w:rsidR="003A68C8">
        <w:rPr>
          <w:rFonts w:cstheme="minorHAnsi"/>
          <w:sz w:val="24"/>
          <w:szCs w:val="24"/>
        </w:rPr>
        <w:t xml:space="preserve"> to ensure ongoing reliability</w:t>
      </w:r>
      <w:r>
        <w:rPr>
          <w:rFonts w:cstheme="minorHAnsi"/>
          <w:sz w:val="24"/>
          <w:szCs w:val="24"/>
        </w:rPr>
        <w:t>.</w:t>
      </w:r>
    </w:p>
    <w:p w14:paraId="2A7AF42C" w14:textId="0B6E5F5F" w:rsidR="00E53DDB" w:rsidRDefault="00E53DDB" w:rsidP="00E53DDB">
      <w:pPr>
        <w:pStyle w:val="ListParagraph"/>
        <w:numPr>
          <w:ilvl w:val="0"/>
          <w:numId w:val="20"/>
        </w:numPr>
        <w:rPr>
          <w:rFonts w:cstheme="minorHAnsi"/>
          <w:sz w:val="24"/>
          <w:szCs w:val="24"/>
        </w:rPr>
      </w:pPr>
      <w:r>
        <w:rPr>
          <w:rFonts w:cstheme="minorHAnsi"/>
          <w:sz w:val="24"/>
          <w:szCs w:val="24"/>
        </w:rPr>
        <w:lastRenderedPageBreak/>
        <w:t xml:space="preserve">The receiving space for </w:t>
      </w:r>
      <w:r w:rsidR="00F11114">
        <w:rPr>
          <w:rFonts w:cstheme="minorHAnsi"/>
          <w:sz w:val="24"/>
          <w:szCs w:val="24"/>
        </w:rPr>
        <w:t xml:space="preserve">electronic </w:t>
      </w:r>
      <w:r>
        <w:rPr>
          <w:rFonts w:cstheme="minorHAnsi"/>
          <w:sz w:val="24"/>
          <w:szCs w:val="24"/>
        </w:rPr>
        <w:t xml:space="preserve">application files needs to be robust to cope with </w:t>
      </w:r>
      <w:proofErr w:type="gramStart"/>
      <w:r>
        <w:rPr>
          <w:rFonts w:cstheme="minorHAnsi"/>
          <w:sz w:val="24"/>
          <w:szCs w:val="24"/>
        </w:rPr>
        <w:t>a number of</w:t>
      </w:r>
      <w:proofErr w:type="gramEnd"/>
      <w:r>
        <w:rPr>
          <w:rFonts w:cstheme="minorHAnsi"/>
          <w:sz w:val="24"/>
          <w:szCs w:val="24"/>
        </w:rPr>
        <w:t xml:space="preserve"> large files, ideally cloud-based</w:t>
      </w:r>
    </w:p>
    <w:p w14:paraId="49F5F681" w14:textId="77777777" w:rsidR="00E53DDB" w:rsidRDefault="00E53DDB" w:rsidP="00E53DDB">
      <w:pPr>
        <w:pStyle w:val="ListParagraph"/>
        <w:numPr>
          <w:ilvl w:val="0"/>
          <w:numId w:val="20"/>
        </w:numPr>
        <w:rPr>
          <w:rFonts w:cstheme="minorHAnsi"/>
          <w:sz w:val="24"/>
          <w:szCs w:val="24"/>
        </w:rPr>
      </w:pPr>
      <w:r>
        <w:rPr>
          <w:rFonts w:cstheme="minorHAnsi"/>
          <w:sz w:val="24"/>
          <w:szCs w:val="24"/>
        </w:rPr>
        <w:t>Final storage of these electronic files needs to be cloud-based</w:t>
      </w:r>
    </w:p>
    <w:p w14:paraId="7BFE8761" w14:textId="77777777" w:rsidR="00E53DDB" w:rsidRDefault="00E53DDB" w:rsidP="00E53DDB">
      <w:pPr>
        <w:pStyle w:val="ListParagraph"/>
        <w:numPr>
          <w:ilvl w:val="0"/>
          <w:numId w:val="20"/>
        </w:numPr>
        <w:rPr>
          <w:rFonts w:cstheme="minorHAnsi"/>
          <w:sz w:val="24"/>
          <w:szCs w:val="24"/>
        </w:rPr>
      </w:pPr>
      <w:r>
        <w:rPr>
          <w:rFonts w:cstheme="minorHAnsi"/>
          <w:sz w:val="24"/>
          <w:szCs w:val="24"/>
        </w:rPr>
        <w:t>Transfer of information on the CD-ROMs to electronic files to be stored cloud-based</w:t>
      </w:r>
    </w:p>
    <w:p w14:paraId="6E9C903E" w14:textId="71018CD2" w:rsidR="00E53DDB" w:rsidRDefault="00E53DDB" w:rsidP="00E53DDB">
      <w:pPr>
        <w:pStyle w:val="ListParagraph"/>
        <w:numPr>
          <w:ilvl w:val="0"/>
          <w:numId w:val="20"/>
        </w:numPr>
        <w:rPr>
          <w:rFonts w:cstheme="minorHAnsi"/>
          <w:sz w:val="24"/>
          <w:szCs w:val="24"/>
        </w:rPr>
      </w:pPr>
      <w:r>
        <w:rPr>
          <w:rFonts w:cstheme="minorHAnsi"/>
          <w:sz w:val="24"/>
          <w:szCs w:val="24"/>
        </w:rPr>
        <w:t xml:space="preserve">A long-term plan to scan physical files to electronic files to be stored </w:t>
      </w:r>
      <w:proofErr w:type="gramStart"/>
      <w:r>
        <w:rPr>
          <w:rFonts w:cstheme="minorHAnsi"/>
          <w:sz w:val="24"/>
          <w:szCs w:val="24"/>
        </w:rPr>
        <w:t>cloud-based</w:t>
      </w:r>
      <w:proofErr w:type="gramEnd"/>
      <w:r w:rsidR="009C26E6">
        <w:rPr>
          <w:rFonts w:cstheme="minorHAnsi"/>
          <w:sz w:val="24"/>
          <w:szCs w:val="24"/>
        </w:rPr>
        <w:t>.</w:t>
      </w:r>
    </w:p>
    <w:p w14:paraId="63844415" w14:textId="04CA6F4A" w:rsidR="003A68C8" w:rsidRDefault="003A68C8" w:rsidP="00E53DDB">
      <w:pPr>
        <w:pStyle w:val="ListParagraph"/>
        <w:numPr>
          <w:ilvl w:val="0"/>
          <w:numId w:val="20"/>
        </w:numPr>
        <w:rPr>
          <w:rFonts w:cstheme="minorHAnsi"/>
          <w:sz w:val="24"/>
          <w:szCs w:val="24"/>
        </w:rPr>
      </w:pPr>
      <w:r>
        <w:rPr>
          <w:rFonts w:cstheme="minorHAnsi"/>
          <w:sz w:val="24"/>
          <w:szCs w:val="24"/>
        </w:rPr>
        <w:t>Improved cyber-security</w:t>
      </w:r>
    </w:p>
    <w:p w14:paraId="651C2620" w14:textId="47D52BFC" w:rsidR="003A68C8" w:rsidRDefault="003A68C8" w:rsidP="00E53DDB">
      <w:pPr>
        <w:pStyle w:val="ListParagraph"/>
        <w:numPr>
          <w:ilvl w:val="0"/>
          <w:numId w:val="20"/>
        </w:numPr>
        <w:rPr>
          <w:rFonts w:cstheme="minorHAnsi"/>
          <w:sz w:val="24"/>
          <w:szCs w:val="24"/>
        </w:rPr>
      </w:pPr>
      <w:r>
        <w:rPr>
          <w:rFonts w:cstheme="minorHAnsi"/>
          <w:sz w:val="24"/>
          <w:szCs w:val="24"/>
        </w:rPr>
        <w:t>Improved business continuity plans</w:t>
      </w:r>
    </w:p>
    <w:p w14:paraId="0DFE931B" w14:textId="5EABE04D" w:rsidR="009C26E6" w:rsidRPr="009C26E6" w:rsidRDefault="009C26E6" w:rsidP="009C26E6">
      <w:pPr>
        <w:rPr>
          <w:rFonts w:cstheme="minorHAnsi"/>
          <w:sz w:val="24"/>
          <w:szCs w:val="24"/>
        </w:rPr>
      </w:pPr>
      <w:r>
        <w:rPr>
          <w:rFonts w:cstheme="minorHAnsi"/>
          <w:sz w:val="24"/>
          <w:szCs w:val="24"/>
        </w:rPr>
        <w:t>Therefore, resourcing for these improvements have been included in the fees review.</w:t>
      </w:r>
    </w:p>
    <w:bookmarkEnd w:id="2"/>
    <w:p w14:paraId="2E358175" w14:textId="13647C1D" w:rsidR="002A4DB2" w:rsidRDefault="002A4DB2">
      <w:pPr>
        <w:rPr>
          <w:rFonts w:cstheme="minorHAnsi"/>
          <w:sz w:val="24"/>
          <w:szCs w:val="24"/>
        </w:rPr>
      </w:pPr>
    </w:p>
    <w:p w14:paraId="0668E4FC" w14:textId="7A871CAF" w:rsidR="00C52BDB" w:rsidRPr="005435E0" w:rsidRDefault="00C52BDB" w:rsidP="005435E0">
      <w:pPr>
        <w:pBdr>
          <w:top w:val="single" w:sz="4" w:space="1" w:color="auto"/>
          <w:left w:val="single" w:sz="4" w:space="4" w:color="auto"/>
          <w:bottom w:val="single" w:sz="4" w:space="1" w:color="auto"/>
          <w:right w:val="single" w:sz="4" w:space="4" w:color="auto"/>
        </w:pBdr>
        <w:rPr>
          <w:rFonts w:cstheme="minorHAnsi"/>
          <w:b/>
          <w:sz w:val="24"/>
          <w:szCs w:val="24"/>
        </w:rPr>
      </w:pPr>
      <w:r w:rsidRPr="005435E0">
        <w:rPr>
          <w:rFonts w:cstheme="minorHAnsi"/>
          <w:b/>
          <w:sz w:val="24"/>
          <w:szCs w:val="24"/>
        </w:rPr>
        <w:t>Question</w:t>
      </w:r>
      <w:r w:rsidR="005435E0" w:rsidRPr="005435E0">
        <w:rPr>
          <w:rFonts w:cstheme="minorHAnsi"/>
          <w:b/>
          <w:sz w:val="24"/>
          <w:szCs w:val="24"/>
        </w:rPr>
        <w:t xml:space="preserve"> </w:t>
      </w:r>
      <w:r w:rsidR="005435E0">
        <w:rPr>
          <w:rFonts w:cstheme="minorHAnsi"/>
          <w:b/>
          <w:sz w:val="24"/>
          <w:szCs w:val="24"/>
        </w:rPr>
        <w:t xml:space="preserve">4: </w:t>
      </w:r>
      <w:r w:rsidRPr="005435E0">
        <w:rPr>
          <w:rFonts w:cstheme="minorHAnsi"/>
          <w:b/>
          <w:sz w:val="24"/>
          <w:szCs w:val="24"/>
        </w:rPr>
        <w:t xml:space="preserve">Do you think the forecast numbers of applications is accurate? If not, what factors do you </w:t>
      </w:r>
      <w:r w:rsidR="00C529C9" w:rsidRPr="005435E0">
        <w:rPr>
          <w:rFonts w:cstheme="minorHAnsi"/>
          <w:b/>
          <w:sz w:val="24"/>
          <w:szCs w:val="24"/>
        </w:rPr>
        <w:t>think would change the forecasts?</w:t>
      </w:r>
    </w:p>
    <w:p w14:paraId="04DD2E91" w14:textId="23D20755" w:rsidR="00F86AC0" w:rsidRPr="005435E0" w:rsidRDefault="005435E0" w:rsidP="005435E0">
      <w:pPr>
        <w:pBdr>
          <w:top w:val="single" w:sz="4" w:space="1" w:color="auto"/>
          <w:left w:val="single" w:sz="4" w:space="4" w:color="auto"/>
          <w:bottom w:val="single" w:sz="4" w:space="1" w:color="auto"/>
          <w:right w:val="single" w:sz="4" w:space="4" w:color="auto"/>
        </w:pBdr>
        <w:rPr>
          <w:rFonts w:cstheme="minorHAnsi"/>
          <w:b/>
          <w:sz w:val="24"/>
          <w:szCs w:val="24"/>
        </w:rPr>
      </w:pPr>
      <w:r w:rsidRPr="005435E0">
        <w:rPr>
          <w:rFonts w:cstheme="minorHAnsi"/>
          <w:b/>
          <w:sz w:val="24"/>
          <w:szCs w:val="24"/>
        </w:rPr>
        <w:t xml:space="preserve">Question </w:t>
      </w:r>
      <w:r>
        <w:rPr>
          <w:rFonts w:cstheme="minorHAnsi"/>
          <w:b/>
          <w:sz w:val="24"/>
          <w:szCs w:val="24"/>
        </w:rPr>
        <w:t>5</w:t>
      </w:r>
      <w:r w:rsidRPr="005435E0">
        <w:rPr>
          <w:rFonts w:cstheme="minorHAnsi"/>
          <w:b/>
          <w:sz w:val="24"/>
          <w:szCs w:val="24"/>
        </w:rPr>
        <w:t xml:space="preserve">: </w:t>
      </w:r>
      <w:r w:rsidR="00F86AC0" w:rsidRPr="005435E0">
        <w:rPr>
          <w:b/>
          <w:sz w:val="24"/>
          <w:szCs w:val="24"/>
        </w:rPr>
        <w:t xml:space="preserve">Is there other evidence/information that would inform analysis of the </w:t>
      </w:r>
      <w:r w:rsidR="00AF27F4" w:rsidRPr="005435E0">
        <w:rPr>
          <w:b/>
          <w:sz w:val="24"/>
          <w:szCs w:val="24"/>
        </w:rPr>
        <w:t>review</w:t>
      </w:r>
      <w:r w:rsidR="00F86AC0" w:rsidRPr="005435E0">
        <w:rPr>
          <w:b/>
          <w:sz w:val="24"/>
          <w:szCs w:val="24"/>
        </w:rPr>
        <w:t>?</w:t>
      </w:r>
    </w:p>
    <w:p w14:paraId="256E2D2F" w14:textId="268B4FDF" w:rsidR="004A1BBD" w:rsidRPr="005435E0" w:rsidRDefault="005435E0" w:rsidP="005435E0">
      <w:pPr>
        <w:pBdr>
          <w:top w:val="single" w:sz="4" w:space="1" w:color="auto"/>
          <w:left w:val="single" w:sz="4" w:space="4" w:color="auto"/>
          <w:bottom w:val="single" w:sz="4" w:space="1" w:color="auto"/>
          <w:right w:val="single" w:sz="4" w:space="4" w:color="auto"/>
        </w:pBdr>
        <w:rPr>
          <w:rFonts w:cstheme="minorHAnsi"/>
          <w:b/>
          <w:sz w:val="24"/>
          <w:szCs w:val="24"/>
        </w:rPr>
      </w:pPr>
      <w:r w:rsidRPr="005435E0">
        <w:rPr>
          <w:rFonts w:cstheme="minorHAnsi"/>
          <w:b/>
          <w:sz w:val="24"/>
          <w:szCs w:val="24"/>
        </w:rPr>
        <w:t xml:space="preserve">Question </w:t>
      </w:r>
      <w:r>
        <w:rPr>
          <w:rFonts w:cstheme="minorHAnsi"/>
          <w:b/>
          <w:sz w:val="24"/>
          <w:szCs w:val="24"/>
        </w:rPr>
        <w:t>6</w:t>
      </w:r>
      <w:r w:rsidRPr="005435E0">
        <w:rPr>
          <w:rFonts w:cstheme="minorHAnsi"/>
          <w:b/>
          <w:sz w:val="24"/>
          <w:szCs w:val="24"/>
        </w:rPr>
        <w:t xml:space="preserve">: </w:t>
      </w:r>
      <w:r w:rsidR="004A1BBD" w:rsidRPr="005435E0">
        <w:rPr>
          <w:b/>
          <w:sz w:val="24"/>
          <w:szCs w:val="24"/>
        </w:rPr>
        <w:t>Do you think the cost recovery principles are accurate and complete?</w:t>
      </w:r>
    </w:p>
    <w:p w14:paraId="358DFA38" w14:textId="77777777" w:rsidR="00647D8B" w:rsidRDefault="00647D8B">
      <w:pPr>
        <w:rPr>
          <w:rFonts w:ascii="Segoe UI" w:hAnsi="Segoe UI" w:cs="Segoe UI"/>
          <w:b/>
          <w:color w:val="4472C4" w:themeColor="accent1"/>
          <w:sz w:val="52"/>
          <w:szCs w:val="52"/>
        </w:rPr>
      </w:pPr>
      <w:r>
        <w:rPr>
          <w:rFonts w:ascii="Segoe UI" w:hAnsi="Segoe UI" w:cs="Segoe UI"/>
          <w:b/>
          <w:color w:val="4472C4" w:themeColor="accent1"/>
          <w:sz w:val="52"/>
          <w:szCs w:val="52"/>
        </w:rPr>
        <w:br w:type="page"/>
      </w:r>
    </w:p>
    <w:p w14:paraId="6F62D4BB" w14:textId="4FC7820B" w:rsidR="00DB043A" w:rsidRDefault="003A68C8" w:rsidP="00F04593">
      <w:pPr>
        <w:rPr>
          <w:rFonts w:ascii="Segoe UI" w:hAnsi="Segoe UI" w:cs="Segoe UI"/>
          <w:b/>
          <w:color w:val="4472C4" w:themeColor="accent1"/>
          <w:sz w:val="52"/>
          <w:szCs w:val="52"/>
        </w:rPr>
      </w:pPr>
      <w:r>
        <w:rPr>
          <w:rFonts w:ascii="Segoe UI" w:hAnsi="Segoe UI" w:cs="Segoe UI"/>
          <w:b/>
          <w:color w:val="4472C4" w:themeColor="accent1"/>
          <w:sz w:val="52"/>
          <w:szCs w:val="52"/>
        </w:rPr>
        <w:lastRenderedPageBreak/>
        <w:t xml:space="preserve">Results </w:t>
      </w:r>
      <w:r w:rsidR="00DB043A">
        <w:rPr>
          <w:rFonts w:ascii="Segoe UI" w:hAnsi="Segoe UI" w:cs="Segoe UI"/>
          <w:b/>
          <w:color w:val="4472C4" w:themeColor="accent1"/>
          <w:sz w:val="52"/>
          <w:szCs w:val="52"/>
        </w:rPr>
        <w:t xml:space="preserve">of the </w:t>
      </w:r>
      <w:r w:rsidR="00EB486F">
        <w:rPr>
          <w:rFonts w:ascii="Segoe UI" w:hAnsi="Segoe UI" w:cs="Segoe UI"/>
          <w:b/>
          <w:color w:val="4472C4" w:themeColor="accent1"/>
          <w:sz w:val="52"/>
          <w:szCs w:val="52"/>
        </w:rPr>
        <w:t>f</w:t>
      </w:r>
      <w:r w:rsidR="00DB043A">
        <w:rPr>
          <w:rFonts w:ascii="Segoe UI" w:hAnsi="Segoe UI" w:cs="Segoe UI"/>
          <w:b/>
          <w:color w:val="4472C4" w:themeColor="accent1"/>
          <w:sz w:val="52"/>
          <w:szCs w:val="52"/>
        </w:rPr>
        <w:t xml:space="preserve">ees </w:t>
      </w:r>
      <w:r>
        <w:rPr>
          <w:rFonts w:ascii="Segoe UI" w:hAnsi="Segoe UI" w:cs="Segoe UI"/>
          <w:b/>
          <w:color w:val="4472C4" w:themeColor="accent1"/>
          <w:sz w:val="52"/>
          <w:szCs w:val="52"/>
        </w:rPr>
        <w:t>analysis</w:t>
      </w:r>
    </w:p>
    <w:p w14:paraId="06C4D248" w14:textId="03FB2C22" w:rsidR="00DF0BF6" w:rsidRDefault="00DF0BF6" w:rsidP="00DF0BF6">
      <w:pPr>
        <w:rPr>
          <w:rFonts w:cstheme="minorHAnsi"/>
          <w:sz w:val="24"/>
          <w:szCs w:val="24"/>
        </w:rPr>
      </w:pPr>
      <w:r w:rsidRPr="00DB043A">
        <w:rPr>
          <w:rFonts w:cstheme="minorHAnsi"/>
          <w:sz w:val="24"/>
          <w:szCs w:val="24"/>
        </w:rPr>
        <w:t>The fees review has conclude</w:t>
      </w:r>
      <w:r>
        <w:rPr>
          <w:rFonts w:cstheme="minorHAnsi"/>
          <w:sz w:val="24"/>
          <w:szCs w:val="24"/>
        </w:rPr>
        <w:t>d</w:t>
      </w:r>
      <w:r w:rsidRPr="00DB043A">
        <w:rPr>
          <w:rFonts w:cstheme="minorHAnsi"/>
          <w:sz w:val="24"/>
          <w:szCs w:val="24"/>
        </w:rPr>
        <w:t xml:space="preserve"> that </w:t>
      </w:r>
      <w:r>
        <w:rPr>
          <w:rFonts w:cstheme="minorHAnsi"/>
          <w:sz w:val="24"/>
          <w:szCs w:val="24"/>
        </w:rPr>
        <w:t xml:space="preserve">there is a need for increased revenue from fees to ensure </w:t>
      </w:r>
      <w:proofErr w:type="spellStart"/>
      <w:r>
        <w:rPr>
          <w:rFonts w:cstheme="minorHAnsi"/>
          <w:sz w:val="24"/>
          <w:szCs w:val="24"/>
        </w:rPr>
        <w:t>Medsafe</w:t>
      </w:r>
      <w:proofErr w:type="spellEnd"/>
      <w:r>
        <w:rPr>
          <w:rFonts w:cstheme="minorHAnsi"/>
          <w:sz w:val="24"/>
          <w:szCs w:val="24"/>
        </w:rPr>
        <w:t xml:space="preserve"> is effective and sustainable. Increased revenue will reverse the </w:t>
      </w:r>
      <w:r w:rsidR="00193AE5">
        <w:rPr>
          <w:rFonts w:cstheme="minorHAnsi"/>
          <w:sz w:val="24"/>
          <w:szCs w:val="24"/>
        </w:rPr>
        <w:t>deficit position</w:t>
      </w:r>
      <w:r>
        <w:rPr>
          <w:rFonts w:cstheme="minorHAnsi"/>
          <w:sz w:val="24"/>
          <w:szCs w:val="24"/>
        </w:rPr>
        <w:t xml:space="preserve"> of the memorandum account </w:t>
      </w:r>
      <w:r w:rsidR="003A68C8">
        <w:rPr>
          <w:rFonts w:cstheme="minorHAnsi"/>
          <w:sz w:val="24"/>
          <w:szCs w:val="24"/>
        </w:rPr>
        <w:t xml:space="preserve">balance </w:t>
      </w:r>
      <w:r>
        <w:rPr>
          <w:rFonts w:cstheme="minorHAnsi"/>
          <w:sz w:val="24"/>
          <w:szCs w:val="24"/>
        </w:rPr>
        <w:t xml:space="preserve">and ensure </w:t>
      </w:r>
      <w:proofErr w:type="spellStart"/>
      <w:r>
        <w:rPr>
          <w:rFonts w:cstheme="minorHAnsi"/>
          <w:sz w:val="24"/>
          <w:szCs w:val="24"/>
        </w:rPr>
        <w:t>Medsafe</w:t>
      </w:r>
      <w:proofErr w:type="spellEnd"/>
      <w:r>
        <w:rPr>
          <w:rFonts w:cstheme="minorHAnsi"/>
          <w:sz w:val="24"/>
          <w:szCs w:val="24"/>
        </w:rPr>
        <w:t xml:space="preserve"> does not need to cut expenditure as this will </w:t>
      </w:r>
      <w:r w:rsidR="003A68C8">
        <w:rPr>
          <w:rFonts w:cstheme="minorHAnsi"/>
          <w:sz w:val="24"/>
          <w:szCs w:val="24"/>
        </w:rPr>
        <w:t xml:space="preserve">reduce </w:t>
      </w:r>
      <w:r>
        <w:rPr>
          <w:rFonts w:cstheme="minorHAnsi"/>
          <w:sz w:val="24"/>
          <w:szCs w:val="24"/>
        </w:rPr>
        <w:t xml:space="preserve">service levels. </w:t>
      </w:r>
    </w:p>
    <w:p w14:paraId="24C54201" w14:textId="1A1DDD70" w:rsidR="00DF0BF6" w:rsidRPr="00901518" w:rsidRDefault="00DF0BF6" w:rsidP="00DF0BF6">
      <w:pPr>
        <w:rPr>
          <w:rFonts w:cstheme="minorHAnsi"/>
          <w:b/>
          <w:bCs/>
          <w:color w:val="4472C4" w:themeColor="accent1"/>
          <w:sz w:val="28"/>
          <w:szCs w:val="28"/>
        </w:rPr>
      </w:pPr>
      <w:r>
        <w:rPr>
          <w:rFonts w:cstheme="minorHAnsi"/>
          <w:b/>
          <w:bCs/>
          <w:color w:val="4472C4" w:themeColor="accent1"/>
          <w:sz w:val="28"/>
          <w:szCs w:val="28"/>
        </w:rPr>
        <w:t>Volumes</w:t>
      </w:r>
    </w:p>
    <w:p w14:paraId="1626728B" w14:textId="06260966" w:rsidR="00DF0BF6" w:rsidRDefault="00DB2470" w:rsidP="00DF0BF6">
      <w:pPr>
        <w:rPr>
          <w:rFonts w:cstheme="minorHAnsi"/>
          <w:sz w:val="24"/>
          <w:szCs w:val="24"/>
        </w:rPr>
      </w:pPr>
      <w:r>
        <w:rPr>
          <w:rFonts w:cstheme="minorHAnsi"/>
          <w:sz w:val="24"/>
          <w:szCs w:val="24"/>
        </w:rPr>
        <w:t xml:space="preserve">The volume of applications is the basis of </w:t>
      </w:r>
      <w:proofErr w:type="spellStart"/>
      <w:r>
        <w:rPr>
          <w:rFonts w:cstheme="minorHAnsi"/>
          <w:sz w:val="24"/>
          <w:szCs w:val="24"/>
        </w:rPr>
        <w:t>Medsafe</w:t>
      </w:r>
      <w:proofErr w:type="spellEnd"/>
      <w:r>
        <w:rPr>
          <w:rFonts w:cstheme="minorHAnsi"/>
          <w:sz w:val="24"/>
          <w:szCs w:val="24"/>
        </w:rPr>
        <w:t xml:space="preserve"> revenue. </w:t>
      </w:r>
      <w:r w:rsidR="00193AE5">
        <w:rPr>
          <w:rFonts w:cstheme="minorHAnsi"/>
          <w:sz w:val="24"/>
          <w:szCs w:val="24"/>
        </w:rPr>
        <w:t>I</w:t>
      </w:r>
      <w:r>
        <w:rPr>
          <w:rFonts w:cstheme="minorHAnsi"/>
          <w:sz w:val="24"/>
          <w:szCs w:val="24"/>
        </w:rPr>
        <w:t xml:space="preserve">t is difficult to predict </w:t>
      </w:r>
      <w:r w:rsidR="00193AE5">
        <w:rPr>
          <w:rFonts w:cstheme="minorHAnsi"/>
          <w:sz w:val="24"/>
          <w:szCs w:val="24"/>
        </w:rPr>
        <w:t>trends in volumes so t</w:t>
      </w:r>
      <w:r>
        <w:rPr>
          <w:rFonts w:cstheme="minorHAnsi"/>
          <w:sz w:val="24"/>
          <w:szCs w:val="24"/>
        </w:rPr>
        <w:t xml:space="preserve">he ability to absorb the fluctuations of applications received is important for </w:t>
      </w:r>
      <w:r w:rsidR="001F6795">
        <w:rPr>
          <w:rFonts w:cstheme="minorHAnsi"/>
          <w:sz w:val="24"/>
          <w:szCs w:val="24"/>
        </w:rPr>
        <w:t>the sustainability</w:t>
      </w:r>
      <w:r>
        <w:rPr>
          <w:rFonts w:cstheme="minorHAnsi"/>
          <w:sz w:val="24"/>
          <w:szCs w:val="24"/>
        </w:rPr>
        <w:t xml:space="preserve"> of </w:t>
      </w:r>
      <w:proofErr w:type="spellStart"/>
      <w:r>
        <w:rPr>
          <w:rFonts w:cstheme="minorHAnsi"/>
          <w:sz w:val="24"/>
          <w:szCs w:val="24"/>
        </w:rPr>
        <w:t>Medsafe</w:t>
      </w:r>
      <w:proofErr w:type="spellEnd"/>
      <w:r>
        <w:rPr>
          <w:rFonts w:cstheme="minorHAnsi"/>
          <w:sz w:val="24"/>
          <w:szCs w:val="24"/>
        </w:rPr>
        <w:t xml:space="preserve">. </w:t>
      </w:r>
    </w:p>
    <w:p w14:paraId="5CB6F5D9" w14:textId="5F5EECDC" w:rsidR="00901518" w:rsidRPr="00901518" w:rsidRDefault="00901518" w:rsidP="00F04593">
      <w:pPr>
        <w:rPr>
          <w:rFonts w:cstheme="minorHAnsi"/>
          <w:b/>
          <w:bCs/>
          <w:color w:val="4472C4" w:themeColor="accent1"/>
          <w:sz w:val="28"/>
          <w:szCs w:val="28"/>
        </w:rPr>
      </w:pPr>
      <w:r w:rsidRPr="00901518">
        <w:rPr>
          <w:rFonts w:cstheme="minorHAnsi"/>
          <w:b/>
          <w:bCs/>
          <w:color w:val="4472C4" w:themeColor="accent1"/>
          <w:sz w:val="28"/>
          <w:szCs w:val="28"/>
        </w:rPr>
        <w:t>Cost model</w:t>
      </w:r>
    </w:p>
    <w:p w14:paraId="7587F001" w14:textId="34D9A3C7" w:rsidR="009C26E6" w:rsidRDefault="00DB2470" w:rsidP="00F04593">
      <w:pPr>
        <w:rPr>
          <w:rFonts w:cstheme="minorHAnsi"/>
          <w:sz w:val="24"/>
          <w:szCs w:val="24"/>
        </w:rPr>
      </w:pPr>
      <w:r>
        <w:rPr>
          <w:rFonts w:cstheme="minorHAnsi"/>
          <w:sz w:val="24"/>
          <w:szCs w:val="24"/>
        </w:rPr>
        <w:t xml:space="preserve">PwC </w:t>
      </w:r>
      <w:r w:rsidR="009C26E6">
        <w:rPr>
          <w:rFonts w:cstheme="minorHAnsi"/>
          <w:sz w:val="24"/>
          <w:szCs w:val="24"/>
        </w:rPr>
        <w:t xml:space="preserve">undertook a review of the cost model and concluded that the model used by </w:t>
      </w:r>
      <w:proofErr w:type="spellStart"/>
      <w:r w:rsidR="009C26E6">
        <w:rPr>
          <w:rFonts w:cstheme="minorHAnsi"/>
          <w:sz w:val="24"/>
          <w:szCs w:val="24"/>
        </w:rPr>
        <w:t>Medsafe</w:t>
      </w:r>
      <w:proofErr w:type="spellEnd"/>
      <w:r w:rsidR="009C26E6">
        <w:rPr>
          <w:rFonts w:cstheme="minorHAnsi"/>
          <w:sz w:val="24"/>
          <w:szCs w:val="24"/>
        </w:rPr>
        <w:t xml:space="preserve"> was logical, robust and consistent with the Treasury and the OAG frameworks. Suggested improvements have been made to the model prior to the finalisation of this consultation document.</w:t>
      </w:r>
      <w:r w:rsidR="00901518">
        <w:rPr>
          <w:rFonts w:cstheme="minorHAnsi"/>
          <w:sz w:val="24"/>
          <w:szCs w:val="24"/>
        </w:rPr>
        <w:t xml:space="preserve"> The PwC report </w:t>
      </w:r>
      <w:r w:rsidR="00901518" w:rsidRPr="00901518">
        <w:rPr>
          <w:i/>
          <w:iCs/>
          <w:sz w:val="24"/>
          <w:szCs w:val="24"/>
        </w:rPr>
        <w:t xml:space="preserve">Fee Setting Model – Methodology and Assumption Testing </w:t>
      </w:r>
      <w:r w:rsidR="00901518" w:rsidRPr="00901518">
        <w:rPr>
          <w:sz w:val="24"/>
          <w:szCs w:val="24"/>
        </w:rPr>
        <w:t xml:space="preserve">18 December 2020 </w:t>
      </w:r>
      <w:r w:rsidR="00901518">
        <w:rPr>
          <w:rFonts w:cstheme="minorHAnsi"/>
          <w:sz w:val="24"/>
          <w:szCs w:val="24"/>
        </w:rPr>
        <w:t xml:space="preserve">is </w:t>
      </w:r>
      <w:r>
        <w:rPr>
          <w:rFonts w:cstheme="minorHAnsi"/>
          <w:sz w:val="24"/>
          <w:szCs w:val="24"/>
        </w:rPr>
        <w:t>append</w:t>
      </w:r>
      <w:r w:rsidR="00901518">
        <w:rPr>
          <w:rFonts w:cstheme="minorHAnsi"/>
          <w:sz w:val="24"/>
          <w:szCs w:val="24"/>
        </w:rPr>
        <w:t>ed to this consultation document</w:t>
      </w:r>
      <w:r w:rsidR="00EC0E34">
        <w:rPr>
          <w:rFonts w:cstheme="minorHAnsi"/>
          <w:sz w:val="24"/>
          <w:szCs w:val="24"/>
        </w:rPr>
        <w:t xml:space="preserve"> (</w:t>
      </w:r>
      <w:r w:rsidR="00EC0E34" w:rsidRPr="000F2CDC">
        <w:rPr>
          <w:rFonts w:cstheme="minorHAnsi"/>
          <w:sz w:val="24"/>
          <w:szCs w:val="24"/>
        </w:rPr>
        <w:t xml:space="preserve">Appendix </w:t>
      </w:r>
      <w:r w:rsidR="000F2CDC">
        <w:rPr>
          <w:rFonts w:cstheme="minorHAnsi"/>
          <w:sz w:val="24"/>
          <w:szCs w:val="24"/>
        </w:rPr>
        <w:t>A</w:t>
      </w:r>
      <w:r w:rsidR="00EC0E34">
        <w:rPr>
          <w:rFonts w:cstheme="minorHAnsi"/>
          <w:sz w:val="24"/>
          <w:szCs w:val="24"/>
        </w:rPr>
        <w:t>)</w:t>
      </w:r>
      <w:r w:rsidR="00901518">
        <w:rPr>
          <w:rFonts w:cstheme="minorHAnsi"/>
          <w:sz w:val="24"/>
          <w:szCs w:val="24"/>
        </w:rPr>
        <w:t>.</w:t>
      </w:r>
    </w:p>
    <w:p w14:paraId="554196A9" w14:textId="64BD5F62" w:rsidR="00901518" w:rsidRPr="00901518" w:rsidRDefault="00901518" w:rsidP="00901518">
      <w:pPr>
        <w:rPr>
          <w:rFonts w:cstheme="minorHAnsi"/>
          <w:b/>
          <w:color w:val="4472C4" w:themeColor="accent1"/>
          <w:sz w:val="28"/>
          <w:szCs w:val="28"/>
        </w:rPr>
      </w:pPr>
      <w:r w:rsidRPr="00901518">
        <w:rPr>
          <w:rFonts w:cstheme="minorHAnsi"/>
          <w:b/>
          <w:color w:val="4472C4" w:themeColor="accent1"/>
          <w:sz w:val="28"/>
          <w:szCs w:val="28"/>
        </w:rPr>
        <w:t xml:space="preserve">CPI </w:t>
      </w:r>
      <w:r w:rsidR="00DB2470">
        <w:rPr>
          <w:rFonts w:cstheme="minorHAnsi"/>
          <w:b/>
          <w:color w:val="4472C4" w:themeColor="accent1"/>
          <w:sz w:val="28"/>
          <w:szCs w:val="28"/>
        </w:rPr>
        <w:t>adjustment</w:t>
      </w:r>
    </w:p>
    <w:p w14:paraId="27F5F112" w14:textId="1735CDD4" w:rsidR="00901518" w:rsidRDefault="00DB2470" w:rsidP="00901518">
      <w:pPr>
        <w:rPr>
          <w:rFonts w:cs="Segoe UI"/>
          <w:sz w:val="24"/>
          <w:szCs w:val="24"/>
        </w:rPr>
      </w:pPr>
      <w:r w:rsidRPr="00BE280C">
        <w:rPr>
          <w:rFonts w:cstheme="minorHAnsi"/>
          <w:sz w:val="24"/>
          <w:szCs w:val="24"/>
        </w:rPr>
        <w:t xml:space="preserve">A </w:t>
      </w:r>
      <w:r w:rsidR="00901518" w:rsidRPr="00BE280C">
        <w:rPr>
          <w:rFonts w:cstheme="minorHAnsi"/>
          <w:sz w:val="24"/>
          <w:szCs w:val="24"/>
        </w:rPr>
        <w:t xml:space="preserve">CPI </w:t>
      </w:r>
      <w:r w:rsidRPr="00BE280C">
        <w:rPr>
          <w:rFonts w:cstheme="minorHAnsi"/>
          <w:sz w:val="24"/>
          <w:szCs w:val="24"/>
        </w:rPr>
        <w:t>adjustment</w:t>
      </w:r>
      <w:r w:rsidR="00901518" w:rsidRPr="00BE280C">
        <w:rPr>
          <w:rFonts w:cstheme="minorHAnsi"/>
          <w:sz w:val="24"/>
          <w:szCs w:val="24"/>
        </w:rPr>
        <w:t xml:space="preserve"> </w:t>
      </w:r>
      <w:r w:rsidRPr="00BE280C">
        <w:rPr>
          <w:rFonts w:cstheme="minorHAnsi"/>
          <w:sz w:val="24"/>
          <w:szCs w:val="24"/>
        </w:rPr>
        <w:t xml:space="preserve">to all the fees should be applied </w:t>
      </w:r>
      <w:r w:rsidR="00901518" w:rsidRPr="00BE280C">
        <w:rPr>
          <w:rFonts w:cstheme="minorHAnsi"/>
          <w:sz w:val="24"/>
          <w:szCs w:val="24"/>
        </w:rPr>
        <w:t>to ensure fees keep pace with rising basic costs</w:t>
      </w:r>
      <w:r w:rsidRPr="00BE280C">
        <w:rPr>
          <w:rFonts w:cstheme="minorHAnsi"/>
          <w:sz w:val="24"/>
          <w:szCs w:val="24"/>
        </w:rPr>
        <w:t xml:space="preserve">. </w:t>
      </w:r>
      <w:r w:rsidR="008508A6" w:rsidRPr="00BE280C">
        <w:rPr>
          <w:rFonts w:cstheme="minorHAnsi"/>
          <w:sz w:val="24"/>
          <w:szCs w:val="24"/>
        </w:rPr>
        <w:t>CPI has been calculated using the information on the Reserve Bank inflation calculator for general CPI and is a 4.2% change over the previous 3 years (2017 Q3 to 2020 Q2). This 4.2% has been used as the proxy as to the CPI increases for the 3</w:t>
      </w:r>
      <w:r w:rsidR="000F2CDC">
        <w:rPr>
          <w:rFonts w:cstheme="minorHAnsi"/>
          <w:sz w:val="24"/>
          <w:szCs w:val="24"/>
        </w:rPr>
        <w:t>-</w:t>
      </w:r>
      <w:r w:rsidR="008508A6" w:rsidRPr="00BE280C">
        <w:rPr>
          <w:rFonts w:cstheme="minorHAnsi"/>
          <w:sz w:val="24"/>
          <w:szCs w:val="24"/>
        </w:rPr>
        <w:t>year period that this review covers</w:t>
      </w:r>
      <w:r w:rsidR="00EC34FD" w:rsidRPr="00BE280C">
        <w:rPr>
          <w:rFonts w:cs="Segoe UI"/>
          <w:sz w:val="24"/>
          <w:szCs w:val="24"/>
        </w:rPr>
        <w:t>.</w:t>
      </w:r>
    </w:p>
    <w:p w14:paraId="1D6F7089" w14:textId="04856BFD" w:rsidR="00901518" w:rsidRPr="00901518" w:rsidRDefault="00901518" w:rsidP="00901518">
      <w:pPr>
        <w:rPr>
          <w:rFonts w:cstheme="minorHAnsi"/>
          <w:b/>
          <w:bCs/>
          <w:color w:val="4472C4" w:themeColor="accent1"/>
          <w:sz w:val="28"/>
          <w:szCs w:val="28"/>
        </w:rPr>
      </w:pPr>
      <w:r w:rsidRPr="00901518">
        <w:rPr>
          <w:rFonts w:cstheme="minorHAnsi"/>
          <w:b/>
          <w:bCs/>
          <w:color w:val="4472C4" w:themeColor="accent1"/>
          <w:sz w:val="28"/>
          <w:szCs w:val="28"/>
        </w:rPr>
        <w:t xml:space="preserve">Cost </w:t>
      </w:r>
      <w:r>
        <w:rPr>
          <w:rFonts w:cstheme="minorHAnsi"/>
          <w:b/>
          <w:bCs/>
          <w:color w:val="4472C4" w:themeColor="accent1"/>
          <w:sz w:val="28"/>
          <w:szCs w:val="28"/>
        </w:rPr>
        <w:t>recovery</w:t>
      </w:r>
    </w:p>
    <w:p w14:paraId="7C2D56B3" w14:textId="7C3A3D58" w:rsidR="00647D8B" w:rsidRPr="006A2310" w:rsidRDefault="00EC34FD" w:rsidP="00647D8B">
      <w:pPr>
        <w:rPr>
          <w:sz w:val="24"/>
          <w:szCs w:val="24"/>
        </w:rPr>
      </w:pPr>
      <w:r>
        <w:rPr>
          <w:rFonts w:cstheme="minorHAnsi"/>
          <w:sz w:val="24"/>
          <w:szCs w:val="24"/>
        </w:rPr>
        <w:t>T</w:t>
      </w:r>
      <w:r w:rsidR="005A459E">
        <w:rPr>
          <w:rFonts w:cstheme="minorHAnsi"/>
          <w:sz w:val="24"/>
          <w:szCs w:val="24"/>
        </w:rPr>
        <w:t xml:space="preserve">here are some </w:t>
      </w:r>
      <w:r w:rsidR="00901518">
        <w:rPr>
          <w:rFonts w:cstheme="minorHAnsi"/>
          <w:sz w:val="24"/>
          <w:szCs w:val="24"/>
        </w:rPr>
        <w:t xml:space="preserve">evaluation and </w:t>
      </w:r>
      <w:r w:rsidR="005A459E">
        <w:rPr>
          <w:rFonts w:cstheme="minorHAnsi"/>
          <w:sz w:val="24"/>
          <w:szCs w:val="24"/>
        </w:rPr>
        <w:t>activit</w:t>
      </w:r>
      <w:r w:rsidR="00901518">
        <w:rPr>
          <w:rFonts w:cstheme="minorHAnsi"/>
          <w:sz w:val="24"/>
          <w:szCs w:val="24"/>
        </w:rPr>
        <w:t>y costs</w:t>
      </w:r>
      <w:r w:rsidR="005A459E">
        <w:rPr>
          <w:rFonts w:cstheme="minorHAnsi"/>
          <w:sz w:val="24"/>
          <w:szCs w:val="24"/>
        </w:rPr>
        <w:t xml:space="preserve"> that </w:t>
      </w:r>
      <w:r w:rsidR="00901518">
        <w:rPr>
          <w:rFonts w:cstheme="minorHAnsi"/>
          <w:sz w:val="24"/>
          <w:szCs w:val="24"/>
        </w:rPr>
        <w:t>require cost recovery adjustments</w:t>
      </w:r>
      <w:r w:rsidR="004A6F85">
        <w:rPr>
          <w:rFonts w:cstheme="minorHAnsi"/>
          <w:sz w:val="24"/>
          <w:szCs w:val="24"/>
        </w:rPr>
        <w:t xml:space="preserve"> and </w:t>
      </w:r>
      <w:r w:rsidR="00901518">
        <w:rPr>
          <w:rFonts w:cstheme="minorHAnsi"/>
          <w:sz w:val="24"/>
          <w:szCs w:val="24"/>
        </w:rPr>
        <w:t>realignments</w:t>
      </w:r>
      <w:r w:rsidR="004A6F85">
        <w:rPr>
          <w:rFonts w:cstheme="minorHAnsi"/>
          <w:sz w:val="24"/>
          <w:szCs w:val="24"/>
        </w:rPr>
        <w:t xml:space="preserve">. </w:t>
      </w:r>
      <w:r w:rsidR="00647D8B" w:rsidRPr="006A2310">
        <w:rPr>
          <w:sz w:val="24"/>
          <w:szCs w:val="24"/>
        </w:rPr>
        <w:t>Analysis of the current fees (</w:t>
      </w:r>
      <w:hyperlink r:id="rId9" w:history="1">
        <w:r w:rsidRPr="00AE47D3">
          <w:rPr>
            <w:rStyle w:val="Hyperlink"/>
            <w:sz w:val="24"/>
            <w:szCs w:val="24"/>
          </w:rPr>
          <w:t>https://www.medsafe.govt.nz/regulatory/fees.asp</w:t>
        </w:r>
      </w:hyperlink>
      <w:r>
        <w:rPr>
          <w:sz w:val="24"/>
          <w:szCs w:val="24"/>
        </w:rPr>
        <w:t xml:space="preserve"> </w:t>
      </w:r>
      <w:r w:rsidR="00647D8B" w:rsidRPr="006A2310">
        <w:rPr>
          <w:sz w:val="24"/>
          <w:szCs w:val="24"/>
        </w:rPr>
        <w:t>) indicates that many fees have not changed for some years, with no review for increased complexity or increased costs</w:t>
      </w:r>
      <w:r w:rsidR="00647D8B">
        <w:rPr>
          <w:sz w:val="24"/>
          <w:szCs w:val="24"/>
        </w:rPr>
        <w:t xml:space="preserve"> since 2008</w:t>
      </w:r>
      <w:r w:rsidR="00647D8B" w:rsidRPr="006A2310">
        <w:rPr>
          <w:sz w:val="24"/>
          <w:szCs w:val="24"/>
        </w:rPr>
        <w:t xml:space="preserve">. New types of medicines, such as biosimilars, have appeared and require a level of assessment that does not align easily with the existing fee categories. There are some fees </w:t>
      </w:r>
      <w:r>
        <w:rPr>
          <w:sz w:val="24"/>
          <w:szCs w:val="24"/>
        </w:rPr>
        <w:t>that do not reflect</w:t>
      </w:r>
      <w:r w:rsidR="00647D8B" w:rsidRPr="006A2310">
        <w:rPr>
          <w:sz w:val="24"/>
          <w:szCs w:val="24"/>
        </w:rPr>
        <w:t xml:space="preserve"> the cost of evaluation, such as the clinical s24(5)(a) referrals for new and extended indications that require specialist clinical evaluation, </w:t>
      </w:r>
      <w:r w:rsidR="00647D8B">
        <w:rPr>
          <w:sz w:val="24"/>
          <w:szCs w:val="24"/>
        </w:rPr>
        <w:t xml:space="preserve">and </w:t>
      </w:r>
      <w:r w:rsidR="00647D8B" w:rsidRPr="006A2310">
        <w:rPr>
          <w:sz w:val="24"/>
          <w:szCs w:val="24"/>
        </w:rPr>
        <w:t>the provisional consent pathway.</w:t>
      </w:r>
    </w:p>
    <w:p w14:paraId="04BEE7E9" w14:textId="3DF038E9" w:rsidR="002B21D9" w:rsidRDefault="002B21D9" w:rsidP="002B21D9">
      <w:pPr>
        <w:rPr>
          <w:rFonts w:cstheme="minorHAnsi"/>
          <w:sz w:val="24"/>
          <w:szCs w:val="24"/>
        </w:rPr>
      </w:pPr>
      <w:r>
        <w:rPr>
          <w:rFonts w:cstheme="minorHAnsi"/>
          <w:sz w:val="24"/>
          <w:szCs w:val="24"/>
        </w:rPr>
        <w:t xml:space="preserve">The review found that there </w:t>
      </w:r>
      <w:r w:rsidR="00193AE5">
        <w:rPr>
          <w:rFonts w:cstheme="minorHAnsi"/>
          <w:sz w:val="24"/>
          <w:szCs w:val="24"/>
        </w:rPr>
        <w:t xml:space="preserve">was </w:t>
      </w:r>
      <w:r>
        <w:rPr>
          <w:rFonts w:cstheme="minorHAnsi"/>
          <w:sz w:val="24"/>
          <w:szCs w:val="24"/>
        </w:rPr>
        <w:t xml:space="preserve">no need to change the cost recovery component of all fees, as </w:t>
      </w:r>
      <w:r w:rsidR="00901518">
        <w:rPr>
          <w:rFonts w:cstheme="minorHAnsi"/>
          <w:sz w:val="24"/>
          <w:szCs w:val="24"/>
        </w:rPr>
        <w:t>many</w:t>
      </w:r>
      <w:r>
        <w:rPr>
          <w:rFonts w:cstheme="minorHAnsi"/>
          <w:sz w:val="24"/>
          <w:szCs w:val="24"/>
        </w:rPr>
        <w:t xml:space="preserve"> were based on satisfactory assumptions.</w:t>
      </w:r>
    </w:p>
    <w:p w14:paraId="5BB0BAAB" w14:textId="788AD1B8" w:rsidR="00DB043A" w:rsidRDefault="00647D8B" w:rsidP="00F04593">
      <w:pPr>
        <w:rPr>
          <w:rFonts w:cstheme="minorHAnsi"/>
          <w:sz w:val="24"/>
          <w:szCs w:val="24"/>
        </w:rPr>
      </w:pPr>
      <w:r>
        <w:rPr>
          <w:rFonts w:cstheme="minorHAnsi"/>
          <w:sz w:val="24"/>
          <w:szCs w:val="24"/>
        </w:rPr>
        <w:t>Proposals to change</w:t>
      </w:r>
      <w:r w:rsidR="004A6F85">
        <w:rPr>
          <w:rFonts w:cstheme="minorHAnsi"/>
          <w:sz w:val="24"/>
          <w:szCs w:val="24"/>
        </w:rPr>
        <w:t xml:space="preserve"> </w:t>
      </w:r>
      <w:r w:rsidR="00901518">
        <w:rPr>
          <w:rFonts w:cstheme="minorHAnsi"/>
          <w:sz w:val="24"/>
          <w:szCs w:val="24"/>
        </w:rPr>
        <w:t xml:space="preserve">specific </w:t>
      </w:r>
      <w:r w:rsidR="004A6F85">
        <w:rPr>
          <w:rFonts w:cstheme="minorHAnsi"/>
          <w:sz w:val="24"/>
          <w:szCs w:val="24"/>
        </w:rPr>
        <w:t xml:space="preserve">fees </w:t>
      </w:r>
      <w:r w:rsidR="009E674E">
        <w:rPr>
          <w:rFonts w:cstheme="minorHAnsi"/>
          <w:sz w:val="24"/>
          <w:szCs w:val="24"/>
        </w:rPr>
        <w:t>regarding</w:t>
      </w:r>
      <w:r w:rsidR="004A6F85">
        <w:rPr>
          <w:rFonts w:cstheme="minorHAnsi"/>
          <w:sz w:val="24"/>
          <w:szCs w:val="24"/>
        </w:rPr>
        <w:t xml:space="preserve"> cost recovery </w:t>
      </w:r>
      <w:r w:rsidR="00AF65B4">
        <w:rPr>
          <w:rFonts w:cstheme="minorHAnsi"/>
          <w:sz w:val="24"/>
          <w:szCs w:val="24"/>
        </w:rPr>
        <w:t>are</w:t>
      </w:r>
      <w:r w:rsidR="004A6F85">
        <w:rPr>
          <w:rFonts w:cstheme="minorHAnsi"/>
          <w:sz w:val="24"/>
          <w:szCs w:val="24"/>
        </w:rPr>
        <w:t xml:space="preserve"> </w:t>
      </w:r>
      <w:r w:rsidR="001035A7">
        <w:rPr>
          <w:rFonts w:cstheme="minorHAnsi"/>
          <w:sz w:val="24"/>
          <w:szCs w:val="24"/>
        </w:rPr>
        <w:t>described in the next section</w:t>
      </w:r>
      <w:r w:rsidR="006071AB">
        <w:rPr>
          <w:rFonts w:cstheme="minorHAnsi"/>
          <w:sz w:val="24"/>
          <w:szCs w:val="24"/>
        </w:rPr>
        <w:t xml:space="preserve"> and make up Option 3 – see page 25)</w:t>
      </w:r>
      <w:r w:rsidR="004A6F85">
        <w:rPr>
          <w:rFonts w:cstheme="minorHAnsi"/>
          <w:sz w:val="24"/>
          <w:szCs w:val="24"/>
        </w:rPr>
        <w:t>.</w:t>
      </w:r>
      <w:r w:rsidR="00AF65B4">
        <w:rPr>
          <w:rFonts w:cstheme="minorHAnsi"/>
          <w:sz w:val="24"/>
          <w:szCs w:val="24"/>
        </w:rPr>
        <w:t xml:space="preserve"> </w:t>
      </w:r>
    </w:p>
    <w:p w14:paraId="6646DDAF" w14:textId="77777777" w:rsidR="005435E0" w:rsidRDefault="005435E0" w:rsidP="00F04593">
      <w:pPr>
        <w:rPr>
          <w:rFonts w:cstheme="minorHAnsi"/>
          <w:sz w:val="24"/>
          <w:szCs w:val="24"/>
        </w:rPr>
      </w:pPr>
    </w:p>
    <w:p w14:paraId="25F6E901" w14:textId="77777777" w:rsidR="00EC0E34" w:rsidRPr="00ED306C" w:rsidRDefault="00EC0E34" w:rsidP="00ED306C">
      <w:pPr>
        <w:rPr>
          <w:bCs/>
          <w:color w:val="4472C4" w:themeColor="accent1"/>
          <w:sz w:val="28"/>
          <w:szCs w:val="28"/>
        </w:rPr>
      </w:pPr>
      <w:r w:rsidRPr="00ED306C">
        <w:rPr>
          <w:b/>
          <w:bCs/>
          <w:color w:val="4472C4" w:themeColor="accent1"/>
          <w:sz w:val="28"/>
          <w:szCs w:val="28"/>
        </w:rPr>
        <w:lastRenderedPageBreak/>
        <w:t>Memorandum account balance</w:t>
      </w:r>
    </w:p>
    <w:p w14:paraId="19BB39BD" w14:textId="77777777" w:rsidR="00EC0E34" w:rsidRPr="00D32E9E" w:rsidRDefault="00EC0E34" w:rsidP="00EC0E34">
      <w:pPr>
        <w:pStyle w:val="Paragraph"/>
        <w:rPr>
          <w:rFonts w:asciiTheme="minorHAnsi" w:hAnsiTheme="minorHAnsi" w:cstheme="minorHAnsi"/>
          <w:sz w:val="24"/>
          <w:szCs w:val="24"/>
        </w:rPr>
      </w:pPr>
      <w:r w:rsidRPr="00D32E9E">
        <w:rPr>
          <w:rFonts w:asciiTheme="minorHAnsi" w:hAnsiTheme="minorHAnsi" w:cstheme="minorHAnsi"/>
          <w:sz w:val="24"/>
          <w:szCs w:val="24"/>
        </w:rPr>
        <w:t xml:space="preserve">To address the existing $2.5 million deficit in the memorandum account, </w:t>
      </w:r>
      <w:proofErr w:type="spellStart"/>
      <w:r w:rsidRPr="00D32E9E">
        <w:rPr>
          <w:rFonts w:asciiTheme="minorHAnsi" w:hAnsiTheme="minorHAnsi" w:cstheme="minorHAnsi"/>
          <w:sz w:val="24"/>
          <w:szCs w:val="24"/>
        </w:rPr>
        <w:t>Medsafe</w:t>
      </w:r>
      <w:proofErr w:type="spellEnd"/>
      <w:r w:rsidRPr="00D32E9E">
        <w:rPr>
          <w:rFonts w:asciiTheme="minorHAnsi" w:hAnsiTheme="minorHAnsi" w:cstheme="minorHAnsi"/>
          <w:sz w:val="24"/>
          <w:szCs w:val="24"/>
        </w:rPr>
        <w:t xml:space="preserve"> proposing to over recover revenue by $0.5 million per annum, over a five-year period.</w:t>
      </w:r>
    </w:p>
    <w:p w14:paraId="0D8C7C04" w14:textId="08859F72" w:rsidR="00901518" w:rsidRPr="00901518" w:rsidRDefault="00901518" w:rsidP="00901518">
      <w:pPr>
        <w:rPr>
          <w:rFonts w:cstheme="minorHAnsi"/>
          <w:b/>
          <w:bCs/>
          <w:color w:val="4472C4" w:themeColor="accent1"/>
          <w:sz w:val="28"/>
          <w:szCs w:val="28"/>
        </w:rPr>
      </w:pPr>
      <w:r>
        <w:rPr>
          <w:rFonts w:cstheme="minorHAnsi"/>
          <w:b/>
          <w:bCs/>
          <w:color w:val="4472C4" w:themeColor="accent1"/>
          <w:sz w:val="28"/>
          <w:szCs w:val="28"/>
        </w:rPr>
        <w:t>Improvements</w:t>
      </w:r>
      <w:r w:rsidR="00EC34FD">
        <w:rPr>
          <w:rFonts w:cstheme="minorHAnsi"/>
          <w:b/>
          <w:bCs/>
          <w:color w:val="4472C4" w:themeColor="accent1"/>
          <w:sz w:val="28"/>
          <w:szCs w:val="28"/>
        </w:rPr>
        <w:t>/Investment</w:t>
      </w:r>
    </w:p>
    <w:p w14:paraId="76CE912B" w14:textId="48DD4694" w:rsidR="00512C7F" w:rsidRPr="00DB043A" w:rsidRDefault="00512C7F" w:rsidP="00AF65B4">
      <w:pPr>
        <w:rPr>
          <w:rFonts w:cstheme="minorHAnsi"/>
          <w:sz w:val="24"/>
          <w:szCs w:val="24"/>
        </w:rPr>
      </w:pPr>
      <w:r>
        <w:rPr>
          <w:rFonts w:cstheme="minorHAnsi"/>
          <w:sz w:val="24"/>
          <w:szCs w:val="24"/>
        </w:rPr>
        <w:t xml:space="preserve">In order to ensure </w:t>
      </w:r>
      <w:proofErr w:type="spellStart"/>
      <w:r>
        <w:rPr>
          <w:rFonts w:cstheme="minorHAnsi"/>
          <w:sz w:val="24"/>
          <w:szCs w:val="24"/>
        </w:rPr>
        <w:t>Medsafe</w:t>
      </w:r>
      <w:proofErr w:type="spellEnd"/>
      <w:r>
        <w:rPr>
          <w:rFonts w:cstheme="minorHAnsi"/>
          <w:sz w:val="24"/>
          <w:szCs w:val="24"/>
        </w:rPr>
        <w:t xml:space="preserve"> remains a</w:t>
      </w:r>
      <w:r w:rsidR="00A21068">
        <w:rPr>
          <w:rFonts w:cstheme="minorHAnsi"/>
          <w:sz w:val="24"/>
          <w:szCs w:val="24"/>
        </w:rPr>
        <w:t>n</w:t>
      </w:r>
      <w:r>
        <w:rPr>
          <w:rFonts w:cstheme="minorHAnsi"/>
          <w:sz w:val="24"/>
          <w:szCs w:val="24"/>
        </w:rPr>
        <w:t xml:space="preserve"> effective and efficient regulator, some investment is required in improved technology, increased FTE and contractual relationships with parties such as the Centre for Adverse Reactions (CARM) and ESR. </w:t>
      </w:r>
    </w:p>
    <w:p w14:paraId="4DDC7B7B" w14:textId="5E53FFB8" w:rsidR="00901518" w:rsidRPr="00901518" w:rsidRDefault="00901518" w:rsidP="00901518">
      <w:pPr>
        <w:rPr>
          <w:rFonts w:cstheme="minorHAnsi"/>
          <w:b/>
          <w:bCs/>
          <w:color w:val="4472C4" w:themeColor="accent1"/>
          <w:sz w:val="28"/>
          <w:szCs w:val="28"/>
        </w:rPr>
      </w:pPr>
      <w:r>
        <w:rPr>
          <w:rFonts w:cstheme="minorHAnsi"/>
          <w:b/>
          <w:bCs/>
          <w:color w:val="4472C4" w:themeColor="accent1"/>
          <w:sz w:val="28"/>
          <w:szCs w:val="28"/>
        </w:rPr>
        <w:t>Expected impacts of the proposed fee changes</w:t>
      </w:r>
    </w:p>
    <w:p w14:paraId="0D4275AD" w14:textId="3D1E26E8" w:rsidR="003C4AB7" w:rsidRDefault="003C4AB7" w:rsidP="003C4AB7">
      <w:pPr>
        <w:rPr>
          <w:rFonts w:cstheme="minorHAnsi"/>
          <w:sz w:val="24"/>
          <w:szCs w:val="24"/>
        </w:rPr>
      </w:pPr>
      <w:r>
        <w:rPr>
          <w:rFonts w:cstheme="minorHAnsi"/>
          <w:sz w:val="24"/>
          <w:szCs w:val="24"/>
        </w:rPr>
        <w:t xml:space="preserve">The resulting forecast expenditure was then placed against the forecast revenue. The cost recovery </w:t>
      </w:r>
      <w:r w:rsidR="009E674E">
        <w:rPr>
          <w:rFonts w:cstheme="minorHAnsi"/>
          <w:sz w:val="24"/>
          <w:szCs w:val="24"/>
        </w:rPr>
        <w:t>changes,</w:t>
      </w:r>
      <w:r>
        <w:rPr>
          <w:rFonts w:cstheme="minorHAnsi"/>
          <w:sz w:val="24"/>
          <w:szCs w:val="24"/>
        </w:rPr>
        <w:t xml:space="preserve"> and the calculated CPI increase covers the forecast expenditure. </w:t>
      </w:r>
    </w:p>
    <w:p w14:paraId="56C66768" w14:textId="77777777" w:rsidR="00016504" w:rsidRPr="002E351F" w:rsidRDefault="00016504" w:rsidP="00017C9A">
      <w:pPr>
        <w:rPr>
          <w:sz w:val="24"/>
          <w:szCs w:val="24"/>
        </w:rPr>
      </w:pPr>
      <w:r w:rsidRPr="002E351F">
        <w:rPr>
          <w:sz w:val="24"/>
          <w:szCs w:val="24"/>
        </w:rPr>
        <w:t xml:space="preserve">Overall, </w:t>
      </w:r>
      <w:proofErr w:type="spellStart"/>
      <w:r w:rsidRPr="002E351F">
        <w:rPr>
          <w:sz w:val="24"/>
          <w:szCs w:val="24"/>
        </w:rPr>
        <w:t>Medsafe</w:t>
      </w:r>
      <w:proofErr w:type="spellEnd"/>
      <w:r w:rsidRPr="002E351F">
        <w:rPr>
          <w:sz w:val="24"/>
          <w:szCs w:val="24"/>
        </w:rPr>
        <w:t xml:space="preserve"> expects the proposed fee changes to:</w:t>
      </w:r>
    </w:p>
    <w:p w14:paraId="1479F466" w14:textId="374CC977" w:rsidR="00016504" w:rsidRPr="002E351F" w:rsidRDefault="00017C9A" w:rsidP="00017C9A">
      <w:pPr>
        <w:pStyle w:val="Bulletlistlevel2"/>
      </w:pPr>
      <w:r w:rsidRPr="002E351F">
        <w:t>e</w:t>
      </w:r>
      <w:r w:rsidR="00016504" w:rsidRPr="002E351F">
        <w:t>nsure fees are more effective and equitable</w:t>
      </w:r>
    </w:p>
    <w:p w14:paraId="25A1B669" w14:textId="78BD747C" w:rsidR="00016504" w:rsidRPr="002E351F" w:rsidRDefault="00017C9A" w:rsidP="00017C9A">
      <w:pPr>
        <w:pStyle w:val="Bulletlistlevel2"/>
      </w:pPr>
      <w:r w:rsidRPr="002E351F">
        <w:t>r</w:t>
      </w:r>
      <w:r w:rsidR="00016504" w:rsidRPr="002E351F">
        <w:t xml:space="preserve">ealign the fees to reflect the proportion of effort </w:t>
      </w:r>
      <w:r w:rsidR="003A68C8">
        <w:t xml:space="preserve">by </w:t>
      </w:r>
      <w:proofErr w:type="spellStart"/>
      <w:r w:rsidR="003A68C8">
        <w:t>Medsafe</w:t>
      </w:r>
      <w:proofErr w:type="spellEnd"/>
    </w:p>
    <w:p w14:paraId="47DFAD51" w14:textId="0E7BD672" w:rsidR="00016504" w:rsidRPr="002E351F" w:rsidRDefault="00017C9A" w:rsidP="00017C9A">
      <w:pPr>
        <w:pStyle w:val="Bulletlistlevel2"/>
      </w:pPr>
      <w:r w:rsidRPr="002E351F">
        <w:t>e</w:t>
      </w:r>
      <w:r w:rsidR="00016504" w:rsidRPr="002E351F">
        <w:t>nsure a steady upward movement towards zero for the memorandum account</w:t>
      </w:r>
    </w:p>
    <w:p w14:paraId="24B6C041" w14:textId="55293EAD" w:rsidR="004A1BBD" w:rsidRPr="002E351F" w:rsidRDefault="00017C9A" w:rsidP="00017C9A">
      <w:pPr>
        <w:pStyle w:val="Bulletlistlevel2"/>
      </w:pPr>
      <w:r w:rsidRPr="002E351F">
        <w:t>e</w:t>
      </w:r>
      <w:r w:rsidR="00016504" w:rsidRPr="002E351F">
        <w:t>nable improvements in technology to assist stakeholders</w:t>
      </w:r>
    </w:p>
    <w:p w14:paraId="0072FFA7" w14:textId="50EE11EE" w:rsidR="00016504" w:rsidRDefault="00017C9A" w:rsidP="00017C9A">
      <w:pPr>
        <w:pStyle w:val="Bulletlistlevel2"/>
        <w:spacing w:after="120"/>
      </w:pPr>
      <w:r w:rsidRPr="002E351F">
        <w:t>e</w:t>
      </w:r>
      <w:r w:rsidR="004A1BBD" w:rsidRPr="002E351F">
        <w:t>nsure</w:t>
      </w:r>
      <w:r w:rsidR="00016504" w:rsidRPr="002E351F">
        <w:t xml:space="preserve"> staff </w:t>
      </w:r>
      <w:r w:rsidR="004649B3">
        <w:t>continue to be</w:t>
      </w:r>
      <w:r w:rsidR="00016504" w:rsidRPr="002E351F">
        <w:t xml:space="preserve"> skilled</w:t>
      </w:r>
      <w:r w:rsidR="002E351F">
        <w:t>, engaged</w:t>
      </w:r>
      <w:r w:rsidR="00016504" w:rsidRPr="002E351F">
        <w:t xml:space="preserve"> and efficient </w:t>
      </w:r>
    </w:p>
    <w:p w14:paraId="5832C78D" w14:textId="7DDADB3E" w:rsidR="004649B3" w:rsidRPr="002E351F" w:rsidRDefault="004649B3" w:rsidP="00017C9A">
      <w:pPr>
        <w:pStyle w:val="Bulletlistlevel2"/>
        <w:spacing w:after="120"/>
      </w:pPr>
      <w:r>
        <w:t>contribute to improved performance metrics</w:t>
      </w:r>
    </w:p>
    <w:p w14:paraId="3B1EE0BA" w14:textId="77777777" w:rsidR="00DB043A" w:rsidRDefault="00DB043A">
      <w:pPr>
        <w:rPr>
          <w:rFonts w:ascii="Segoe UI" w:hAnsi="Segoe UI" w:cs="Segoe UI"/>
          <w:b/>
          <w:color w:val="4472C4" w:themeColor="accent1"/>
          <w:sz w:val="52"/>
          <w:szCs w:val="52"/>
        </w:rPr>
      </w:pPr>
      <w:r>
        <w:rPr>
          <w:rFonts w:ascii="Segoe UI" w:hAnsi="Segoe UI" w:cs="Segoe UI"/>
          <w:b/>
          <w:color w:val="4472C4" w:themeColor="accent1"/>
          <w:sz w:val="52"/>
          <w:szCs w:val="52"/>
        </w:rPr>
        <w:br w:type="page"/>
      </w:r>
    </w:p>
    <w:p w14:paraId="485DC99E" w14:textId="510C912F" w:rsidR="004649B3" w:rsidRPr="006A2310" w:rsidRDefault="00523D7A">
      <w:pPr>
        <w:rPr>
          <w:rFonts w:ascii="Segoe UI" w:hAnsi="Segoe UI" w:cs="Segoe UI"/>
          <w:b/>
          <w:color w:val="4472C4" w:themeColor="accent1"/>
          <w:sz w:val="36"/>
          <w:szCs w:val="36"/>
        </w:rPr>
      </w:pPr>
      <w:r>
        <w:rPr>
          <w:rFonts w:ascii="Segoe UI" w:hAnsi="Segoe UI" w:cs="Segoe UI"/>
          <w:b/>
          <w:color w:val="4472C4" w:themeColor="accent1"/>
          <w:sz w:val="36"/>
          <w:szCs w:val="36"/>
        </w:rPr>
        <w:lastRenderedPageBreak/>
        <w:t>Cost</w:t>
      </w:r>
      <w:r w:rsidR="00CA67D7" w:rsidRPr="006A2310">
        <w:rPr>
          <w:rFonts w:ascii="Segoe UI" w:hAnsi="Segoe UI" w:cs="Segoe UI"/>
          <w:b/>
          <w:color w:val="4472C4" w:themeColor="accent1"/>
          <w:sz w:val="36"/>
          <w:szCs w:val="36"/>
        </w:rPr>
        <w:t xml:space="preserve"> recovery</w:t>
      </w:r>
      <w:r w:rsidR="00673689">
        <w:rPr>
          <w:rFonts w:ascii="Segoe UI" w:hAnsi="Segoe UI" w:cs="Segoe UI"/>
          <w:b/>
          <w:color w:val="4472C4" w:themeColor="accent1"/>
          <w:sz w:val="36"/>
          <w:szCs w:val="36"/>
        </w:rPr>
        <w:t xml:space="preserve"> </w:t>
      </w:r>
      <w:r w:rsidR="005047C4">
        <w:rPr>
          <w:rFonts w:ascii="Segoe UI" w:hAnsi="Segoe UI" w:cs="Segoe UI"/>
          <w:b/>
          <w:color w:val="4472C4" w:themeColor="accent1"/>
          <w:sz w:val="36"/>
          <w:szCs w:val="36"/>
        </w:rPr>
        <w:t>p</w:t>
      </w:r>
      <w:r w:rsidR="00673689">
        <w:rPr>
          <w:rFonts w:ascii="Segoe UI" w:hAnsi="Segoe UI" w:cs="Segoe UI"/>
          <w:b/>
          <w:color w:val="4472C4" w:themeColor="accent1"/>
          <w:sz w:val="36"/>
          <w:szCs w:val="36"/>
        </w:rPr>
        <w:t>roposals</w:t>
      </w:r>
      <w:r w:rsidR="00CA67D7" w:rsidRPr="006A2310">
        <w:rPr>
          <w:rFonts w:ascii="Segoe UI" w:hAnsi="Segoe UI" w:cs="Segoe UI"/>
          <w:b/>
          <w:color w:val="4472C4" w:themeColor="accent1"/>
          <w:sz w:val="36"/>
          <w:szCs w:val="36"/>
        </w:rPr>
        <w:t xml:space="preserve"> </w:t>
      </w:r>
    </w:p>
    <w:p w14:paraId="1D3EAF3B" w14:textId="1A6DBE2F" w:rsidR="00E53DDB" w:rsidRDefault="001C5617">
      <w:pPr>
        <w:rPr>
          <w:sz w:val="24"/>
          <w:szCs w:val="24"/>
        </w:rPr>
      </w:pPr>
      <w:r>
        <w:rPr>
          <w:sz w:val="24"/>
          <w:szCs w:val="24"/>
        </w:rPr>
        <w:t xml:space="preserve">These proposals </w:t>
      </w:r>
      <w:r w:rsidR="006071AB">
        <w:rPr>
          <w:sz w:val="24"/>
          <w:szCs w:val="24"/>
        </w:rPr>
        <w:t xml:space="preserve">(Option 3 – see page 25) </w:t>
      </w:r>
      <w:r>
        <w:rPr>
          <w:sz w:val="24"/>
          <w:szCs w:val="24"/>
        </w:rPr>
        <w:t xml:space="preserve">will apply in addition to the CPI </w:t>
      </w:r>
      <w:r w:rsidR="003C4AB7">
        <w:rPr>
          <w:sz w:val="24"/>
          <w:szCs w:val="24"/>
        </w:rPr>
        <w:t>adjustment</w:t>
      </w:r>
      <w:r>
        <w:rPr>
          <w:sz w:val="24"/>
          <w:szCs w:val="24"/>
        </w:rPr>
        <w:t>, and only affect some fees as described below.</w:t>
      </w:r>
      <w:r w:rsidR="00D24462">
        <w:rPr>
          <w:sz w:val="24"/>
          <w:szCs w:val="24"/>
        </w:rPr>
        <w:t xml:space="preserve"> While cost recovery was analysed for all fees with a cost recovery component, not all fees are proposed to be affected.</w:t>
      </w:r>
    </w:p>
    <w:p w14:paraId="5D9DF5EF" w14:textId="617F7D3B" w:rsidR="0049235E" w:rsidRPr="004649B3" w:rsidRDefault="0049235E">
      <w:pPr>
        <w:rPr>
          <w:rFonts w:ascii="Segoe UI" w:hAnsi="Segoe UI" w:cs="Segoe UI"/>
          <w:b/>
          <w:color w:val="4472C4" w:themeColor="accent1"/>
          <w:sz w:val="28"/>
          <w:szCs w:val="28"/>
        </w:rPr>
      </w:pPr>
      <w:r w:rsidRPr="004649B3">
        <w:rPr>
          <w:rFonts w:ascii="Segoe UI" w:hAnsi="Segoe UI" w:cs="Segoe UI"/>
          <w:b/>
          <w:color w:val="4472C4" w:themeColor="accent1"/>
          <w:sz w:val="28"/>
          <w:szCs w:val="28"/>
        </w:rPr>
        <w:t>NCE base fee</w:t>
      </w:r>
    </w:p>
    <w:p w14:paraId="4BA92D82" w14:textId="1B0A3E51" w:rsidR="005047C4" w:rsidRDefault="0049235E">
      <w:pPr>
        <w:rPr>
          <w:sz w:val="24"/>
          <w:szCs w:val="24"/>
        </w:rPr>
      </w:pPr>
      <w:r>
        <w:rPr>
          <w:sz w:val="24"/>
          <w:szCs w:val="24"/>
        </w:rPr>
        <w:t>The current maximum for a New Chemical Entity in the Medicines Regulations 1984 is $</w:t>
      </w:r>
      <w:r w:rsidR="00DC316F">
        <w:rPr>
          <w:sz w:val="24"/>
          <w:szCs w:val="24"/>
        </w:rPr>
        <w:t>122,625 (GST inclusive), wh</w:t>
      </w:r>
      <w:r w:rsidR="004649B3">
        <w:rPr>
          <w:sz w:val="24"/>
          <w:szCs w:val="24"/>
        </w:rPr>
        <w:t>ereas</w:t>
      </w:r>
      <w:r w:rsidR="00DC316F">
        <w:rPr>
          <w:sz w:val="24"/>
          <w:szCs w:val="24"/>
        </w:rPr>
        <w:t xml:space="preserve"> </w:t>
      </w:r>
      <w:proofErr w:type="spellStart"/>
      <w:r w:rsidR="00DC316F">
        <w:rPr>
          <w:sz w:val="24"/>
          <w:szCs w:val="24"/>
        </w:rPr>
        <w:t>Medsafe</w:t>
      </w:r>
      <w:proofErr w:type="spellEnd"/>
      <w:r w:rsidR="00DC316F">
        <w:rPr>
          <w:sz w:val="24"/>
          <w:szCs w:val="24"/>
        </w:rPr>
        <w:t xml:space="preserve"> only charges $102,210. This fee was reviewed in terms of cost recovery and </w:t>
      </w:r>
      <w:r w:rsidR="001C5617">
        <w:rPr>
          <w:sz w:val="24"/>
          <w:szCs w:val="24"/>
        </w:rPr>
        <w:t xml:space="preserve">it </w:t>
      </w:r>
      <w:r w:rsidR="00DC316F">
        <w:rPr>
          <w:sz w:val="24"/>
          <w:szCs w:val="24"/>
        </w:rPr>
        <w:t xml:space="preserve">was determined that </w:t>
      </w:r>
      <w:r w:rsidR="00DC316F" w:rsidRPr="00ED306C">
        <w:rPr>
          <w:sz w:val="24"/>
          <w:szCs w:val="24"/>
        </w:rPr>
        <w:t xml:space="preserve">no change </w:t>
      </w:r>
      <w:r w:rsidR="00CB3B3A">
        <w:rPr>
          <w:sz w:val="24"/>
          <w:szCs w:val="24"/>
        </w:rPr>
        <w:t xml:space="preserve">(except for CPI) </w:t>
      </w:r>
      <w:r w:rsidR="00DC316F" w:rsidRPr="00ED306C">
        <w:rPr>
          <w:sz w:val="24"/>
          <w:szCs w:val="24"/>
        </w:rPr>
        <w:t>was justified</w:t>
      </w:r>
      <w:r w:rsidR="00DC316F">
        <w:rPr>
          <w:sz w:val="24"/>
          <w:szCs w:val="24"/>
        </w:rPr>
        <w:t xml:space="preserve">. </w:t>
      </w:r>
    </w:p>
    <w:p w14:paraId="72F43518" w14:textId="34C1BFB1" w:rsidR="0049235E" w:rsidRDefault="001C5617">
      <w:pPr>
        <w:rPr>
          <w:sz w:val="24"/>
          <w:szCs w:val="24"/>
        </w:rPr>
      </w:pPr>
      <w:r>
        <w:rPr>
          <w:sz w:val="24"/>
          <w:szCs w:val="24"/>
        </w:rPr>
        <w:t xml:space="preserve">The NCE fee is the benchmark fee, from which evaluation effort is compared. </w:t>
      </w:r>
      <w:r w:rsidR="001837B6">
        <w:rPr>
          <w:sz w:val="24"/>
          <w:szCs w:val="24"/>
        </w:rPr>
        <w:t xml:space="preserve">This means that there should be a logical pattern to the fees that makes </w:t>
      </w:r>
      <w:r w:rsidR="00CB3B3A">
        <w:rPr>
          <w:sz w:val="24"/>
          <w:szCs w:val="24"/>
        </w:rPr>
        <w:t>them</w:t>
      </w:r>
      <w:r w:rsidR="001837B6">
        <w:rPr>
          <w:sz w:val="24"/>
          <w:szCs w:val="24"/>
        </w:rPr>
        <w:t xml:space="preserve"> more transparent and is also a basis for any fee waivers. </w:t>
      </w:r>
      <w:r w:rsidR="00DC316F">
        <w:rPr>
          <w:sz w:val="24"/>
          <w:szCs w:val="24"/>
        </w:rPr>
        <w:t>Previously, ther</w:t>
      </w:r>
      <w:r w:rsidR="0059180B">
        <w:rPr>
          <w:sz w:val="24"/>
          <w:szCs w:val="24"/>
        </w:rPr>
        <w:t>e</w:t>
      </w:r>
      <w:r w:rsidR="00DC316F">
        <w:rPr>
          <w:sz w:val="24"/>
          <w:szCs w:val="24"/>
        </w:rPr>
        <w:t xml:space="preserve"> has been some inconsistencies with </w:t>
      </w:r>
      <w:r w:rsidR="0059180B">
        <w:rPr>
          <w:sz w:val="24"/>
          <w:szCs w:val="24"/>
        </w:rPr>
        <w:t>benchmarking, i.e.</w:t>
      </w:r>
      <w:r w:rsidR="00DC316F">
        <w:rPr>
          <w:sz w:val="24"/>
          <w:szCs w:val="24"/>
        </w:rPr>
        <w:t xml:space="preserve"> the intermediate risk </w:t>
      </w:r>
      <w:r w:rsidR="00622507">
        <w:rPr>
          <w:sz w:val="24"/>
          <w:szCs w:val="24"/>
        </w:rPr>
        <w:t xml:space="preserve">fee </w:t>
      </w:r>
      <w:r w:rsidR="00DC316F">
        <w:rPr>
          <w:sz w:val="24"/>
          <w:szCs w:val="24"/>
        </w:rPr>
        <w:t xml:space="preserve">has been benchmarked to the </w:t>
      </w:r>
      <w:r w:rsidR="00622507">
        <w:rPr>
          <w:sz w:val="24"/>
          <w:szCs w:val="24"/>
        </w:rPr>
        <w:t xml:space="preserve">other </w:t>
      </w:r>
      <w:proofErr w:type="gramStart"/>
      <w:r w:rsidR="00DC316F">
        <w:rPr>
          <w:sz w:val="24"/>
          <w:szCs w:val="24"/>
        </w:rPr>
        <w:t>high risk</w:t>
      </w:r>
      <w:proofErr w:type="gramEnd"/>
      <w:r w:rsidR="00DC316F">
        <w:rPr>
          <w:sz w:val="24"/>
          <w:szCs w:val="24"/>
        </w:rPr>
        <w:t xml:space="preserve"> </w:t>
      </w:r>
      <w:r w:rsidR="00622507">
        <w:rPr>
          <w:sz w:val="24"/>
          <w:szCs w:val="24"/>
        </w:rPr>
        <w:t xml:space="preserve">fee </w:t>
      </w:r>
      <w:r w:rsidR="00DC316F">
        <w:rPr>
          <w:sz w:val="24"/>
          <w:szCs w:val="24"/>
        </w:rPr>
        <w:t>rather than the NCE fee</w:t>
      </w:r>
      <w:r w:rsidR="00622507">
        <w:rPr>
          <w:sz w:val="24"/>
          <w:szCs w:val="24"/>
        </w:rPr>
        <w:t>.</w:t>
      </w:r>
      <w:r w:rsidR="003E3D40">
        <w:rPr>
          <w:sz w:val="24"/>
          <w:szCs w:val="24"/>
        </w:rPr>
        <w:t xml:space="preserve"> </w:t>
      </w:r>
      <w:r w:rsidR="00622507">
        <w:rPr>
          <w:sz w:val="24"/>
          <w:szCs w:val="24"/>
        </w:rPr>
        <w:t>T</w:t>
      </w:r>
      <w:r w:rsidR="0059180B">
        <w:rPr>
          <w:sz w:val="24"/>
          <w:szCs w:val="24"/>
        </w:rPr>
        <w:t>his has been clarified and adjusted to be more logical and consistent</w:t>
      </w:r>
      <w:r w:rsidR="00DC316F">
        <w:rPr>
          <w:sz w:val="24"/>
          <w:szCs w:val="24"/>
        </w:rPr>
        <w:t xml:space="preserve">. </w:t>
      </w:r>
    </w:p>
    <w:p w14:paraId="5E493163" w14:textId="1E3B2100" w:rsidR="00897363" w:rsidRPr="001C5617" w:rsidRDefault="00897363" w:rsidP="00897363">
      <w:pPr>
        <w:rPr>
          <w:rFonts w:ascii="Segoe UI" w:hAnsi="Segoe UI" w:cs="Segoe UI"/>
          <w:b/>
          <w:color w:val="4472C4" w:themeColor="accent1"/>
          <w:sz w:val="28"/>
          <w:szCs w:val="28"/>
        </w:rPr>
      </w:pPr>
      <w:r w:rsidRPr="001C5617">
        <w:rPr>
          <w:rFonts w:ascii="Segoe UI" w:hAnsi="Segoe UI" w:cs="Segoe UI"/>
          <w:b/>
          <w:color w:val="4472C4" w:themeColor="accent1"/>
          <w:sz w:val="28"/>
          <w:szCs w:val="28"/>
        </w:rPr>
        <w:t>Increased fee for “other high risk” full and abbreviated NMAs</w:t>
      </w:r>
      <w:r w:rsidR="00B8051E" w:rsidRPr="001C5617">
        <w:rPr>
          <w:rFonts w:ascii="Segoe UI" w:hAnsi="Segoe UI" w:cs="Segoe UI"/>
          <w:b/>
          <w:color w:val="4472C4" w:themeColor="accent1"/>
          <w:sz w:val="28"/>
          <w:szCs w:val="28"/>
        </w:rPr>
        <w:t>, and biosimilars</w:t>
      </w:r>
    </w:p>
    <w:p w14:paraId="4F1174D2" w14:textId="77777777" w:rsidR="004649B3" w:rsidRPr="000A3F43" w:rsidRDefault="004649B3" w:rsidP="004649B3">
      <w:pPr>
        <w:rPr>
          <w:b/>
          <w:color w:val="4472C4" w:themeColor="accent1"/>
          <w:sz w:val="24"/>
          <w:szCs w:val="24"/>
        </w:rPr>
      </w:pPr>
      <w:r w:rsidRPr="000A3F43">
        <w:rPr>
          <w:b/>
          <w:color w:val="4472C4" w:themeColor="accent1"/>
          <w:sz w:val="24"/>
          <w:szCs w:val="24"/>
        </w:rPr>
        <w:t>Other high risk NMA</w:t>
      </w:r>
    </w:p>
    <w:p w14:paraId="55F81465" w14:textId="1219FCE1" w:rsidR="00B8051E" w:rsidRDefault="001C5617" w:rsidP="004649B3">
      <w:pPr>
        <w:rPr>
          <w:sz w:val="24"/>
          <w:szCs w:val="24"/>
        </w:rPr>
      </w:pPr>
      <w:r>
        <w:rPr>
          <w:sz w:val="24"/>
          <w:szCs w:val="24"/>
        </w:rPr>
        <w:t>“</w:t>
      </w:r>
      <w:r w:rsidR="00897363" w:rsidRPr="00B8051E">
        <w:rPr>
          <w:sz w:val="24"/>
          <w:szCs w:val="24"/>
        </w:rPr>
        <w:t>Other high risk</w:t>
      </w:r>
      <w:r>
        <w:rPr>
          <w:sz w:val="24"/>
          <w:szCs w:val="24"/>
        </w:rPr>
        <w:t>”</w:t>
      </w:r>
      <w:r w:rsidR="00897363" w:rsidRPr="00B8051E">
        <w:rPr>
          <w:sz w:val="24"/>
          <w:szCs w:val="24"/>
        </w:rPr>
        <w:t xml:space="preserve"> NMAs cover medicines that are considered high risk but do not contain a new active ingredient. </w:t>
      </w:r>
    </w:p>
    <w:p w14:paraId="16FDEB50" w14:textId="154A59A4" w:rsidR="00FD5811" w:rsidRDefault="00E921BA" w:rsidP="00897363">
      <w:pPr>
        <w:rPr>
          <w:sz w:val="24"/>
          <w:szCs w:val="24"/>
        </w:rPr>
      </w:pPr>
      <w:r>
        <w:rPr>
          <w:sz w:val="24"/>
          <w:szCs w:val="24"/>
        </w:rPr>
        <w:t>In</w:t>
      </w:r>
      <w:r w:rsidR="00B8051E">
        <w:rPr>
          <w:sz w:val="24"/>
          <w:szCs w:val="24"/>
        </w:rPr>
        <w:t xml:space="preserve"> the 2017 fees review, the </w:t>
      </w:r>
      <w:r w:rsidR="00684088">
        <w:rPr>
          <w:sz w:val="24"/>
          <w:szCs w:val="24"/>
        </w:rPr>
        <w:t xml:space="preserve">other </w:t>
      </w:r>
      <w:r w:rsidR="00B8051E">
        <w:rPr>
          <w:sz w:val="24"/>
          <w:szCs w:val="24"/>
        </w:rPr>
        <w:t xml:space="preserve">high </w:t>
      </w:r>
      <w:r w:rsidR="00684088">
        <w:rPr>
          <w:sz w:val="24"/>
          <w:szCs w:val="24"/>
        </w:rPr>
        <w:t>risk</w:t>
      </w:r>
      <w:r w:rsidR="00B8051E">
        <w:rPr>
          <w:sz w:val="24"/>
          <w:szCs w:val="24"/>
        </w:rPr>
        <w:t xml:space="preserve"> </w:t>
      </w:r>
      <w:r w:rsidR="00AA2A03">
        <w:rPr>
          <w:sz w:val="24"/>
          <w:szCs w:val="24"/>
        </w:rPr>
        <w:t>NMA fee</w:t>
      </w:r>
      <w:r w:rsidR="00B8051E">
        <w:rPr>
          <w:sz w:val="24"/>
          <w:szCs w:val="24"/>
        </w:rPr>
        <w:t xml:space="preserve"> was not changed. This meant that</w:t>
      </w:r>
      <w:r w:rsidR="005401DD">
        <w:rPr>
          <w:sz w:val="24"/>
          <w:szCs w:val="24"/>
        </w:rPr>
        <w:t xml:space="preserve"> a misalignment </w:t>
      </w:r>
      <w:r w:rsidR="00AA2A03">
        <w:rPr>
          <w:sz w:val="24"/>
          <w:szCs w:val="24"/>
        </w:rPr>
        <w:t xml:space="preserve">was created </w:t>
      </w:r>
      <w:r w:rsidR="005401DD">
        <w:rPr>
          <w:sz w:val="24"/>
          <w:szCs w:val="24"/>
        </w:rPr>
        <w:t xml:space="preserve">in </w:t>
      </w:r>
      <w:r w:rsidR="00B8051E">
        <w:rPr>
          <w:sz w:val="24"/>
          <w:szCs w:val="24"/>
        </w:rPr>
        <w:t xml:space="preserve">the </w:t>
      </w:r>
      <w:r>
        <w:rPr>
          <w:sz w:val="24"/>
          <w:szCs w:val="24"/>
        </w:rPr>
        <w:t>structure of the fees</w:t>
      </w:r>
      <w:r w:rsidR="00FD5811">
        <w:rPr>
          <w:sz w:val="24"/>
          <w:szCs w:val="24"/>
        </w:rPr>
        <w:t xml:space="preserve">, where the </w:t>
      </w:r>
      <w:r w:rsidR="00684088">
        <w:rPr>
          <w:sz w:val="24"/>
          <w:szCs w:val="24"/>
        </w:rPr>
        <w:t xml:space="preserve">other </w:t>
      </w:r>
      <w:r w:rsidR="00FD5811">
        <w:rPr>
          <w:sz w:val="24"/>
          <w:szCs w:val="24"/>
        </w:rPr>
        <w:t xml:space="preserve">high risk </w:t>
      </w:r>
      <w:r w:rsidR="00A21068">
        <w:rPr>
          <w:sz w:val="24"/>
          <w:szCs w:val="24"/>
        </w:rPr>
        <w:t xml:space="preserve">NMA </w:t>
      </w:r>
      <w:r w:rsidR="00FD5811">
        <w:rPr>
          <w:sz w:val="24"/>
          <w:szCs w:val="24"/>
        </w:rPr>
        <w:t xml:space="preserve">fee is the same as the intermediate risk </w:t>
      </w:r>
      <w:r w:rsidR="00A21068">
        <w:rPr>
          <w:sz w:val="24"/>
          <w:szCs w:val="24"/>
        </w:rPr>
        <w:t xml:space="preserve">NMA </w:t>
      </w:r>
      <w:r w:rsidR="00FD5811">
        <w:rPr>
          <w:sz w:val="24"/>
          <w:szCs w:val="24"/>
        </w:rPr>
        <w:t xml:space="preserve">fee (and this flows through to their respective abbreviated applications). In terms of risk and evaluation effort, </w:t>
      </w:r>
      <w:r w:rsidR="00684088">
        <w:rPr>
          <w:sz w:val="24"/>
          <w:szCs w:val="24"/>
        </w:rPr>
        <w:t xml:space="preserve">the other </w:t>
      </w:r>
      <w:r w:rsidR="00FD5811">
        <w:rPr>
          <w:sz w:val="24"/>
          <w:szCs w:val="24"/>
        </w:rPr>
        <w:t xml:space="preserve">high risk </w:t>
      </w:r>
      <w:r w:rsidR="00A21068">
        <w:rPr>
          <w:sz w:val="24"/>
          <w:szCs w:val="24"/>
        </w:rPr>
        <w:t xml:space="preserve">NMA </w:t>
      </w:r>
      <w:r w:rsidR="00FD5811">
        <w:rPr>
          <w:sz w:val="24"/>
          <w:szCs w:val="24"/>
        </w:rPr>
        <w:t>require more effort than intermediate risk medicine</w:t>
      </w:r>
      <w:r w:rsidR="00A21068">
        <w:rPr>
          <w:sz w:val="24"/>
          <w:szCs w:val="24"/>
        </w:rPr>
        <w:t xml:space="preserve"> NMA</w:t>
      </w:r>
      <w:r w:rsidR="00A067CA">
        <w:rPr>
          <w:sz w:val="24"/>
          <w:szCs w:val="24"/>
        </w:rPr>
        <w:t xml:space="preserve">, but less than </w:t>
      </w:r>
      <w:proofErr w:type="gramStart"/>
      <w:r w:rsidR="00A067CA">
        <w:rPr>
          <w:sz w:val="24"/>
          <w:szCs w:val="24"/>
        </w:rPr>
        <w:t>a</w:t>
      </w:r>
      <w:proofErr w:type="gramEnd"/>
      <w:r w:rsidR="00A067CA">
        <w:rPr>
          <w:sz w:val="24"/>
          <w:szCs w:val="24"/>
        </w:rPr>
        <w:t xml:space="preserve"> NCE</w:t>
      </w:r>
      <w:r w:rsidR="00A21068">
        <w:rPr>
          <w:sz w:val="24"/>
          <w:szCs w:val="24"/>
        </w:rPr>
        <w:t xml:space="preserve"> NMA</w:t>
      </w:r>
      <w:r w:rsidR="00AA2A03">
        <w:rPr>
          <w:sz w:val="24"/>
          <w:szCs w:val="24"/>
        </w:rPr>
        <w:t>, as the active ingredient is known but otherwise has the same other components as an NCE</w:t>
      </w:r>
      <w:r w:rsidR="00A067CA">
        <w:rPr>
          <w:sz w:val="24"/>
          <w:szCs w:val="24"/>
        </w:rPr>
        <w:t xml:space="preserve">. </w:t>
      </w:r>
      <w:r w:rsidR="007C146E">
        <w:rPr>
          <w:sz w:val="24"/>
          <w:szCs w:val="24"/>
        </w:rPr>
        <w:t xml:space="preserve">The other high risk evaluation can include significant evaluation effort in terms of clinical information, but has less in terms of the safety and characterisation of the active ingredient and equates more to 75% of the NCE work, rather than </w:t>
      </w:r>
      <w:r w:rsidR="00BE280C">
        <w:rPr>
          <w:sz w:val="24"/>
          <w:szCs w:val="24"/>
        </w:rPr>
        <w:t>the current fee set at</w:t>
      </w:r>
      <w:r w:rsidR="007C146E">
        <w:rPr>
          <w:sz w:val="24"/>
          <w:szCs w:val="24"/>
        </w:rPr>
        <w:t xml:space="preserve"> 50% of the effort.</w:t>
      </w:r>
    </w:p>
    <w:p w14:paraId="501CAF31" w14:textId="77777777" w:rsidR="00B8051E" w:rsidRPr="000A3F43" w:rsidRDefault="00B8051E" w:rsidP="00897363">
      <w:pPr>
        <w:rPr>
          <w:b/>
          <w:color w:val="4472C4" w:themeColor="accent1"/>
          <w:sz w:val="24"/>
          <w:szCs w:val="24"/>
        </w:rPr>
      </w:pPr>
      <w:r w:rsidRPr="000A3F43">
        <w:rPr>
          <w:b/>
          <w:color w:val="4472C4" w:themeColor="accent1"/>
          <w:sz w:val="24"/>
          <w:szCs w:val="24"/>
        </w:rPr>
        <w:t>Biosimilars</w:t>
      </w:r>
    </w:p>
    <w:p w14:paraId="149F2315" w14:textId="33EF1F63" w:rsidR="00B8051E" w:rsidRDefault="007C146E" w:rsidP="00897363">
      <w:pPr>
        <w:rPr>
          <w:sz w:val="24"/>
          <w:szCs w:val="24"/>
        </w:rPr>
      </w:pPr>
      <w:r>
        <w:rPr>
          <w:sz w:val="24"/>
          <w:szCs w:val="24"/>
        </w:rPr>
        <w:t>In</w:t>
      </w:r>
      <w:r w:rsidRPr="00B8051E">
        <w:rPr>
          <w:sz w:val="24"/>
          <w:szCs w:val="24"/>
        </w:rPr>
        <w:t xml:space="preserve"> the current schedule of fees, the fee for these </w:t>
      </w:r>
      <w:r>
        <w:rPr>
          <w:sz w:val="24"/>
          <w:szCs w:val="24"/>
        </w:rPr>
        <w:t xml:space="preserve">types of </w:t>
      </w:r>
      <w:r w:rsidRPr="00B8051E">
        <w:rPr>
          <w:sz w:val="24"/>
          <w:szCs w:val="24"/>
        </w:rPr>
        <w:t xml:space="preserve">NMAs is the same as for an intermediate risk NMA, i.e. for a non-biological generic medicine. When comparing a basic example of an intermediate risk NMA, an injectable generic with no bioequivalence component, with a biosimilar it becomes clear that the amount of work required for the assessment of each is significantly different and that the </w:t>
      </w:r>
      <w:r>
        <w:rPr>
          <w:sz w:val="24"/>
          <w:szCs w:val="24"/>
        </w:rPr>
        <w:t>effort for a biosimilar</w:t>
      </w:r>
      <w:r w:rsidRPr="00B8051E">
        <w:rPr>
          <w:sz w:val="24"/>
          <w:szCs w:val="24"/>
        </w:rPr>
        <w:t xml:space="preserve"> NMA </w:t>
      </w:r>
      <w:r>
        <w:rPr>
          <w:sz w:val="24"/>
          <w:szCs w:val="24"/>
        </w:rPr>
        <w:t>would be significantly</w:t>
      </w:r>
      <w:r w:rsidRPr="00B8051E">
        <w:rPr>
          <w:sz w:val="24"/>
          <w:szCs w:val="24"/>
        </w:rPr>
        <w:t xml:space="preserve"> under-recovered. </w:t>
      </w:r>
      <w:r w:rsidR="00897363" w:rsidRPr="00B8051E">
        <w:rPr>
          <w:sz w:val="24"/>
          <w:szCs w:val="24"/>
        </w:rPr>
        <w:t xml:space="preserve">Evaluations of these applications include a substantial amount of work regarding the drug substance (being a biological medicine and not covered </w:t>
      </w:r>
      <w:r w:rsidR="00897363" w:rsidRPr="00B8051E">
        <w:rPr>
          <w:sz w:val="24"/>
          <w:szCs w:val="24"/>
        </w:rPr>
        <w:lastRenderedPageBreak/>
        <w:t xml:space="preserve">by a DMF or CEP) as well as a clinical component. </w:t>
      </w:r>
      <w:r>
        <w:rPr>
          <w:sz w:val="24"/>
          <w:szCs w:val="24"/>
        </w:rPr>
        <w:t xml:space="preserve">This is comparable to </w:t>
      </w:r>
      <w:proofErr w:type="spellStart"/>
      <w:proofErr w:type="gramStart"/>
      <w:r>
        <w:rPr>
          <w:sz w:val="24"/>
          <w:szCs w:val="24"/>
        </w:rPr>
        <w:t>an other</w:t>
      </w:r>
      <w:proofErr w:type="spellEnd"/>
      <w:proofErr w:type="gramEnd"/>
      <w:r>
        <w:rPr>
          <w:sz w:val="24"/>
          <w:szCs w:val="24"/>
        </w:rPr>
        <w:t xml:space="preserve"> high risk NMA</w:t>
      </w:r>
      <w:r w:rsidR="00193AE5">
        <w:rPr>
          <w:sz w:val="24"/>
          <w:szCs w:val="24"/>
        </w:rPr>
        <w:t>, which is proposed to be 75% of a NCE fee</w:t>
      </w:r>
      <w:r>
        <w:rPr>
          <w:sz w:val="24"/>
          <w:szCs w:val="24"/>
        </w:rPr>
        <w:t>.</w:t>
      </w:r>
    </w:p>
    <w:p w14:paraId="531FA204" w14:textId="77777777" w:rsidR="004649B3" w:rsidRDefault="004649B3" w:rsidP="00897363">
      <w:pPr>
        <w:rPr>
          <w:sz w:val="24"/>
          <w:szCs w:val="24"/>
        </w:rPr>
      </w:pPr>
    </w:p>
    <w:p w14:paraId="7E5D7AFF" w14:textId="77777777" w:rsidR="007C146E" w:rsidRDefault="007C146E" w:rsidP="007C146E">
      <w:pPr>
        <w:rPr>
          <w:sz w:val="24"/>
          <w:szCs w:val="24"/>
        </w:rPr>
      </w:pPr>
      <w:r w:rsidRPr="00B8051E">
        <w:rPr>
          <w:b/>
          <w:color w:val="4472C4" w:themeColor="accent1"/>
          <w:sz w:val="24"/>
          <w:szCs w:val="24"/>
        </w:rPr>
        <w:t>Proposal</w:t>
      </w:r>
    </w:p>
    <w:p w14:paraId="634486AA" w14:textId="40F6CAD5" w:rsidR="007C146E" w:rsidRDefault="00CB3B3A" w:rsidP="007C146E">
      <w:pPr>
        <w:rPr>
          <w:sz w:val="24"/>
          <w:szCs w:val="24"/>
        </w:rPr>
      </w:pPr>
      <w:r>
        <w:rPr>
          <w:sz w:val="24"/>
          <w:szCs w:val="24"/>
        </w:rPr>
        <w:t xml:space="preserve">There is an opportunity to improve transparency in fees setting. </w:t>
      </w:r>
      <w:r w:rsidR="007C146E">
        <w:rPr>
          <w:sz w:val="24"/>
          <w:szCs w:val="24"/>
        </w:rPr>
        <w:t>I</w:t>
      </w:r>
      <w:r w:rsidR="007C146E" w:rsidRPr="00B8051E">
        <w:rPr>
          <w:sz w:val="24"/>
          <w:szCs w:val="24"/>
        </w:rPr>
        <w:t xml:space="preserve">t is </w:t>
      </w:r>
      <w:r w:rsidR="007C146E">
        <w:rPr>
          <w:sz w:val="24"/>
          <w:szCs w:val="24"/>
        </w:rPr>
        <w:t>propos</w:t>
      </w:r>
      <w:r w:rsidR="007C146E" w:rsidRPr="00B8051E">
        <w:rPr>
          <w:sz w:val="24"/>
          <w:szCs w:val="24"/>
        </w:rPr>
        <w:t xml:space="preserve">ed that the fee for other high risk NMAs </w:t>
      </w:r>
      <w:r w:rsidR="007C146E">
        <w:rPr>
          <w:sz w:val="24"/>
          <w:szCs w:val="24"/>
        </w:rPr>
        <w:t>is</w:t>
      </w:r>
      <w:r w:rsidR="007C146E" w:rsidRPr="00B8051E">
        <w:rPr>
          <w:sz w:val="24"/>
          <w:szCs w:val="24"/>
        </w:rPr>
        <w:t xml:space="preserve"> increased to </w:t>
      </w:r>
      <w:r w:rsidR="007C146E">
        <w:rPr>
          <w:sz w:val="24"/>
          <w:szCs w:val="24"/>
        </w:rPr>
        <w:t xml:space="preserve">75% of </w:t>
      </w:r>
      <w:proofErr w:type="gramStart"/>
      <w:r w:rsidR="007C146E">
        <w:rPr>
          <w:sz w:val="24"/>
          <w:szCs w:val="24"/>
        </w:rPr>
        <w:t>a</w:t>
      </w:r>
      <w:proofErr w:type="gramEnd"/>
      <w:r w:rsidR="007C146E">
        <w:rPr>
          <w:sz w:val="24"/>
          <w:szCs w:val="24"/>
        </w:rPr>
        <w:t xml:space="preserve"> NCE application as this better reflects the work effort (</w:t>
      </w:r>
      <w:proofErr w:type="spellStart"/>
      <w:r w:rsidR="007C146E">
        <w:rPr>
          <w:sz w:val="24"/>
          <w:szCs w:val="24"/>
        </w:rPr>
        <w:t>ie</w:t>
      </w:r>
      <w:proofErr w:type="spellEnd"/>
      <w:r w:rsidR="007C146E">
        <w:rPr>
          <w:sz w:val="24"/>
          <w:szCs w:val="24"/>
        </w:rPr>
        <w:t xml:space="preserve"> the effort is </w:t>
      </w:r>
      <w:r w:rsidR="007C146E" w:rsidRPr="00B8051E">
        <w:rPr>
          <w:sz w:val="24"/>
          <w:szCs w:val="24"/>
        </w:rPr>
        <w:t xml:space="preserve">between an intermediate risk and </w:t>
      </w:r>
      <w:r w:rsidR="007C146E">
        <w:rPr>
          <w:sz w:val="24"/>
          <w:szCs w:val="24"/>
        </w:rPr>
        <w:t xml:space="preserve">a </w:t>
      </w:r>
      <w:r w:rsidR="007C146E" w:rsidRPr="00B8051E">
        <w:rPr>
          <w:sz w:val="24"/>
          <w:szCs w:val="24"/>
        </w:rPr>
        <w:t>NCE/NBE NMA</w:t>
      </w:r>
      <w:r w:rsidR="007C146E">
        <w:rPr>
          <w:sz w:val="24"/>
          <w:szCs w:val="24"/>
        </w:rPr>
        <w:t>). It also enables a logical alignment of the other fees in a clear</w:t>
      </w:r>
      <w:r w:rsidR="001837B6">
        <w:rPr>
          <w:sz w:val="24"/>
          <w:szCs w:val="24"/>
        </w:rPr>
        <w:t>, almost modular</w:t>
      </w:r>
      <w:r w:rsidR="007C146E">
        <w:rPr>
          <w:sz w:val="24"/>
          <w:szCs w:val="24"/>
        </w:rPr>
        <w:t xml:space="preserve"> structure. </w:t>
      </w:r>
    </w:p>
    <w:p w14:paraId="56EF15AD" w14:textId="77777777" w:rsidR="007C146E" w:rsidRDefault="007C146E" w:rsidP="007C146E">
      <w:pPr>
        <w:rPr>
          <w:sz w:val="24"/>
          <w:szCs w:val="24"/>
        </w:rPr>
      </w:pPr>
      <w:r>
        <w:rPr>
          <w:sz w:val="24"/>
          <w:szCs w:val="24"/>
        </w:rPr>
        <w:t xml:space="preserve">Biosimilars are closer in work effort to a high risk NMA than their current position as an Intermediate risk and so therefore are proposed to be considered as </w:t>
      </w:r>
      <w:proofErr w:type="spellStart"/>
      <w:proofErr w:type="gramStart"/>
      <w:r>
        <w:rPr>
          <w:sz w:val="24"/>
          <w:szCs w:val="24"/>
        </w:rPr>
        <w:t>an other</w:t>
      </w:r>
      <w:proofErr w:type="spellEnd"/>
      <w:proofErr w:type="gramEnd"/>
      <w:r>
        <w:rPr>
          <w:sz w:val="24"/>
          <w:szCs w:val="24"/>
        </w:rPr>
        <w:t xml:space="preserve"> high risk NMA.</w:t>
      </w:r>
    </w:p>
    <w:p w14:paraId="2B889DB4" w14:textId="4267F6FB" w:rsidR="007C146E" w:rsidRPr="00B8051E" w:rsidRDefault="007C146E" w:rsidP="007C146E">
      <w:pPr>
        <w:rPr>
          <w:sz w:val="24"/>
          <w:szCs w:val="24"/>
        </w:rPr>
      </w:pPr>
      <w:r>
        <w:rPr>
          <w:sz w:val="24"/>
          <w:szCs w:val="24"/>
        </w:rPr>
        <w:t>This proposal will require an amendment of Regulation 61 of the Medicines Regulations 1984</w:t>
      </w:r>
      <w:r w:rsidR="00E95794">
        <w:rPr>
          <w:sz w:val="24"/>
          <w:szCs w:val="24"/>
        </w:rPr>
        <w:t xml:space="preserve"> to raise the NMA fee</w:t>
      </w:r>
      <w:r>
        <w:rPr>
          <w:sz w:val="24"/>
          <w:szCs w:val="24"/>
        </w:rPr>
        <w:t>.</w:t>
      </w:r>
    </w:p>
    <w:p w14:paraId="0E1B870B" w14:textId="51185DF4" w:rsidR="00B8051E" w:rsidRDefault="00B8051E" w:rsidP="00897363">
      <w:pPr>
        <w:rPr>
          <w:sz w:val="24"/>
          <w:szCs w:val="24"/>
        </w:rPr>
      </w:pPr>
    </w:p>
    <w:p w14:paraId="30D4B079" w14:textId="124B89FA" w:rsidR="00897363" w:rsidRPr="00EF0CF5" w:rsidRDefault="00022005" w:rsidP="00897363">
      <w:pPr>
        <w:rPr>
          <w:rFonts w:ascii="Segoe UI" w:hAnsi="Segoe UI" w:cs="Segoe UI"/>
          <w:b/>
          <w:color w:val="4472C4" w:themeColor="accent1"/>
          <w:sz w:val="32"/>
          <w:szCs w:val="32"/>
        </w:rPr>
      </w:pPr>
      <w:r>
        <w:rPr>
          <w:rFonts w:ascii="Segoe UI" w:hAnsi="Segoe UI" w:cs="Segoe UI"/>
          <w:b/>
          <w:color w:val="4472C4" w:themeColor="accent1"/>
          <w:sz w:val="32"/>
          <w:szCs w:val="32"/>
        </w:rPr>
        <w:t>New combination products and new dosage forms</w:t>
      </w:r>
    </w:p>
    <w:p w14:paraId="00550E35" w14:textId="77777777" w:rsidR="000A3F43" w:rsidRPr="004649B3" w:rsidRDefault="000A3F43" w:rsidP="000A3F43">
      <w:pPr>
        <w:rPr>
          <w:b/>
          <w:bCs/>
          <w:color w:val="4472C4" w:themeColor="accent1"/>
          <w:sz w:val="28"/>
          <w:szCs w:val="28"/>
        </w:rPr>
      </w:pPr>
      <w:r w:rsidRPr="004649B3">
        <w:rPr>
          <w:b/>
          <w:bCs/>
          <w:color w:val="4472C4" w:themeColor="accent1"/>
          <w:sz w:val="28"/>
          <w:szCs w:val="28"/>
        </w:rPr>
        <w:t>New combination products</w:t>
      </w:r>
    </w:p>
    <w:p w14:paraId="5A0EB449" w14:textId="71A276F8" w:rsidR="000A3F43" w:rsidRPr="000A3F43" w:rsidRDefault="000A3F43" w:rsidP="000A3F43">
      <w:pPr>
        <w:rPr>
          <w:sz w:val="24"/>
          <w:szCs w:val="24"/>
        </w:rPr>
      </w:pPr>
      <w:r w:rsidRPr="000A3F43">
        <w:rPr>
          <w:sz w:val="24"/>
          <w:szCs w:val="24"/>
        </w:rPr>
        <w:t xml:space="preserve">New combination products usually are a novel combination of known </w:t>
      </w:r>
      <w:r w:rsidR="004649B3">
        <w:rPr>
          <w:sz w:val="24"/>
          <w:szCs w:val="24"/>
        </w:rPr>
        <w:t>active ingredients</w:t>
      </w:r>
      <w:r w:rsidRPr="000A3F43">
        <w:rPr>
          <w:sz w:val="24"/>
          <w:szCs w:val="24"/>
        </w:rPr>
        <w:t xml:space="preserve">, so much of the characterisation of the product has been done previously. However, the unique combination requires clinical evaluation and finished product manufacturing scrutiny. It was determined that the evaluation effort was lower than </w:t>
      </w:r>
      <w:proofErr w:type="spellStart"/>
      <w:proofErr w:type="gramStart"/>
      <w:r w:rsidRPr="000A3F43">
        <w:rPr>
          <w:sz w:val="24"/>
          <w:szCs w:val="24"/>
        </w:rPr>
        <w:t>an other</w:t>
      </w:r>
      <w:proofErr w:type="spellEnd"/>
      <w:proofErr w:type="gramEnd"/>
      <w:r w:rsidRPr="000A3F43">
        <w:rPr>
          <w:sz w:val="24"/>
          <w:szCs w:val="24"/>
        </w:rPr>
        <w:t xml:space="preserve"> high risk, but higher than an </w:t>
      </w:r>
      <w:r w:rsidR="004649B3">
        <w:rPr>
          <w:sz w:val="24"/>
          <w:szCs w:val="24"/>
        </w:rPr>
        <w:t>i</w:t>
      </w:r>
      <w:r w:rsidRPr="000A3F43">
        <w:rPr>
          <w:sz w:val="24"/>
          <w:szCs w:val="24"/>
        </w:rPr>
        <w:t>ntermediate risk, mainly due to the clinical component.</w:t>
      </w:r>
    </w:p>
    <w:p w14:paraId="4B231B1A" w14:textId="77777777" w:rsidR="000A3F43" w:rsidRPr="004649B3" w:rsidRDefault="000A3F43" w:rsidP="000A3F43">
      <w:pPr>
        <w:rPr>
          <w:b/>
          <w:bCs/>
          <w:color w:val="4472C4" w:themeColor="accent1"/>
          <w:sz w:val="28"/>
          <w:szCs w:val="28"/>
        </w:rPr>
      </w:pPr>
      <w:r w:rsidRPr="004649B3">
        <w:rPr>
          <w:b/>
          <w:bCs/>
          <w:color w:val="4472C4" w:themeColor="accent1"/>
          <w:sz w:val="28"/>
          <w:szCs w:val="28"/>
        </w:rPr>
        <w:t>New dose form</w:t>
      </w:r>
    </w:p>
    <w:p w14:paraId="1CD3A152" w14:textId="1F9F5D8D" w:rsidR="000A3F43" w:rsidRDefault="000A3F43" w:rsidP="000A3F43">
      <w:pPr>
        <w:rPr>
          <w:sz w:val="24"/>
          <w:szCs w:val="24"/>
        </w:rPr>
      </w:pPr>
      <w:r w:rsidRPr="000A3F43">
        <w:rPr>
          <w:sz w:val="24"/>
          <w:szCs w:val="24"/>
        </w:rPr>
        <w:t xml:space="preserve">New dose forms are additional to a parent product, where can require clinical evaluation but this is usually less comprehensive. Focus is usually on finished product manufacturing rather than </w:t>
      </w:r>
      <w:r w:rsidR="004649B3">
        <w:rPr>
          <w:sz w:val="24"/>
          <w:szCs w:val="24"/>
        </w:rPr>
        <w:t>active ingredients</w:t>
      </w:r>
      <w:r w:rsidRPr="000A3F43">
        <w:rPr>
          <w:sz w:val="24"/>
          <w:szCs w:val="24"/>
        </w:rPr>
        <w:t xml:space="preserve"> and commonly requires additional evaluation of a delivery device such as an inhaler, nasal spray or modified release form. Bioequivalence can be relevant. Therefore</w:t>
      </w:r>
      <w:r w:rsidR="004649B3">
        <w:rPr>
          <w:sz w:val="24"/>
          <w:szCs w:val="24"/>
        </w:rPr>
        <w:t>,</w:t>
      </w:r>
      <w:r w:rsidRPr="000A3F43">
        <w:rPr>
          <w:sz w:val="24"/>
          <w:szCs w:val="24"/>
        </w:rPr>
        <w:t xml:space="preserve"> the effort is equivalent to that for an intermediate risk product.</w:t>
      </w:r>
    </w:p>
    <w:p w14:paraId="37D5C430" w14:textId="002A4DC8" w:rsidR="004649B3" w:rsidRPr="000A3F43" w:rsidRDefault="004649B3" w:rsidP="000A3F43">
      <w:pPr>
        <w:rPr>
          <w:sz w:val="24"/>
          <w:szCs w:val="24"/>
        </w:rPr>
      </w:pPr>
      <w:r>
        <w:rPr>
          <w:sz w:val="24"/>
          <w:szCs w:val="24"/>
        </w:rPr>
        <w:t>To simpl</w:t>
      </w:r>
      <w:r w:rsidR="00193AE5">
        <w:rPr>
          <w:sz w:val="24"/>
          <w:szCs w:val="24"/>
        </w:rPr>
        <w:t>if</w:t>
      </w:r>
      <w:r>
        <w:rPr>
          <w:sz w:val="24"/>
          <w:szCs w:val="24"/>
        </w:rPr>
        <w:t xml:space="preserve">y the fees for new dose forms, it is proposed to merge Grades 1 and 2 into the same category. </w:t>
      </w:r>
    </w:p>
    <w:p w14:paraId="7DE07757" w14:textId="77777777" w:rsidR="000A3F43" w:rsidRPr="000A3F43" w:rsidRDefault="000A3F43" w:rsidP="000A3F43">
      <w:pPr>
        <w:rPr>
          <w:sz w:val="24"/>
          <w:szCs w:val="24"/>
        </w:rPr>
      </w:pPr>
      <w:r w:rsidRPr="000A3F43">
        <w:rPr>
          <w:sz w:val="24"/>
          <w:szCs w:val="24"/>
        </w:rPr>
        <w:t xml:space="preserve">Abbreviated applications can be accepted for new dose forms </w:t>
      </w:r>
      <w:proofErr w:type="gramStart"/>
      <w:r w:rsidRPr="000A3F43">
        <w:rPr>
          <w:sz w:val="24"/>
          <w:szCs w:val="24"/>
        </w:rPr>
        <w:t>as long as</w:t>
      </w:r>
      <w:proofErr w:type="gramEnd"/>
      <w:r w:rsidRPr="000A3F43">
        <w:rPr>
          <w:sz w:val="24"/>
          <w:szCs w:val="24"/>
        </w:rPr>
        <w:t xml:space="preserve"> the usual requirements are met that the parent product is identical to that approved in New Zealand.</w:t>
      </w:r>
    </w:p>
    <w:p w14:paraId="5D436680" w14:textId="77777777" w:rsidR="00EF3E08" w:rsidRPr="004649B3" w:rsidRDefault="00EF3E08" w:rsidP="00EF3E08">
      <w:pPr>
        <w:rPr>
          <w:b/>
          <w:color w:val="4472C4" w:themeColor="accent1"/>
          <w:sz w:val="28"/>
          <w:szCs w:val="28"/>
        </w:rPr>
      </w:pPr>
      <w:r w:rsidRPr="004649B3">
        <w:rPr>
          <w:b/>
          <w:color w:val="4472C4" w:themeColor="accent1"/>
          <w:sz w:val="28"/>
          <w:szCs w:val="28"/>
        </w:rPr>
        <w:t>Proposal</w:t>
      </w:r>
    </w:p>
    <w:p w14:paraId="039D5D29" w14:textId="0A5F0B2E" w:rsidR="007C146E" w:rsidRDefault="007C146E" w:rsidP="007C146E">
      <w:pPr>
        <w:rPr>
          <w:sz w:val="24"/>
          <w:szCs w:val="24"/>
        </w:rPr>
      </w:pPr>
      <w:r>
        <w:rPr>
          <w:sz w:val="24"/>
          <w:szCs w:val="24"/>
        </w:rPr>
        <w:t xml:space="preserve">It is therefore proposed that </w:t>
      </w:r>
      <w:r w:rsidR="00EF3E08">
        <w:rPr>
          <w:sz w:val="24"/>
          <w:szCs w:val="24"/>
        </w:rPr>
        <w:t>combination applications</w:t>
      </w:r>
      <w:r>
        <w:rPr>
          <w:sz w:val="24"/>
          <w:szCs w:val="24"/>
        </w:rPr>
        <w:t xml:space="preserve"> are set at 66% of an NCE.</w:t>
      </w:r>
    </w:p>
    <w:p w14:paraId="7B3C989B" w14:textId="107664DA" w:rsidR="00801F04" w:rsidRDefault="00801F04" w:rsidP="007C146E">
      <w:pPr>
        <w:rPr>
          <w:sz w:val="24"/>
          <w:szCs w:val="24"/>
        </w:rPr>
      </w:pPr>
      <w:r>
        <w:rPr>
          <w:sz w:val="24"/>
          <w:szCs w:val="24"/>
        </w:rPr>
        <w:t xml:space="preserve">It is proposed that </w:t>
      </w:r>
      <w:r w:rsidR="000A3F43">
        <w:t xml:space="preserve">Grades 1 and 2 should merge and </w:t>
      </w:r>
      <w:r>
        <w:rPr>
          <w:sz w:val="24"/>
          <w:szCs w:val="24"/>
        </w:rPr>
        <w:t>new dose forms are set at 50% of an NCE.</w:t>
      </w:r>
    </w:p>
    <w:p w14:paraId="77930980" w14:textId="23DECB68" w:rsidR="00801F04" w:rsidRDefault="00801F04" w:rsidP="007C146E">
      <w:pPr>
        <w:rPr>
          <w:sz w:val="24"/>
          <w:szCs w:val="24"/>
        </w:rPr>
      </w:pPr>
      <w:r>
        <w:rPr>
          <w:sz w:val="24"/>
          <w:szCs w:val="24"/>
        </w:rPr>
        <w:lastRenderedPageBreak/>
        <w:t>It is also proposed that abbreviated combination and new dose forms are set at 50% of their respective fees.</w:t>
      </w:r>
    </w:p>
    <w:p w14:paraId="2DA0B3A6" w14:textId="5874859E" w:rsidR="00897363" w:rsidRPr="00A067CA" w:rsidRDefault="00897363" w:rsidP="00897363">
      <w:pPr>
        <w:rPr>
          <w:sz w:val="24"/>
          <w:szCs w:val="24"/>
        </w:rPr>
      </w:pPr>
    </w:p>
    <w:p w14:paraId="166E71D7" w14:textId="0B71F034" w:rsidR="003270C2" w:rsidRPr="00EF0CF5" w:rsidRDefault="00A62A35" w:rsidP="003270C2">
      <w:pPr>
        <w:rPr>
          <w:rFonts w:ascii="Segoe UI" w:hAnsi="Segoe UI" w:cs="Segoe UI"/>
          <w:b/>
          <w:color w:val="4472C4" w:themeColor="accent1"/>
          <w:sz w:val="32"/>
          <w:szCs w:val="32"/>
        </w:rPr>
      </w:pPr>
      <w:r w:rsidRPr="00EF0CF5">
        <w:rPr>
          <w:rFonts w:ascii="Segoe UI" w:hAnsi="Segoe UI" w:cs="Segoe UI"/>
          <w:b/>
          <w:color w:val="4472C4" w:themeColor="accent1"/>
          <w:sz w:val="32"/>
          <w:szCs w:val="32"/>
        </w:rPr>
        <w:t>Provisional consent</w:t>
      </w:r>
    </w:p>
    <w:p w14:paraId="7FFAA604" w14:textId="6BC8FE76" w:rsidR="00F91BDB" w:rsidRDefault="00F91BDB" w:rsidP="003270C2">
      <w:pPr>
        <w:rPr>
          <w:sz w:val="24"/>
          <w:szCs w:val="24"/>
        </w:rPr>
      </w:pPr>
      <w:r>
        <w:rPr>
          <w:sz w:val="24"/>
          <w:szCs w:val="24"/>
        </w:rPr>
        <w:t xml:space="preserve">The original </w:t>
      </w:r>
      <w:r w:rsidR="004649B3">
        <w:rPr>
          <w:sz w:val="24"/>
          <w:szCs w:val="24"/>
        </w:rPr>
        <w:t>intent</w:t>
      </w:r>
      <w:r>
        <w:rPr>
          <w:sz w:val="24"/>
          <w:szCs w:val="24"/>
        </w:rPr>
        <w:t xml:space="preserve"> for providing</w:t>
      </w:r>
      <w:r w:rsidR="003270C2" w:rsidRPr="00BF02D3">
        <w:rPr>
          <w:sz w:val="24"/>
          <w:szCs w:val="24"/>
        </w:rPr>
        <w:t xml:space="preserve"> provisional consent under section 23 </w:t>
      </w:r>
      <w:r>
        <w:rPr>
          <w:sz w:val="24"/>
          <w:szCs w:val="24"/>
        </w:rPr>
        <w:t>of the Act is to allow for the provision of a medicine that is usually lacking clinical data. This means that patients may be able to get a form of “early access” to a medicine and this provisional consent usually comes with conditions on the length of the provisional approval and any other relevant marketing restrictions. There is an expectation</w:t>
      </w:r>
      <w:r w:rsidR="003270C2" w:rsidRPr="00BF02D3">
        <w:rPr>
          <w:sz w:val="24"/>
          <w:szCs w:val="24"/>
        </w:rPr>
        <w:t xml:space="preserve"> that additional data will be provided within the next 2-4 years</w:t>
      </w:r>
      <w:r>
        <w:rPr>
          <w:sz w:val="24"/>
          <w:szCs w:val="24"/>
        </w:rPr>
        <w:t xml:space="preserve"> and full section 20 approval will then be sought</w:t>
      </w:r>
      <w:r w:rsidR="003270C2" w:rsidRPr="00BF02D3">
        <w:rPr>
          <w:sz w:val="24"/>
          <w:szCs w:val="24"/>
        </w:rPr>
        <w:t xml:space="preserve">. </w:t>
      </w:r>
    </w:p>
    <w:p w14:paraId="00D7BD78" w14:textId="0AFD9A27" w:rsidR="00EB6733" w:rsidRDefault="003270C2" w:rsidP="003270C2">
      <w:pPr>
        <w:rPr>
          <w:sz w:val="24"/>
          <w:szCs w:val="24"/>
        </w:rPr>
      </w:pPr>
      <w:r w:rsidRPr="00BF02D3">
        <w:rPr>
          <w:sz w:val="24"/>
          <w:szCs w:val="24"/>
        </w:rPr>
        <w:t xml:space="preserve">The current fee for </w:t>
      </w:r>
      <w:r w:rsidR="00F91BDB">
        <w:rPr>
          <w:sz w:val="24"/>
          <w:szCs w:val="24"/>
        </w:rPr>
        <w:t xml:space="preserve">provisional consent </w:t>
      </w:r>
      <w:r w:rsidRPr="00BF02D3">
        <w:rPr>
          <w:sz w:val="24"/>
          <w:szCs w:val="24"/>
        </w:rPr>
        <w:t xml:space="preserve">applications, regardless of risk category, is $8,437. </w:t>
      </w:r>
      <w:r w:rsidR="00F91BDB">
        <w:rPr>
          <w:sz w:val="24"/>
          <w:szCs w:val="24"/>
        </w:rPr>
        <w:t xml:space="preserve">It is </w:t>
      </w:r>
      <w:proofErr w:type="spellStart"/>
      <w:r w:rsidR="00F91BDB">
        <w:rPr>
          <w:sz w:val="24"/>
          <w:szCs w:val="24"/>
        </w:rPr>
        <w:t>Medsafe</w:t>
      </w:r>
      <w:proofErr w:type="spellEnd"/>
      <w:r w:rsidR="00F91BDB">
        <w:rPr>
          <w:sz w:val="24"/>
          <w:szCs w:val="24"/>
        </w:rPr>
        <w:t xml:space="preserve"> policy that all section 23 applications are considered either </w:t>
      </w:r>
      <w:proofErr w:type="gramStart"/>
      <w:r w:rsidR="00F91BDB">
        <w:rPr>
          <w:sz w:val="24"/>
          <w:szCs w:val="24"/>
        </w:rPr>
        <w:t>a</w:t>
      </w:r>
      <w:proofErr w:type="gramEnd"/>
      <w:r w:rsidR="00F91BDB">
        <w:rPr>
          <w:sz w:val="24"/>
          <w:szCs w:val="24"/>
        </w:rPr>
        <w:t xml:space="preserve"> NCE or other high risk application as appropriate. </w:t>
      </w:r>
      <w:r w:rsidRPr="00BF02D3">
        <w:rPr>
          <w:sz w:val="24"/>
          <w:szCs w:val="24"/>
        </w:rPr>
        <w:t xml:space="preserve">While it is expected the full cost of the evaluation work would be recovered by the full NMA fee charged when converting from </w:t>
      </w:r>
      <w:r w:rsidR="00F91BDB">
        <w:rPr>
          <w:sz w:val="24"/>
          <w:szCs w:val="24"/>
        </w:rPr>
        <w:t xml:space="preserve">a section </w:t>
      </w:r>
      <w:r w:rsidRPr="00BF02D3">
        <w:rPr>
          <w:sz w:val="24"/>
          <w:szCs w:val="24"/>
        </w:rPr>
        <w:t xml:space="preserve">23 to </w:t>
      </w:r>
      <w:r w:rsidR="00F91BDB">
        <w:rPr>
          <w:sz w:val="24"/>
          <w:szCs w:val="24"/>
        </w:rPr>
        <w:t xml:space="preserve">a </w:t>
      </w:r>
      <w:r w:rsidRPr="00BF02D3">
        <w:rPr>
          <w:sz w:val="24"/>
          <w:szCs w:val="24"/>
        </w:rPr>
        <w:t>s</w:t>
      </w:r>
      <w:r w:rsidR="00F91BDB">
        <w:rPr>
          <w:sz w:val="24"/>
          <w:szCs w:val="24"/>
        </w:rPr>
        <w:t xml:space="preserve">ection </w:t>
      </w:r>
      <w:r w:rsidRPr="00BF02D3">
        <w:rPr>
          <w:sz w:val="24"/>
          <w:szCs w:val="24"/>
        </w:rPr>
        <w:t xml:space="preserve">20 consent, this may be several years in the future, or the company may choose to withdraw the product (e.g. if it does not receive funding) before converting. In order to properly cost recover, it would be more appropriate to charge </w:t>
      </w:r>
      <w:r w:rsidR="00EB6733">
        <w:rPr>
          <w:sz w:val="24"/>
          <w:szCs w:val="24"/>
        </w:rPr>
        <w:t xml:space="preserve">a higher initial </w:t>
      </w:r>
      <w:r w:rsidRPr="00BF02D3">
        <w:rPr>
          <w:sz w:val="24"/>
          <w:szCs w:val="24"/>
        </w:rPr>
        <w:t xml:space="preserve">fee and charge </w:t>
      </w:r>
      <w:r w:rsidR="00EB6733">
        <w:rPr>
          <w:sz w:val="24"/>
          <w:szCs w:val="24"/>
        </w:rPr>
        <w:t xml:space="preserve">the remainder of the full fee when it is </w:t>
      </w:r>
      <w:r w:rsidRPr="00BF02D3">
        <w:rPr>
          <w:sz w:val="24"/>
          <w:szCs w:val="24"/>
        </w:rPr>
        <w:t>conver</w:t>
      </w:r>
      <w:r w:rsidR="00EB6733">
        <w:rPr>
          <w:sz w:val="24"/>
          <w:szCs w:val="24"/>
        </w:rPr>
        <w:t>ted.</w:t>
      </w:r>
      <w:r w:rsidRPr="00BF02D3">
        <w:rPr>
          <w:sz w:val="24"/>
          <w:szCs w:val="24"/>
        </w:rPr>
        <w:t xml:space="preserve"> </w:t>
      </w:r>
      <w:r w:rsidR="003C4AB7">
        <w:rPr>
          <w:sz w:val="24"/>
          <w:szCs w:val="24"/>
        </w:rPr>
        <w:t xml:space="preserve">Further to this, the current $8,437 fee does not cost recover the evaluation effort as most S23 applications will have substantial dossiers, only with reduced clinical data. </w:t>
      </w:r>
    </w:p>
    <w:p w14:paraId="256ED7FF" w14:textId="523F1091" w:rsidR="003C4AB7" w:rsidRPr="003C4AB7" w:rsidRDefault="003C4AB7" w:rsidP="003270C2">
      <w:pPr>
        <w:rPr>
          <w:b/>
          <w:bCs/>
          <w:color w:val="4472C4" w:themeColor="accent1"/>
          <w:sz w:val="24"/>
          <w:szCs w:val="24"/>
        </w:rPr>
      </w:pPr>
      <w:r>
        <w:rPr>
          <w:b/>
          <w:bCs/>
          <w:color w:val="4472C4" w:themeColor="accent1"/>
          <w:sz w:val="24"/>
          <w:szCs w:val="24"/>
        </w:rPr>
        <w:t>Stock shortage provisional consents</w:t>
      </w:r>
    </w:p>
    <w:p w14:paraId="2611FCEE" w14:textId="2EA25A4C" w:rsidR="003270C2" w:rsidRPr="00BF02D3" w:rsidRDefault="002E1D20" w:rsidP="003270C2">
      <w:pPr>
        <w:rPr>
          <w:sz w:val="24"/>
          <w:szCs w:val="24"/>
        </w:rPr>
      </w:pPr>
      <w:r>
        <w:rPr>
          <w:sz w:val="24"/>
          <w:szCs w:val="24"/>
        </w:rPr>
        <w:t>T</w:t>
      </w:r>
      <w:r w:rsidR="003270C2" w:rsidRPr="00BF02D3">
        <w:rPr>
          <w:sz w:val="24"/>
          <w:szCs w:val="24"/>
        </w:rPr>
        <w:t xml:space="preserve">here are </w:t>
      </w:r>
      <w:r w:rsidR="00F91BDB">
        <w:rPr>
          <w:sz w:val="24"/>
          <w:szCs w:val="24"/>
        </w:rPr>
        <w:t xml:space="preserve">also </w:t>
      </w:r>
      <w:r w:rsidR="003270C2" w:rsidRPr="00BF02D3">
        <w:rPr>
          <w:sz w:val="24"/>
          <w:szCs w:val="24"/>
        </w:rPr>
        <w:t>some situations where s</w:t>
      </w:r>
      <w:r w:rsidR="00F91BDB">
        <w:rPr>
          <w:sz w:val="24"/>
          <w:szCs w:val="24"/>
        </w:rPr>
        <w:t xml:space="preserve">ection </w:t>
      </w:r>
      <w:r w:rsidR="003270C2" w:rsidRPr="00BF02D3">
        <w:rPr>
          <w:sz w:val="24"/>
          <w:szCs w:val="24"/>
        </w:rPr>
        <w:t xml:space="preserve">23 consent is sought requiring assessment of very limited data to address a stock shortage. </w:t>
      </w:r>
      <w:r w:rsidR="00801F04">
        <w:rPr>
          <w:sz w:val="24"/>
          <w:szCs w:val="24"/>
        </w:rPr>
        <w:t>In</w:t>
      </w:r>
      <w:r w:rsidR="003270C2" w:rsidRPr="00BF02D3">
        <w:rPr>
          <w:sz w:val="24"/>
          <w:szCs w:val="24"/>
        </w:rPr>
        <w:t xml:space="preserve"> these cases</w:t>
      </w:r>
      <w:r>
        <w:rPr>
          <w:sz w:val="24"/>
          <w:szCs w:val="24"/>
        </w:rPr>
        <w:t xml:space="preserve">, a high upfront fee with the expectation of conversion to a full approval would be inappropriate, due to the lack of data to be evaluated and the </w:t>
      </w:r>
      <w:r w:rsidR="00767A27">
        <w:rPr>
          <w:sz w:val="24"/>
          <w:szCs w:val="24"/>
        </w:rPr>
        <w:t xml:space="preserve">rare </w:t>
      </w:r>
      <w:r w:rsidR="0056447C">
        <w:rPr>
          <w:sz w:val="24"/>
          <w:szCs w:val="24"/>
        </w:rPr>
        <w:t>occurrence</w:t>
      </w:r>
      <w:r w:rsidR="00767A27">
        <w:rPr>
          <w:sz w:val="24"/>
          <w:szCs w:val="24"/>
        </w:rPr>
        <w:t xml:space="preserve"> (as data shows)</w:t>
      </w:r>
      <w:r>
        <w:rPr>
          <w:sz w:val="24"/>
          <w:szCs w:val="24"/>
        </w:rPr>
        <w:t xml:space="preserve"> that a product obtained to address a short-term stock shortage will result in a move to full approval. On the other hand, </w:t>
      </w:r>
      <w:proofErr w:type="spellStart"/>
      <w:r>
        <w:rPr>
          <w:sz w:val="24"/>
          <w:szCs w:val="24"/>
        </w:rPr>
        <w:t>Medsafe</w:t>
      </w:r>
      <w:proofErr w:type="spellEnd"/>
      <w:r>
        <w:rPr>
          <w:sz w:val="24"/>
          <w:szCs w:val="24"/>
        </w:rPr>
        <w:t xml:space="preserve"> does take on a higher risk when giving these products with limited data a provisional approval</w:t>
      </w:r>
      <w:r w:rsidR="00E80103">
        <w:rPr>
          <w:sz w:val="24"/>
          <w:szCs w:val="24"/>
        </w:rPr>
        <w:t xml:space="preserve"> and the risk to </w:t>
      </w:r>
      <w:proofErr w:type="spellStart"/>
      <w:r w:rsidR="00E80103">
        <w:rPr>
          <w:sz w:val="24"/>
          <w:szCs w:val="24"/>
        </w:rPr>
        <w:t>Medsafe</w:t>
      </w:r>
      <w:proofErr w:type="spellEnd"/>
      <w:r w:rsidR="00E80103">
        <w:rPr>
          <w:sz w:val="24"/>
          <w:szCs w:val="24"/>
        </w:rPr>
        <w:t xml:space="preserve"> increases with less data provided. </w:t>
      </w:r>
      <w:r>
        <w:rPr>
          <w:sz w:val="24"/>
          <w:szCs w:val="24"/>
        </w:rPr>
        <w:t xml:space="preserve"> </w:t>
      </w:r>
    </w:p>
    <w:p w14:paraId="2B40EA86" w14:textId="2AD8729A" w:rsidR="003C4AB7" w:rsidRPr="003C4AB7" w:rsidRDefault="003C4AB7" w:rsidP="003270C2">
      <w:pPr>
        <w:rPr>
          <w:b/>
          <w:bCs/>
          <w:color w:val="4472C4" w:themeColor="accent1"/>
          <w:sz w:val="24"/>
          <w:szCs w:val="24"/>
        </w:rPr>
      </w:pPr>
      <w:r>
        <w:rPr>
          <w:b/>
          <w:bCs/>
          <w:color w:val="4472C4" w:themeColor="accent1"/>
          <w:sz w:val="24"/>
          <w:szCs w:val="24"/>
        </w:rPr>
        <w:t>Renewals</w:t>
      </w:r>
      <w:r w:rsidR="00F75AFE">
        <w:rPr>
          <w:b/>
          <w:bCs/>
          <w:color w:val="4472C4" w:themeColor="accent1"/>
          <w:sz w:val="24"/>
          <w:szCs w:val="24"/>
        </w:rPr>
        <w:t xml:space="preserve"> of s23 provisional consents</w:t>
      </w:r>
    </w:p>
    <w:p w14:paraId="1B20F64D" w14:textId="586B6650" w:rsidR="003270C2" w:rsidRDefault="003270C2" w:rsidP="003270C2">
      <w:pPr>
        <w:rPr>
          <w:sz w:val="24"/>
          <w:szCs w:val="24"/>
        </w:rPr>
      </w:pPr>
      <w:r w:rsidRPr="00BF02D3">
        <w:rPr>
          <w:sz w:val="24"/>
          <w:szCs w:val="24"/>
        </w:rPr>
        <w:t>Once provisional consent is granted, applications must be submitted to renew the consent every 2 years. While these applications currently require limit</w:t>
      </w:r>
      <w:r w:rsidR="002E1D20">
        <w:rPr>
          <w:sz w:val="24"/>
          <w:szCs w:val="24"/>
        </w:rPr>
        <w:t>ed</w:t>
      </w:r>
      <w:r w:rsidRPr="00BF02D3">
        <w:rPr>
          <w:sz w:val="24"/>
          <w:szCs w:val="24"/>
        </w:rPr>
        <w:t xml:space="preserve"> assessment (mostly administrative and some module 1 updates), this work is done by </w:t>
      </w:r>
      <w:r w:rsidR="00935BED">
        <w:rPr>
          <w:sz w:val="24"/>
          <w:szCs w:val="24"/>
        </w:rPr>
        <w:t>T</w:t>
      </w:r>
      <w:r w:rsidRPr="00BF02D3">
        <w:rPr>
          <w:sz w:val="24"/>
          <w:szCs w:val="24"/>
        </w:rPr>
        <w:t xml:space="preserve">eam </w:t>
      </w:r>
      <w:r w:rsidR="00935BED">
        <w:rPr>
          <w:sz w:val="24"/>
          <w:szCs w:val="24"/>
        </w:rPr>
        <w:t>L</w:t>
      </w:r>
      <w:r w:rsidRPr="00BF02D3">
        <w:rPr>
          <w:sz w:val="24"/>
          <w:szCs w:val="24"/>
        </w:rPr>
        <w:t xml:space="preserve">eaders and does take some time. </w:t>
      </w:r>
      <w:r w:rsidR="00935BED">
        <w:rPr>
          <w:sz w:val="24"/>
          <w:szCs w:val="24"/>
        </w:rPr>
        <w:t>The</w:t>
      </w:r>
      <w:r w:rsidRPr="00BF02D3">
        <w:rPr>
          <w:sz w:val="24"/>
          <w:szCs w:val="24"/>
        </w:rPr>
        <w:t xml:space="preserve"> current $500 fee </w:t>
      </w:r>
      <w:r w:rsidR="00935BED">
        <w:rPr>
          <w:sz w:val="24"/>
          <w:szCs w:val="24"/>
        </w:rPr>
        <w:t>does not</w:t>
      </w:r>
      <w:r w:rsidRPr="00BF02D3">
        <w:rPr>
          <w:sz w:val="24"/>
          <w:szCs w:val="24"/>
        </w:rPr>
        <w:t xml:space="preserve"> cover this time </w:t>
      </w:r>
      <w:r w:rsidR="00935BED">
        <w:rPr>
          <w:sz w:val="24"/>
          <w:szCs w:val="24"/>
        </w:rPr>
        <w:t>nor</w:t>
      </w:r>
      <w:r w:rsidRPr="00BF02D3">
        <w:rPr>
          <w:sz w:val="24"/>
          <w:szCs w:val="24"/>
        </w:rPr>
        <w:t xml:space="preserve"> the cost to publish the renewed consent in the NZ Gazette.</w:t>
      </w:r>
    </w:p>
    <w:p w14:paraId="4BB9CBEE" w14:textId="77777777" w:rsidR="00801F04" w:rsidRPr="00E80103" w:rsidRDefault="00801F04" w:rsidP="00801F04">
      <w:pPr>
        <w:rPr>
          <w:b/>
          <w:color w:val="4472C4" w:themeColor="accent1"/>
          <w:sz w:val="24"/>
          <w:szCs w:val="24"/>
        </w:rPr>
      </w:pPr>
      <w:r w:rsidRPr="00E80103">
        <w:rPr>
          <w:b/>
          <w:color w:val="4472C4" w:themeColor="accent1"/>
          <w:sz w:val="24"/>
          <w:szCs w:val="24"/>
        </w:rPr>
        <w:t>Proposal</w:t>
      </w:r>
    </w:p>
    <w:p w14:paraId="20385697" w14:textId="5709F1F8" w:rsidR="003C4AB7" w:rsidRDefault="00F91BDB" w:rsidP="00801F04">
      <w:pPr>
        <w:rPr>
          <w:sz w:val="24"/>
          <w:szCs w:val="24"/>
        </w:rPr>
      </w:pPr>
      <w:r w:rsidRPr="00E80103">
        <w:rPr>
          <w:sz w:val="24"/>
          <w:szCs w:val="24"/>
        </w:rPr>
        <w:t>The proposal is to align the s</w:t>
      </w:r>
      <w:r w:rsidR="00801F04" w:rsidRPr="00E80103">
        <w:rPr>
          <w:sz w:val="24"/>
          <w:szCs w:val="24"/>
        </w:rPr>
        <w:t xml:space="preserve">ection 23 fee to the NCE or other </w:t>
      </w:r>
      <w:proofErr w:type="gramStart"/>
      <w:r w:rsidR="00801F04" w:rsidRPr="00E80103">
        <w:rPr>
          <w:sz w:val="24"/>
          <w:szCs w:val="24"/>
        </w:rPr>
        <w:t>high risk</w:t>
      </w:r>
      <w:proofErr w:type="gramEnd"/>
      <w:r w:rsidR="00801F04" w:rsidRPr="00E80103">
        <w:rPr>
          <w:sz w:val="24"/>
          <w:szCs w:val="24"/>
        </w:rPr>
        <w:t xml:space="preserve"> fee as appropriate</w:t>
      </w:r>
      <w:r w:rsidR="001837B6">
        <w:rPr>
          <w:sz w:val="24"/>
          <w:szCs w:val="24"/>
        </w:rPr>
        <w:t>, but acknowledge that the dossier is likely to have missing data</w:t>
      </w:r>
      <w:r w:rsidR="00801F04" w:rsidRPr="00E80103">
        <w:rPr>
          <w:sz w:val="24"/>
          <w:szCs w:val="24"/>
        </w:rPr>
        <w:t>.</w:t>
      </w:r>
      <w:r w:rsidR="00801F04">
        <w:rPr>
          <w:sz w:val="24"/>
          <w:szCs w:val="24"/>
        </w:rPr>
        <w:t xml:space="preserve"> </w:t>
      </w:r>
      <w:r>
        <w:rPr>
          <w:sz w:val="24"/>
          <w:szCs w:val="24"/>
        </w:rPr>
        <w:t xml:space="preserve">For example, the fee calculation for an NCE with limited clinical data will start at the NCE price, but </w:t>
      </w:r>
      <w:r w:rsidR="001837B6">
        <w:rPr>
          <w:sz w:val="24"/>
          <w:szCs w:val="24"/>
        </w:rPr>
        <w:t>the fee will</w:t>
      </w:r>
      <w:r w:rsidR="00E80103">
        <w:rPr>
          <w:sz w:val="24"/>
          <w:szCs w:val="24"/>
        </w:rPr>
        <w:t xml:space="preserve"> be</w:t>
      </w:r>
      <w:r>
        <w:rPr>
          <w:sz w:val="24"/>
          <w:szCs w:val="24"/>
        </w:rPr>
        <w:t xml:space="preserve"> </w:t>
      </w:r>
      <w:r>
        <w:rPr>
          <w:sz w:val="24"/>
          <w:szCs w:val="24"/>
        </w:rPr>
        <w:lastRenderedPageBreak/>
        <w:t xml:space="preserve">waived down </w:t>
      </w:r>
      <w:r w:rsidR="00E80103">
        <w:rPr>
          <w:sz w:val="24"/>
          <w:szCs w:val="24"/>
        </w:rPr>
        <w:t>due to the outstanding data</w:t>
      </w:r>
      <w:r w:rsidR="001837B6">
        <w:rPr>
          <w:sz w:val="24"/>
          <w:szCs w:val="24"/>
        </w:rPr>
        <w:t xml:space="preserve"> to 80% of the full application fee</w:t>
      </w:r>
      <w:r w:rsidR="00E80103">
        <w:rPr>
          <w:sz w:val="24"/>
          <w:szCs w:val="24"/>
        </w:rPr>
        <w:t>. The subsequent s20 conversion fee will be the remainder of the NCE fee</w:t>
      </w:r>
      <w:r w:rsidR="001837B6">
        <w:rPr>
          <w:sz w:val="24"/>
          <w:szCs w:val="24"/>
        </w:rPr>
        <w:t xml:space="preserve"> (20%)</w:t>
      </w:r>
      <w:r w:rsidR="00E80103">
        <w:rPr>
          <w:sz w:val="24"/>
          <w:szCs w:val="24"/>
        </w:rPr>
        <w:t xml:space="preserve">. </w:t>
      </w:r>
      <w:r w:rsidR="001837B6">
        <w:rPr>
          <w:sz w:val="24"/>
          <w:szCs w:val="24"/>
        </w:rPr>
        <w:t xml:space="preserve"> </w:t>
      </w:r>
    </w:p>
    <w:p w14:paraId="31D14613" w14:textId="33949521" w:rsidR="00801F04" w:rsidRDefault="00E80103" w:rsidP="00801F04">
      <w:pPr>
        <w:rPr>
          <w:sz w:val="24"/>
          <w:szCs w:val="24"/>
        </w:rPr>
      </w:pPr>
      <w:r>
        <w:rPr>
          <w:sz w:val="24"/>
          <w:szCs w:val="24"/>
        </w:rPr>
        <w:t>For stock shortages</w:t>
      </w:r>
      <w:r w:rsidR="003C4AB7">
        <w:rPr>
          <w:sz w:val="24"/>
          <w:szCs w:val="24"/>
        </w:rPr>
        <w:t xml:space="preserve"> section 23 applications</w:t>
      </w:r>
      <w:r>
        <w:rPr>
          <w:sz w:val="24"/>
          <w:szCs w:val="24"/>
        </w:rPr>
        <w:t xml:space="preserve">, the fee calculation will start at the other high risk fee and </w:t>
      </w:r>
      <w:r w:rsidR="00F75AFE">
        <w:rPr>
          <w:sz w:val="24"/>
          <w:szCs w:val="24"/>
        </w:rPr>
        <w:t>the waiver be applied</w:t>
      </w:r>
      <w:r>
        <w:rPr>
          <w:sz w:val="24"/>
          <w:szCs w:val="24"/>
        </w:rPr>
        <w:t xml:space="preserve"> according to the situation with the stock shortage (for example to 20% of the other high risk fee if it is very similar to another product on the NZ market and data can be shared). While this situation will not have upfront clarity, it is likely the whole stock shortage situation is unclear and would require close </w:t>
      </w:r>
      <w:r w:rsidR="004649B3">
        <w:rPr>
          <w:sz w:val="24"/>
          <w:szCs w:val="24"/>
        </w:rPr>
        <w:t>communication</w:t>
      </w:r>
      <w:r>
        <w:rPr>
          <w:sz w:val="24"/>
          <w:szCs w:val="24"/>
        </w:rPr>
        <w:t xml:space="preserve"> with </w:t>
      </w:r>
      <w:proofErr w:type="spellStart"/>
      <w:r>
        <w:rPr>
          <w:sz w:val="24"/>
          <w:szCs w:val="24"/>
        </w:rPr>
        <w:t>Medsafe</w:t>
      </w:r>
      <w:proofErr w:type="spellEnd"/>
      <w:r>
        <w:rPr>
          <w:sz w:val="24"/>
          <w:szCs w:val="24"/>
        </w:rPr>
        <w:t xml:space="preserve"> on other issues.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3164"/>
        <w:gridCol w:w="3165"/>
      </w:tblGrid>
      <w:tr w:rsidR="00496733" w:rsidRPr="00496733" w14:paraId="19F78255" w14:textId="77777777" w:rsidTr="00496733">
        <w:trPr>
          <w:trHeight w:val="397"/>
        </w:trPr>
        <w:tc>
          <w:tcPr>
            <w:tcW w:w="9493" w:type="dxa"/>
            <w:gridSpan w:val="3"/>
            <w:shd w:val="clear" w:color="auto" w:fill="auto"/>
            <w:hideMark/>
          </w:tcPr>
          <w:p w14:paraId="5A696FEB" w14:textId="5ECD8738" w:rsidR="005F4212" w:rsidRPr="00496733" w:rsidRDefault="005F4212" w:rsidP="00496733">
            <w:pPr>
              <w:spacing w:after="0" w:line="240" w:lineRule="auto"/>
              <w:jc w:val="center"/>
              <w:rPr>
                <w:rFonts w:ascii="Times New Roman" w:eastAsia="Times New Roman" w:hAnsi="Times New Roman" w:cs="Times New Roman"/>
                <w:color w:val="4472C4" w:themeColor="accent1"/>
                <w:sz w:val="24"/>
                <w:szCs w:val="24"/>
                <w:lang w:eastAsia="en-NZ"/>
              </w:rPr>
            </w:pPr>
            <w:r w:rsidRPr="00496733">
              <w:rPr>
                <w:rFonts w:ascii="Calibri" w:eastAsia="Times New Roman" w:hAnsi="Calibri" w:cs="Times New Roman"/>
                <w:b/>
                <w:bCs/>
                <w:color w:val="4472C4" w:themeColor="accent1"/>
                <w:sz w:val="24"/>
                <w:szCs w:val="24"/>
                <w:lang w:eastAsia="en-NZ"/>
              </w:rPr>
              <w:t xml:space="preserve">Table </w:t>
            </w:r>
            <w:r w:rsidR="00B36E36" w:rsidRPr="00496733">
              <w:rPr>
                <w:rFonts w:ascii="Calibri" w:eastAsia="Times New Roman" w:hAnsi="Calibri" w:cs="Times New Roman"/>
                <w:b/>
                <w:bCs/>
                <w:color w:val="4472C4" w:themeColor="accent1"/>
                <w:sz w:val="24"/>
                <w:szCs w:val="24"/>
                <w:lang w:eastAsia="en-NZ"/>
              </w:rPr>
              <w:t>4</w:t>
            </w:r>
            <w:r w:rsidRPr="00496733">
              <w:rPr>
                <w:rFonts w:ascii="Calibri" w:eastAsia="Times New Roman" w:hAnsi="Calibri" w:cs="Times New Roman"/>
                <w:b/>
                <w:bCs/>
                <w:color w:val="4472C4" w:themeColor="accent1"/>
                <w:sz w:val="24"/>
                <w:szCs w:val="24"/>
                <w:lang w:eastAsia="en-NZ"/>
              </w:rPr>
              <w:t>: New Medicine Application Provisional Consent Fees</w:t>
            </w:r>
          </w:p>
        </w:tc>
      </w:tr>
      <w:tr w:rsidR="005F4212" w:rsidRPr="00B36E36" w14:paraId="76F10B1E" w14:textId="77777777" w:rsidTr="00ED306C">
        <w:trPr>
          <w:trHeight w:val="806"/>
        </w:trPr>
        <w:tc>
          <w:tcPr>
            <w:tcW w:w="3164" w:type="dxa"/>
            <w:shd w:val="clear" w:color="auto" w:fill="auto"/>
            <w:vAlign w:val="bottom"/>
            <w:hideMark/>
          </w:tcPr>
          <w:p w14:paraId="474FC94D" w14:textId="77777777" w:rsidR="005F4212" w:rsidRPr="00B36E36" w:rsidRDefault="005F4212" w:rsidP="00587F1D">
            <w:pPr>
              <w:spacing w:after="0" w:line="240" w:lineRule="auto"/>
              <w:rPr>
                <w:rFonts w:ascii="Calibri" w:eastAsia="Times New Roman" w:hAnsi="Calibri" w:cs="Times New Roman"/>
                <w:color w:val="000000"/>
                <w:sz w:val="24"/>
                <w:szCs w:val="24"/>
                <w:lang w:eastAsia="en-NZ"/>
              </w:rPr>
            </w:pPr>
            <w:r w:rsidRPr="00B36E36">
              <w:rPr>
                <w:rFonts w:ascii="Calibri" w:eastAsia="Times New Roman" w:hAnsi="Calibri" w:cs="Times New Roman"/>
                <w:color w:val="000000"/>
                <w:sz w:val="24"/>
                <w:szCs w:val="24"/>
                <w:lang w:eastAsia="en-NZ"/>
              </w:rPr>
              <w:t>Application for provisional consent to distribute a new medicine – clinical need</w:t>
            </w:r>
          </w:p>
        </w:tc>
        <w:tc>
          <w:tcPr>
            <w:tcW w:w="3164" w:type="dxa"/>
            <w:shd w:val="clear" w:color="auto" w:fill="auto"/>
            <w:noWrap/>
            <w:vAlign w:val="bottom"/>
            <w:hideMark/>
          </w:tcPr>
          <w:p w14:paraId="5AEA6151" w14:textId="77777777" w:rsidR="005F4212" w:rsidRPr="00B36E36" w:rsidRDefault="005F4212" w:rsidP="00587F1D">
            <w:pPr>
              <w:spacing w:after="0" w:line="240" w:lineRule="auto"/>
              <w:jc w:val="right"/>
              <w:rPr>
                <w:rFonts w:ascii="Calibri" w:eastAsia="Times New Roman" w:hAnsi="Calibri" w:cs="Times New Roman"/>
                <w:color w:val="000000"/>
                <w:sz w:val="24"/>
                <w:szCs w:val="24"/>
                <w:lang w:eastAsia="en-NZ"/>
              </w:rPr>
            </w:pPr>
            <w:r w:rsidRPr="00B36E36">
              <w:rPr>
                <w:rFonts w:ascii="Calibri" w:eastAsia="Times New Roman" w:hAnsi="Calibri" w:cs="Times New Roman"/>
                <w:color w:val="000000"/>
                <w:sz w:val="24"/>
                <w:szCs w:val="24"/>
                <w:lang w:eastAsia="en-NZ"/>
              </w:rPr>
              <w:t>8,437</w:t>
            </w:r>
          </w:p>
        </w:tc>
        <w:tc>
          <w:tcPr>
            <w:tcW w:w="3165" w:type="dxa"/>
            <w:shd w:val="clear" w:color="auto" w:fill="auto"/>
            <w:noWrap/>
            <w:vAlign w:val="bottom"/>
            <w:hideMark/>
          </w:tcPr>
          <w:p w14:paraId="6CA4522A" w14:textId="77777777" w:rsidR="005F4212" w:rsidRPr="00B36E36" w:rsidRDefault="005F4212" w:rsidP="00587F1D">
            <w:pPr>
              <w:spacing w:after="0" w:line="240" w:lineRule="auto"/>
              <w:jc w:val="right"/>
              <w:rPr>
                <w:rFonts w:ascii="Calibri" w:eastAsia="Times New Roman" w:hAnsi="Calibri" w:cs="Times New Roman"/>
                <w:b/>
                <w:bCs/>
                <w:color w:val="000000"/>
                <w:sz w:val="24"/>
                <w:szCs w:val="24"/>
                <w:lang w:eastAsia="en-NZ"/>
              </w:rPr>
            </w:pPr>
            <w:r w:rsidRPr="00B36E36">
              <w:rPr>
                <w:rFonts w:ascii="Calibri" w:eastAsia="Times New Roman" w:hAnsi="Calibri" w:cs="Times New Roman"/>
                <w:b/>
                <w:bCs/>
                <w:color w:val="000000"/>
                <w:sz w:val="24"/>
                <w:szCs w:val="24"/>
                <w:lang w:eastAsia="en-NZ"/>
              </w:rPr>
              <w:t>63,902 (or 85,202 if NCE)</w:t>
            </w:r>
          </w:p>
        </w:tc>
      </w:tr>
      <w:tr w:rsidR="005F4212" w:rsidRPr="00B36E36" w14:paraId="1367EF35" w14:textId="77777777" w:rsidTr="00ED306C">
        <w:trPr>
          <w:trHeight w:val="806"/>
        </w:trPr>
        <w:tc>
          <w:tcPr>
            <w:tcW w:w="3164" w:type="dxa"/>
            <w:shd w:val="clear" w:color="auto" w:fill="auto"/>
            <w:vAlign w:val="bottom"/>
          </w:tcPr>
          <w:p w14:paraId="18447377" w14:textId="77777777" w:rsidR="005F4212" w:rsidRPr="00B36E36" w:rsidRDefault="005F4212" w:rsidP="00587F1D">
            <w:pPr>
              <w:spacing w:after="0" w:line="240" w:lineRule="auto"/>
              <w:rPr>
                <w:rFonts w:ascii="Calibri" w:eastAsia="Times New Roman" w:hAnsi="Calibri" w:cs="Times New Roman"/>
                <w:color w:val="000000"/>
                <w:sz w:val="24"/>
                <w:szCs w:val="24"/>
                <w:lang w:eastAsia="en-NZ"/>
              </w:rPr>
            </w:pPr>
            <w:r w:rsidRPr="00B36E36">
              <w:rPr>
                <w:rFonts w:ascii="Calibri" w:eastAsia="Times New Roman" w:hAnsi="Calibri" w:cs="Times New Roman"/>
                <w:color w:val="000000"/>
                <w:sz w:val="24"/>
                <w:szCs w:val="24"/>
                <w:lang w:eastAsia="en-NZ"/>
              </w:rPr>
              <w:t>Application for provisional consent to distribute a new medicine – stock shortage</w:t>
            </w:r>
          </w:p>
        </w:tc>
        <w:tc>
          <w:tcPr>
            <w:tcW w:w="3164" w:type="dxa"/>
            <w:shd w:val="clear" w:color="auto" w:fill="auto"/>
            <w:noWrap/>
            <w:vAlign w:val="bottom"/>
          </w:tcPr>
          <w:p w14:paraId="150E4F8F" w14:textId="77777777" w:rsidR="005F4212" w:rsidRPr="00B36E36" w:rsidRDefault="005F4212" w:rsidP="00587F1D">
            <w:pPr>
              <w:spacing w:after="0" w:line="240" w:lineRule="auto"/>
              <w:jc w:val="right"/>
              <w:rPr>
                <w:rFonts w:ascii="Calibri" w:eastAsia="Times New Roman" w:hAnsi="Calibri" w:cs="Times New Roman"/>
                <w:color w:val="000000"/>
                <w:sz w:val="24"/>
                <w:szCs w:val="24"/>
                <w:lang w:eastAsia="en-NZ"/>
              </w:rPr>
            </w:pPr>
            <w:r w:rsidRPr="00B36E36">
              <w:rPr>
                <w:rFonts w:ascii="Calibri" w:eastAsia="Times New Roman" w:hAnsi="Calibri" w:cs="Times New Roman"/>
                <w:color w:val="000000"/>
                <w:sz w:val="24"/>
                <w:szCs w:val="24"/>
                <w:lang w:eastAsia="en-NZ"/>
              </w:rPr>
              <w:t>8,437</w:t>
            </w:r>
          </w:p>
        </w:tc>
        <w:tc>
          <w:tcPr>
            <w:tcW w:w="3165" w:type="dxa"/>
            <w:shd w:val="clear" w:color="auto" w:fill="auto"/>
            <w:noWrap/>
            <w:vAlign w:val="bottom"/>
          </w:tcPr>
          <w:p w14:paraId="610EE4AF" w14:textId="77777777" w:rsidR="005F4212" w:rsidRPr="00B36E36" w:rsidRDefault="005F4212" w:rsidP="00587F1D">
            <w:pPr>
              <w:spacing w:after="0" w:line="240" w:lineRule="auto"/>
              <w:jc w:val="right"/>
              <w:rPr>
                <w:rFonts w:ascii="Calibri" w:eastAsia="Times New Roman" w:hAnsi="Calibri" w:cs="Times New Roman"/>
                <w:b/>
                <w:bCs/>
                <w:color w:val="000000"/>
                <w:sz w:val="24"/>
                <w:szCs w:val="24"/>
                <w:lang w:eastAsia="en-NZ"/>
              </w:rPr>
            </w:pPr>
            <w:r w:rsidRPr="00B36E36">
              <w:rPr>
                <w:rFonts w:ascii="Calibri" w:eastAsia="Times New Roman" w:hAnsi="Calibri" w:cs="Times New Roman"/>
                <w:b/>
                <w:bCs/>
                <w:color w:val="000000"/>
                <w:sz w:val="24"/>
                <w:szCs w:val="24"/>
                <w:lang w:eastAsia="en-NZ"/>
              </w:rPr>
              <w:t>15,975 (or 21,301 if NCE)</w:t>
            </w:r>
          </w:p>
        </w:tc>
      </w:tr>
      <w:tr w:rsidR="005F4212" w:rsidRPr="00B36E36" w14:paraId="09DB609E" w14:textId="77777777" w:rsidTr="00ED306C">
        <w:trPr>
          <w:trHeight w:val="806"/>
        </w:trPr>
        <w:tc>
          <w:tcPr>
            <w:tcW w:w="3164" w:type="dxa"/>
            <w:shd w:val="clear" w:color="auto" w:fill="auto"/>
            <w:vAlign w:val="bottom"/>
          </w:tcPr>
          <w:p w14:paraId="155091BC" w14:textId="77777777" w:rsidR="005F4212" w:rsidRPr="00B36E36" w:rsidRDefault="005F4212" w:rsidP="00587F1D">
            <w:pPr>
              <w:spacing w:after="0" w:line="240" w:lineRule="auto"/>
              <w:rPr>
                <w:rFonts w:ascii="Calibri" w:eastAsia="Times New Roman" w:hAnsi="Calibri" w:cs="Times New Roman"/>
                <w:b/>
                <w:bCs/>
                <w:color w:val="000000"/>
                <w:sz w:val="24"/>
                <w:szCs w:val="24"/>
                <w:lang w:eastAsia="en-NZ"/>
              </w:rPr>
            </w:pPr>
            <w:r w:rsidRPr="00B36E36">
              <w:rPr>
                <w:rFonts w:ascii="Calibri" w:eastAsia="Times New Roman" w:hAnsi="Calibri" w:cs="Times New Roman"/>
                <w:b/>
                <w:bCs/>
                <w:color w:val="000000"/>
                <w:sz w:val="24"/>
                <w:szCs w:val="24"/>
                <w:lang w:eastAsia="en-NZ"/>
              </w:rPr>
              <w:t>Provisional conversion to s20 – clinical need</w:t>
            </w:r>
          </w:p>
        </w:tc>
        <w:tc>
          <w:tcPr>
            <w:tcW w:w="3164" w:type="dxa"/>
            <w:shd w:val="clear" w:color="auto" w:fill="auto"/>
            <w:noWrap/>
            <w:vAlign w:val="bottom"/>
          </w:tcPr>
          <w:p w14:paraId="4EF385BB" w14:textId="77777777" w:rsidR="005F4212" w:rsidRPr="00B36E36" w:rsidRDefault="005F4212" w:rsidP="00587F1D">
            <w:pPr>
              <w:spacing w:after="0" w:line="240" w:lineRule="auto"/>
              <w:jc w:val="right"/>
              <w:rPr>
                <w:rFonts w:ascii="Calibri" w:eastAsia="Times New Roman" w:hAnsi="Calibri" w:cs="Times New Roman"/>
                <w:b/>
                <w:bCs/>
                <w:color w:val="000000"/>
                <w:sz w:val="24"/>
                <w:szCs w:val="24"/>
                <w:lang w:eastAsia="en-NZ"/>
              </w:rPr>
            </w:pPr>
            <w:r w:rsidRPr="00B36E36">
              <w:rPr>
                <w:rFonts w:ascii="Calibri" w:eastAsia="Times New Roman" w:hAnsi="Calibri" w:cs="Times New Roman"/>
                <w:b/>
                <w:bCs/>
                <w:color w:val="000000"/>
                <w:sz w:val="24"/>
                <w:szCs w:val="24"/>
                <w:lang w:eastAsia="en-NZ"/>
              </w:rPr>
              <w:t>-</w:t>
            </w:r>
          </w:p>
        </w:tc>
        <w:tc>
          <w:tcPr>
            <w:tcW w:w="3165" w:type="dxa"/>
            <w:shd w:val="clear" w:color="auto" w:fill="auto"/>
            <w:noWrap/>
            <w:vAlign w:val="bottom"/>
          </w:tcPr>
          <w:p w14:paraId="6F5E25C1" w14:textId="77777777" w:rsidR="005F4212" w:rsidRPr="00B36E36" w:rsidRDefault="005F4212" w:rsidP="00587F1D">
            <w:pPr>
              <w:spacing w:after="0" w:line="240" w:lineRule="auto"/>
              <w:jc w:val="right"/>
              <w:rPr>
                <w:rFonts w:ascii="Calibri" w:eastAsia="Times New Roman" w:hAnsi="Calibri" w:cs="Times New Roman"/>
                <w:b/>
                <w:bCs/>
                <w:color w:val="000000"/>
                <w:sz w:val="24"/>
                <w:szCs w:val="24"/>
                <w:lang w:eastAsia="en-NZ"/>
              </w:rPr>
            </w:pPr>
            <w:r w:rsidRPr="00B36E36">
              <w:rPr>
                <w:rFonts w:ascii="Calibri" w:eastAsia="Times New Roman" w:hAnsi="Calibri" w:cs="Times New Roman"/>
                <w:b/>
                <w:bCs/>
                <w:color w:val="000000"/>
                <w:sz w:val="24"/>
                <w:szCs w:val="24"/>
                <w:lang w:eastAsia="en-NZ"/>
              </w:rPr>
              <w:t>15,975 (or 21,301 if NCE)</w:t>
            </w:r>
          </w:p>
        </w:tc>
      </w:tr>
      <w:tr w:rsidR="005F4212" w:rsidRPr="00B36E36" w14:paraId="00886945" w14:textId="77777777" w:rsidTr="00ED306C">
        <w:trPr>
          <w:trHeight w:val="806"/>
        </w:trPr>
        <w:tc>
          <w:tcPr>
            <w:tcW w:w="3164" w:type="dxa"/>
            <w:shd w:val="clear" w:color="auto" w:fill="auto"/>
            <w:vAlign w:val="bottom"/>
          </w:tcPr>
          <w:p w14:paraId="4016387C" w14:textId="77777777" w:rsidR="005F4212" w:rsidRPr="00B36E36" w:rsidRDefault="005F4212" w:rsidP="00587F1D">
            <w:pPr>
              <w:spacing w:after="0" w:line="240" w:lineRule="auto"/>
              <w:rPr>
                <w:rFonts w:ascii="Calibri" w:eastAsia="Times New Roman" w:hAnsi="Calibri" w:cs="Times New Roman"/>
                <w:color w:val="000000"/>
                <w:sz w:val="24"/>
                <w:szCs w:val="24"/>
                <w:lang w:eastAsia="en-NZ"/>
              </w:rPr>
            </w:pPr>
            <w:r w:rsidRPr="00B36E36">
              <w:rPr>
                <w:rFonts w:ascii="Calibri" w:eastAsia="Times New Roman" w:hAnsi="Calibri" w:cs="Times New Roman"/>
                <w:b/>
                <w:bCs/>
                <w:color w:val="000000"/>
                <w:sz w:val="24"/>
                <w:szCs w:val="24"/>
                <w:lang w:eastAsia="en-NZ"/>
              </w:rPr>
              <w:t>Provisional conversion to s20 – stock shortage</w:t>
            </w:r>
          </w:p>
        </w:tc>
        <w:tc>
          <w:tcPr>
            <w:tcW w:w="3164" w:type="dxa"/>
            <w:shd w:val="clear" w:color="auto" w:fill="auto"/>
            <w:noWrap/>
            <w:vAlign w:val="bottom"/>
          </w:tcPr>
          <w:p w14:paraId="2F81B188" w14:textId="77777777" w:rsidR="005F4212" w:rsidRPr="00B36E36" w:rsidRDefault="005F4212" w:rsidP="00587F1D">
            <w:pPr>
              <w:spacing w:after="0" w:line="240" w:lineRule="auto"/>
              <w:jc w:val="right"/>
              <w:rPr>
                <w:rFonts w:ascii="Calibri" w:eastAsia="Times New Roman" w:hAnsi="Calibri" w:cs="Times New Roman"/>
                <w:color w:val="000000"/>
                <w:sz w:val="24"/>
                <w:szCs w:val="24"/>
                <w:lang w:eastAsia="en-NZ"/>
              </w:rPr>
            </w:pPr>
            <w:r w:rsidRPr="00B36E36">
              <w:rPr>
                <w:rFonts w:ascii="Calibri" w:eastAsia="Times New Roman" w:hAnsi="Calibri" w:cs="Times New Roman"/>
                <w:b/>
                <w:bCs/>
                <w:color w:val="000000"/>
                <w:sz w:val="24"/>
                <w:szCs w:val="24"/>
                <w:lang w:eastAsia="en-NZ"/>
              </w:rPr>
              <w:t>-</w:t>
            </w:r>
          </w:p>
        </w:tc>
        <w:tc>
          <w:tcPr>
            <w:tcW w:w="3165" w:type="dxa"/>
            <w:shd w:val="clear" w:color="auto" w:fill="auto"/>
            <w:noWrap/>
            <w:vAlign w:val="bottom"/>
          </w:tcPr>
          <w:p w14:paraId="1D8488FF" w14:textId="77777777" w:rsidR="005F4212" w:rsidRPr="00B36E36" w:rsidRDefault="005F4212" w:rsidP="00587F1D">
            <w:pPr>
              <w:spacing w:after="0" w:line="240" w:lineRule="auto"/>
              <w:jc w:val="right"/>
              <w:rPr>
                <w:rFonts w:ascii="Calibri" w:eastAsia="Times New Roman" w:hAnsi="Calibri" w:cs="Times New Roman"/>
                <w:color w:val="000000"/>
                <w:sz w:val="24"/>
                <w:szCs w:val="24"/>
                <w:lang w:eastAsia="en-NZ"/>
              </w:rPr>
            </w:pPr>
            <w:r w:rsidRPr="00B36E36">
              <w:rPr>
                <w:rFonts w:ascii="Calibri" w:eastAsia="Times New Roman" w:hAnsi="Calibri" w:cs="Times New Roman"/>
                <w:b/>
                <w:bCs/>
                <w:color w:val="000000"/>
                <w:sz w:val="24"/>
                <w:szCs w:val="24"/>
                <w:lang w:eastAsia="en-NZ"/>
              </w:rPr>
              <w:t>63,902 (or 85,202 if NCE)</w:t>
            </w:r>
          </w:p>
        </w:tc>
      </w:tr>
      <w:tr w:rsidR="005F4212" w:rsidRPr="00B36E36" w14:paraId="74A63494" w14:textId="77777777" w:rsidTr="00ED306C">
        <w:trPr>
          <w:trHeight w:val="806"/>
        </w:trPr>
        <w:tc>
          <w:tcPr>
            <w:tcW w:w="3164" w:type="dxa"/>
            <w:shd w:val="clear" w:color="auto" w:fill="auto"/>
            <w:vAlign w:val="bottom"/>
          </w:tcPr>
          <w:p w14:paraId="0C3B2C40" w14:textId="77777777" w:rsidR="005F4212" w:rsidRPr="00B36E36" w:rsidRDefault="005F4212" w:rsidP="00587F1D">
            <w:pPr>
              <w:spacing w:after="0" w:line="240" w:lineRule="auto"/>
              <w:rPr>
                <w:rFonts w:ascii="Calibri" w:eastAsia="Times New Roman" w:hAnsi="Calibri" w:cs="Times New Roman"/>
                <w:color w:val="000000"/>
                <w:sz w:val="24"/>
                <w:szCs w:val="24"/>
                <w:lang w:eastAsia="en-NZ"/>
              </w:rPr>
            </w:pPr>
            <w:r w:rsidRPr="00B36E36">
              <w:rPr>
                <w:rFonts w:ascii="Calibri" w:eastAsia="Times New Roman" w:hAnsi="Calibri" w:cs="Times New Roman"/>
                <w:color w:val="000000"/>
                <w:sz w:val="24"/>
                <w:szCs w:val="24"/>
                <w:lang w:eastAsia="en-NZ"/>
              </w:rPr>
              <w:t xml:space="preserve">Application for renewal of provisional consent </w:t>
            </w:r>
          </w:p>
        </w:tc>
        <w:tc>
          <w:tcPr>
            <w:tcW w:w="3164" w:type="dxa"/>
            <w:shd w:val="clear" w:color="auto" w:fill="auto"/>
            <w:noWrap/>
            <w:vAlign w:val="bottom"/>
          </w:tcPr>
          <w:p w14:paraId="551D3EDC" w14:textId="77777777" w:rsidR="005F4212" w:rsidRPr="00B36E36" w:rsidRDefault="005F4212" w:rsidP="00587F1D">
            <w:pPr>
              <w:spacing w:after="0" w:line="240" w:lineRule="auto"/>
              <w:jc w:val="right"/>
              <w:rPr>
                <w:rFonts w:ascii="Calibri" w:eastAsia="Times New Roman" w:hAnsi="Calibri" w:cs="Times New Roman"/>
                <w:color w:val="000000"/>
                <w:sz w:val="24"/>
                <w:szCs w:val="24"/>
                <w:lang w:eastAsia="en-NZ"/>
              </w:rPr>
            </w:pPr>
            <w:r w:rsidRPr="00B36E36">
              <w:rPr>
                <w:rFonts w:ascii="Calibri" w:eastAsia="Times New Roman" w:hAnsi="Calibri" w:cs="Times New Roman"/>
                <w:color w:val="000000"/>
                <w:sz w:val="24"/>
                <w:szCs w:val="24"/>
                <w:lang w:eastAsia="en-NZ"/>
              </w:rPr>
              <w:t>500</w:t>
            </w:r>
          </w:p>
        </w:tc>
        <w:tc>
          <w:tcPr>
            <w:tcW w:w="3165" w:type="dxa"/>
            <w:shd w:val="clear" w:color="auto" w:fill="auto"/>
            <w:noWrap/>
            <w:vAlign w:val="bottom"/>
          </w:tcPr>
          <w:p w14:paraId="5E015852" w14:textId="77777777" w:rsidR="005F4212" w:rsidRPr="00B36E36" w:rsidRDefault="005F4212" w:rsidP="00587F1D">
            <w:pPr>
              <w:spacing w:after="0" w:line="240" w:lineRule="auto"/>
              <w:jc w:val="right"/>
              <w:rPr>
                <w:rFonts w:ascii="Calibri" w:eastAsia="Times New Roman" w:hAnsi="Calibri" w:cs="Times New Roman"/>
                <w:b/>
                <w:bCs/>
                <w:color w:val="000000"/>
                <w:sz w:val="24"/>
                <w:szCs w:val="24"/>
                <w:lang w:eastAsia="en-NZ"/>
              </w:rPr>
            </w:pPr>
            <w:r w:rsidRPr="00B36E36">
              <w:rPr>
                <w:rFonts w:ascii="Calibri" w:eastAsia="Times New Roman" w:hAnsi="Calibri" w:cs="Times New Roman"/>
                <w:b/>
                <w:bCs/>
                <w:color w:val="000000"/>
                <w:sz w:val="24"/>
                <w:szCs w:val="24"/>
                <w:lang w:eastAsia="en-NZ"/>
              </w:rPr>
              <w:t>27,957 (or 37,276 if NCE)</w:t>
            </w:r>
          </w:p>
        </w:tc>
      </w:tr>
    </w:tbl>
    <w:p w14:paraId="7BB3B410" w14:textId="2C9E78D4" w:rsidR="00673689" w:rsidRDefault="00673689" w:rsidP="003270C2">
      <w:pPr>
        <w:rPr>
          <w:sz w:val="24"/>
          <w:szCs w:val="24"/>
        </w:rPr>
      </w:pPr>
    </w:p>
    <w:p w14:paraId="35C399E4" w14:textId="4ADC29BA" w:rsidR="00715B7D" w:rsidRPr="00715B7D" w:rsidRDefault="005B5CB2">
      <w:pPr>
        <w:rPr>
          <w:sz w:val="24"/>
          <w:szCs w:val="24"/>
        </w:rPr>
      </w:pPr>
      <w:r w:rsidRPr="00715B7D">
        <w:rPr>
          <w:rFonts w:ascii="Segoe UI" w:hAnsi="Segoe UI" w:cs="Segoe UI"/>
          <w:b/>
          <w:color w:val="4472C4" w:themeColor="accent1"/>
          <w:sz w:val="32"/>
          <w:szCs w:val="32"/>
        </w:rPr>
        <w:t>Section 24(5) referrals</w:t>
      </w:r>
      <w:r w:rsidRPr="00715B7D">
        <w:rPr>
          <w:sz w:val="24"/>
          <w:szCs w:val="24"/>
        </w:rPr>
        <w:t xml:space="preserve"> </w:t>
      </w:r>
    </w:p>
    <w:p w14:paraId="139C0F9E" w14:textId="063ABFA5" w:rsidR="00F43090" w:rsidRPr="00F43090" w:rsidRDefault="00F43090">
      <w:pPr>
        <w:rPr>
          <w:b/>
          <w:color w:val="4472C4" w:themeColor="accent1"/>
          <w:sz w:val="24"/>
          <w:szCs w:val="24"/>
        </w:rPr>
      </w:pPr>
      <w:r>
        <w:rPr>
          <w:b/>
          <w:color w:val="4472C4" w:themeColor="accent1"/>
          <w:sz w:val="24"/>
          <w:szCs w:val="24"/>
        </w:rPr>
        <w:t>Rationale</w:t>
      </w:r>
    </w:p>
    <w:p w14:paraId="3B50A042" w14:textId="058EC96C" w:rsidR="009E674E" w:rsidRDefault="009E674E" w:rsidP="00767A27">
      <w:pPr>
        <w:rPr>
          <w:sz w:val="24"/>
          <w:szCs w:val="24"/>
        </w:rPr>
      </w:pPr>
      <w:r>
        <w:rPr>
          <w:sz w:val="24"/>
          <w:szCs w:val="24"/>
        </w:rPr>
        <w:t xml:space="preserve">The Medicines Act has a unique feature where the regulator can refer complex CMNs to be regarded as NMAs. This is done through section 24(5) of the Act when the CMN is sufficiently complex or number of changes means that. </w:t>
      </w:r>
    </w:p>
    <w:p w14:paraId="06BA25D8" w14:textId="67D43CD0" w:rsidR="00314BF6" w:rsidRDefault="00314BF6" w:rsidP="00767A27">
      <w:pPr>
        <w:rPr>
          <w:sz w:val="24"/>
          <w:szCs w:val="24"/>
        </w:rPr>
      </w:pPr>
      <w:r>
        <w:rPr>
          <w:sz w:val="24"/>
          <w:szCs w:val="24"/>
        </w:rPr>
        <w:t>There are two pathways for CMNs to be referred as s24(5)s:</w:t>
      </w:r>
    </w:p>
    <w:p w14:paraId="542DE99A" w14:textId="527B7D5D" w:rsidR="00314BF6" w:rsidRDefault="0032598B" w:rsidP="00314BF6">
      <w:pPr>
        <w:pStyle w:val="ListParagraph"/>
        <w:numPr>
          <w:ilvl w:val="0"/>
          <w:numId w:val="35"/>
        </w:numPr>
        <w:rPr>
          <w:sz w:val="24"/>
          <w:szCs w:val="24"/>
        </w:rPr>
      </w:pPr>
      <w:r>
        <w:rPr>
          <w:sz w:val="24"/>
          <w:szCs w:val="24"/>
        </w:rPr>
        <w:t>s24(5)(a): where it is reasonably clear either on receipt of the application or early in the evaluation process that the complexity of the CMN means that CMN timeframes would be unreasonable</w:t>
      </w:r>
      <w:r w:rsidR="004C13B6">
        <w:rPr>
          <w:sz w:val="24"/>
          <w:szCs w:val="24"/>
        </w:rPr>
        <w:t xml:space="preserve"> for both </w:t>
      </w:r>
      <w:proofErr w:type="spellStart"/>
      <w:r w:rsidR="004C13B6">
        <w:rPr>
          <w:sz w:val="24"/>
          <w:szCs w:val="24"/>
        </w:rPr>
        <w:t>Medsafe</w:t>
      </w:r>
      <w:proofErr w:type="spellEnd"/>
      <w:r w:rsidR="004C13B6">
        <w:rPr>
          <w:sz w:val="24"/>
          <w:szCs w:val="24"/>
        </w:rPr>
        <w:t xml:space="preserve"> and the sponsor</w:t>
      </w:r>
      <w:r>
        <w:rPr>
          <w:sz w:val="24"/>
          <w:szCs w:val="24"/>
        </w:rPr>
        <w:t xml:space="preserve">. </w:t>
      </w:r>
      <w:r w:rsidR="004C13B6">
        <w:rPr>
          <w:sz w:val="24"/>
          <w:szCs w:val="24"/>
        </w:rPr>
        <w:t>Examples include new indications, new API manufacturing processes, new biological medicine manufacturing changes, or a substantial number of changes to one product at one time.</w:t>
      </w:r>
    </w:p>
    <w:p w14:paraId="63B53399" w14:textId="6D3EFD53" w:rsidR="0032598B" w:rsidRPr="00314BF6" w:rsidRDefault="0032598B" w:rsidP="00314BF6">
      <w:pPr>
        <w:pStyle w:val="ListParagraph"/>
        <w:numPr>
          <w:ilvl w:val="0"/>
          <w:numId w:val="35"/>
        </w:numPr>
        <w:rPr>
          <w:sz w:val="24"/>
          <w:szCs w:val="24"/>
        </w:rPr>
      </w:pPr>
      <w:r>
        <w:rPr>
          <w:sz w:val="24"/>
          <w:szCs w:val="24"/>
        </w:rPr>
        <w:t>S24(5)(b): where referral is necessary because the evaluation cannot be completed within the statutory 90 days. This is usually caused by long response times to questions</w:t>
      </w:r>
      <w:r w:rsidR="004C13B6">
        <w:rPr>
          <w:sz w:val="24"/>
          <w:szCs w:val="24"/>
        </w:rPr>
        <w:t xml:space="preserve"> or complex responses</w:t>
      </w:r>
      <w:r>
        <w:rPr>
          <w:sz w:val="24"/>
          <w:szCs w:val="24"/>
        </w:rPr>
        <w:t xml:space="preserve">. </w:t>
      </w:r>
    </w:p>
    <w:p w14:paraId="2B754F7B" w14:textId="77777777" w:rsidR="004C13B6" w:rsidRDefault="005B5CB2" w:rsidP="004C13B6">
      <w:pPr>
        <w:rPr>
          <w:sz w:val="24"/>
          <w:szCs w:val="24"/>
        </w:rPr>
      </w:pPr>
      <w:r>
        <w:rPr>
          <w:sz w:val="24"/>
          <w:szCs w:val="24"/>
        </w:rPr>
        <w:lastRenderedPageBreak/>
        <w:t xml:space="preserve">Currently </w:t>
      </w:r>
      <w:r w:rsidR="009E674E">
        <w:rPr>
          <w:sz w:val="24"/>
          <w:szCs w:val="24"/>
        </w:rPr>
        <w:t>s</w:t>
      </w:r>
      <w:r>
        <w:rPr>
          <w:sz w:val="24"/>
          <w:szCs w:val="24"/>
        </w:rPr>
        <w:t>24</w:t>
      </w:r>
      <w:r w:rsidR="00273B2A">
        <w:rPr>
          <w:sz w:val="24"/>
          <w:szCs w:val="24"/>
        </w:rPr>
        <w:t>(5</w:t>
      </w:r>
      <w:r>
        <w:rPr>
          <w:sz w:val="24"/>
          <w:szCs w:val="24"/>
        </w:rPr>
        <w:t xml:space="preserve">) referrals </w:t>
      </w:r>
      <w:r w:rsidR="004C13B6">
        <w:rPr>
          <w:sz w:val="24"/>
          <w:szCs w:val="24"/>
        </w:rPr>
        <w:t>are</w:t>
      </w:r>
      <w:r w:rsidR="009E674E">
        <w:rPr>
          <w:sz w:val="24"/>
          <w:szCs w:val="24"/>
        </w:rPr>
        <w:t xml:space="preserve"> primarily</w:t>
      </w:r>
      <w:r>
        <w:rPr>
          <w:sz w:val="24"/>
          <w:szCs w:val="24"/>
        </w:rPr>
        <w:t xml:space="preserve"> treated as CMN</w:t>
      </w:r>
      <w:r w:rsidR="00E80103">
        <w:rPr>
          <w:sz w:val="24"/>
          <w:szCs w:val="24"/>
        </w:rPr>
        <w:t>s</w:t>
      </w:r>
      <w:r>
        <w:rPr>
          <w:sz w:val="24"/>
          <w:szCs w:val="24"/>
        </w:rPr>
        <w:t xml:space="preserve">, with a maximum fee of </w:t>
      </w:r>
      <w:r w:rsidR="00D6309F">
        <w:rPr>
          <w:sz w:val="24"/>
          <w:szCs w:val="24"/>
        </w:rPr>
        <w:t>equivalent to the relevant new medicine risk category</w:t>
      </w:r>
      <w:r w:rsidR="009E674E">
        <w:rPr>
          <w:sz w:val="24"/>
          <w:szCs w:val="24"/>
        </w:rPr>
        <w:t>, but with NMA timeframes</w:t>
      </w:r>
      <w:r>
        <w:rPr>
          <w:sz w:val="24"/>
          <w:szCs w:val="24"/>
        </w:rPr>
        <w:t xml:space="preserve">. </w:t>
      </w:r>
      <w:r w:rsidR="009E674E">
        <w:rPr>
          <w:sz w:val="24"/>
          <w:szCs w:val="24"/>
        </w:rPr>
        <w:t>However, u</w:t>
      </w:r>
      <w:r>
        <w:rPr>
          <w:sz w:val="24"/>
          <w:szCs w:val="24"/>
        </w:rPr>
        <w:t xml:space="preserve">nder the Medicines Act, CMNs that have been referred under </w:t>
      </w:r>
      <w:r w:rsidR="009E674E">
        <w:rPr>
          <w:sz w:val="24"/>
          <w:szCs w:val="24"/>
        </w:rPr>
        <w:t>s</w:t>
      </w:r>
      <w:r>
        <w:rPr>
          <w:sz w:val="24"/>
          <w:szCs w:val="24"/>
        </w:rPr>
        <w:t xml:space="preserve">24(5) are </w:t>
      </w:r>
      <w:r w:rsidR="004C13B6">
        <w:rPr>
          <w:sz w:val="24"/>
          <w:szCs w:val="24"/>
        </w:rPr>
        <w:t>legally</w:t>
      </w:r>
      <w:r>
        <w:rPr>
          <w:sz w:val="24"/>
          <w:szCs w:val="24"/>
        </w:rPr>
        <w:t xml:space="preserve"> new medicines. </w:t>
      </w:r>
      <w:r w:rsidR="004C13B6">
        <w:rPr>
          <w:sz w:val="24"/>
          <w:szCs w:val="24"/>
        </w:rPr>
        <w:t xml:space="preserve">Many of these changes </w:t>
      </w:r>
      <w:r w:rsidR="004C13B6" w:rsidRPr="00BF02D3">
        <w:rPr>
          <w:sz w:val="24"/>
          <w:szCs w:val="24"/>
        </w:rPr>
        <w:t xml:space="preserve">retain the regular CMN fee – maximum $3,200 per change. </w:t>
      </w:r>
    </w:p>
    <w:p w14:paraId="3034B291" w14:textId="0F3220D1" w:rsidR="005B5CB2" w:rsidRDefault="005B5CB2" w:rsidP="004C13B6">
      <w:pPr>
        <w:rPr>
          <w:sz w:val="24"/>
          <w:szCs w:val="24"/>
        </w:rPr>
      </w:pPr>
      <w:r>
        <w:rPr>
          <w:sz w:val="24"/>
          <w:szCs w:val="24"/>
        </w:rPr>
        <w:t xml:space="preserve">For </w:t>
      </w:r>
      <w:r w:rsidR="004C13B6">
        <w:rPr>
          <w:sz w:val="24"/>
          <w:szCs w:val="24"/>
        </w:rPr>
        <w:t>these</w:t>
      </w:r>
      <w:r>
        <w:rPr>
          <w:sz w:val="24"/>
          <w:szCs w:val="24"/>
        </w:rPr>
        <w:t xml:space="preserve"> complex changes, </w:t>
      </w:r>
      <w:r w:rsidR="004C13B6">
        <w:rPr>
          <w:sz w:val="24"/>
          <w:szCs w:val="24"/>
        </w:rPr>
        <w:t>evaluation</w:t>
      </w:r>
      <w:r>
        <w:rPr>
          <w:sz w:val="24"/>
          <w:szCs w:val="24"/>
        </w:rPr>
        <w:t xml:space="preserve"> involve</w:t>
      </w:r>
      <w:r w:rsidR="004C13B6">
        <w:rPr>
          <w:sz w:val="24"/>
          <w:szCs w:val="24"/>
        </w:rPr>
        <w:t>s</w:t>
      </w:r>
      <w:r>
        <w:rPr>
          <w:sz w:val="24"/>
          <w:szCs w:val="24"/>
        </w:rPr>
        <w:t xml:space="preserve"> specialist skills to evaluate the clinical information</w:t>
      </w:r>
      <w:r w:rsidR="004C13B6">
        <w:rPr>
          <w:sz w:val="24"/>
          <w:szCs w:val="24"/>
        </w:rPr>
        <w:t>,</w:t>
      </w:r>
      <w:r>
        <w:rPr>
          <w:sz w:val="24"/>
          <w:szCs w:val="24"/>
        </w:rPr>
        <w:t xml:space="preserve"> the Drug Master File</w:t>
      </w:r>
      <w:r w:rsidR="00276607">
        <w:rPr>
          <w:sz w:val="24"/>
          <w:szCs w:val="24"/>
        </w:rPr>
        <w:t xml:space="preserve"> or complex manufacturing changes</w:t>
      </w:r>
      <w:r w:rsidR="004C13B6">
        <w:rPr>
          <w:sz w:val="24"/>
          <w:szCs w:val="24"/>
        </w:rPr>
        <w:t>. The evaluation effort is significantly higher than the fee for these types of applications, which is reflected in the timeframe, but not the fee.</w:t>
      </w:r>
      <w:r w:rsidR="00BA4A86">
        <w:rPr>
          <w:sz w:val="24"/>
          <w:szCs w:val="24"/>
        </w:rPr>
        <w:t xml:space="preserve"> There are degrees of complexity even within these categories</w:t>
      </w:r>
      <w:r w:rsidR="00977D26">
        <w:rPr>
          <w:sz w:val="24"/>
          <w:szCs w:val="24"/>
        </w:rPr>
        <w:t>.</w:t>
      </w:r>
    </w:p>
    <w:p w14:paraId="6BCE78B0" w14:textId="01F1DB73" w:rsidR="00BA4A86" w:rsidRDefault="00BA4A86" w:rsidP="004C13B6">
      <w:pPr>
        <w:rPr>
          <w:sz w:val="24"/>
          <w:szCs w:val="24"/>
        </w:rPr>
      </w:pPr>
      <w:r>
        <w:rPr>
          <w:sz w:val="24"/>
          <w:szCs w:val="24"/>
        </w:rPr>
        <w:t xml:space="preserve">Industry has asked for more certainty </w:t>
      </w:r>
      <w:proofErr w:type="gramStart"/>
      <w:r>
        <w:rPr>
          <w:sz w:val="24"/>
          <w:szCs w:val="24"/>
        </w:rPr>
        <w:t>with regard to</w:t>
      </w:r>
      <w:proofErr w:type="gramEnd"/>
      <w:r>
        <w:rPr>
          <w:sz w:val="24"/>
          <w:szCs w:val="24"/>
        </w:rPr>
        <w:t xml:space="preserve"> s24(5) referrals. Currently, only some CMN categories are automatically referred (these </w:t>
      </w:r>
      <w:r w:rsidR="00232BDA" w:rsidRPr="00496733">
        <w:rPr>
          <w:sz w:val="24"/>
          <w:szCs w:val="24"/>
        </w:rPr>
        <w:t>are</w:t>
      </w:r>
      <w:r w:rsidRPr="00232BDA">
        <w:rPr>
          <w:color w:val="FF0000"/>
          <w:sz w:val="24"/>
          <w:szCs w:val="24"/>
        </w:rPr>
        <w:t xml:space="preserve"> </w:t>
      </w:r>
      <w:r>
        <w:rPr>
          <w:sz w:val="24"/>
          <w:szCs w:val="24"/>
        </w:rPr>
        <w:t xml:space="preserve">noted on the application form). Analysis has shown that complex API manufacturing changes are regularly referred during the early stages of evaluation and should probably be automatically referred </w:t>
      </w:r>
      <w:r w:rsidR="00DD028C">
        <w:rPr>
          <w:sz w:val="24"/>
          <w:szCs w:val="24"/>
        </w:rPr>
        <w:t>to improve</w:t>
      </w:r>
      <w:r>
        <w:rPr>
          <w:sz w:val="24"/>
          <w:szCs w:val="24"/>
        </w:rPr>
        <w:t xml:space="preserve"> certainty. </w:t>
      </w:r>
    </w:p>
    <w:p w14:paraId="0493C5D1" w14:textId="684E5F8D" w:rsidR="004C13B6" w:rsidRDefault="004C13B6" w:rsidP="004C13B6">
      <w:pPr>
        <w:rPr>
          <w:sz w:val="24"/>
          <w:szCs w:val="24"/>
        </w:rPr>
      </w:pPr>
      <w:r>
        <w:rPr>
          <w:sz w:val="24"/>
          <w:szCs w:val="24"/>
        </w:rPr>
        <w:t xml:space="preserve">There is also </w:t>
      </w:r>
      <w:r w:rsidR="00BA4A86">
        <w:rPr>
          <w:sz w:val="24"/>
          <w:szCs w:val="24"/>
        </w:rPr>
        <w:t>no current provision for an abbreviated pathway for s24(5) referred products. As NMAs have this pathway</w:t>
      </w:r>
      <w:r w:rsidR="004F45CA">
        <w:rPr>
          <w:sz w:val="24"/>
          <w:szCs w:val="24"/>
        </w:rPr>
        <w:t xml:space="preserve"> option</w:t>
      </w:r>
      <w:r w:rsidR="00BA4A86">
        <w:rPr>
          <w:sz w:val="24"/>
          <w:szCs w:val="24"/>
        </w:rPr>
        <w:t>, it is reasonable to extend this to those applications that will be automatically referred or where the sponsor considers a referral is likely.</w:t>
      </w:r>
    </w:p>
    <w:p w14:paraId="72C30CCE" w14:textId="77777777" w:rsidR="00767A27" w:rsidRPr="00F43090" w:rsidRDefault="00767A27" w:rsidP="00767A27">
      <w:pPr>
        <w:rPr>
          <w:b/>
          <w:color w:val="4472C4" w:themeColor="accent1"/>
          <w:sz w:val="24"/>
          <w:szCs w:val="24"/>
        </w:rPr>
      </w:pPr>
      <w:r w:rsidRPr="00F43090">
        <w:rPr>
          <w:b/>
          <w:color w:val="4472C4" w:themeColor="accent1"/>
          <w:sz w:val="24"/>
          <w:szCs w:val="24"/>
        </w:rPr>
        <w:t>Proposal</w:t>
      </w:r>
    </w:p>
    <w:p w14:paraId="65A0DF1E" w14:textId="1D4F523C" w:rsidR="00712FAA" w:rsidRDefault="00712FAA" w:rsidP="00767A27">
      <w:pPr>
        <w:rPr>
          <w:sz w:val="24"/>
          <w:szCs w:val="24"/>
        </w:rPr>
      </w:pPr>
      <w:r>
        <w:rPr>
          <w:sz w:val="24"/>
          <w:szCs w:val="24"/>
        </w:rPr>
        <w:t xml:space="preserve">To clearly identify </w:t>
      </w:r>
      <w:r w:rsidR="00280017">
        <w:rPr>
          <w:sz w:val="24"/>
          <w:szCs w:val="24"/>
        </w:rPr>
        <w:t xml:space="preserve">that </w:t>
      </w:r>
      <w:r>
        <w:rPr>
          <w:sz w:val="24"/>
          <w:szCs w:val="24"/>
        </w:rPr>
        <w:t>Indications Grade 1 – Grade</w:t>
      </w:r>
      <w:r w:rsidR="00280017">
        <w:rPr>
          <w:sz w:val="24"/>
          <w:szCs w:val="24"/>
        </w:rPr>
        <w:t xml:space="preserve"> </w:t>
      </w:r>
      <w:r>
        <w:rPr>
          <w:sz w:val="24"/>
          <w:szCs w:val="24"/>
        </w:rPr>
        <w:t xml:space="preserve">3 and API manufacturing process Grade </w:t>
      </w:r>
      <w:r w:rsidR="00280017">
        <w:rPr>
          <w:sz w:val="24"/>
          <w:szCs w:val="24"/>
        </w:rPr>
        <w:t xml:space="preserve">1 and </w:t>
      </w:r>
      <w:r>
        <w:rPr>
          <w:sz w:val="24"/>
          <w:szCs w:val="24"/>
        </w:rPr>
        <w:t>2 will be automatically referred through s24(5)(a).</w:t>
      </w:r>
    </w:p>
    <w:p w14:paraId="2049BE97" w14:textId="77777777" w:rsidR="00280017" w:rsidRDefault="00767A27" w:rsidP="00767A27">
      <w:pPr>
        <w:rPr>
          <w:sz w:val="24"/>
          <w:szCs w:val="24"/>
        </w:rPr>
      </w:pPr>
      <w:r>
        <w:rPr>
          <w:sz w:val="24"/>
          <w:szCs w:val="24"/>
        </w:rPr>
        <w:t>I</w:t>
      </w:r>
      <w:r w:rsidRPr="00BF02D3">
        <w:rPr>
          <w:sz w:val="24"/>
          <w:szCs w:val="24"/>
        </w:rPr>
        <w:t xml:space="preserve">ncrease the fees for </w:t>
      </w:r>
      <w:r w:rsidR="00712FAA">
        <w:rPr>
          <w:sz w:val="24"/>
          <w:szCs w:val="24"/>
        </w:rPr>
        <w:t>the</w:t>
      </w:r>
      <w:r w:rsidRPr="00BF02D3">
        <w:rPr>
          <w:sz w:val="24"/>
          <w:szCs w:val="24"/>
        </w:rPr>
        <w:t xml:space="preserve"> </w:t>
      </w:r>
      <w:r w:rsidR="00712FAA">
        <w:rPr>
          <w:sz w:val="24"/>
          <w:szCs w:val="24"/>
        </w:rPr>
        <w:t xml:space="preserve">automatically referred applications </w:t>
      </w:r>
      <w:r w:rsidRPr="00BF02D3">
        <w:rPr>
          <w:sz w:val="24"/>
          <w:szCs w:val="24"/>
        </w:rPr>
        <w:t>to be NMA</w:t>
      </w:r>
      <w:r w:rsidR="00712FAA">
        <w:rPr>
          <w:sz w:val="24"/>
          <w:szCs w:val="24"/>
        </w:rPr>
        <w:t xml:space="preserve"> fees and scale appropriately to the level of effort.</w:t>
      </w:r>
    </w:p>
    <w:tbl>
      <w:tblPr>
        <w:tblStyle w:val="TableGrid"/>
        <w:tblW w:w="9067" w:type="dxa"/>
        <w:tblLook w:val="04A0" w:firstRow="1" w:lastRow="0" w:firstColumn="1" w:lastColumn="0" w:noHBand="0" w:noVBand="1"/>
      </w:tblPr>
      <w:tblGrid>
        <w:gridCol w:w="4533"/>
        <w:gridCol w:w="4534"/>
      </w:tblGrid>
      <w:tr w:rsidR="00280017" w14:paraId="524019F3" w14:textId="77777777" w:rsidTr="00616049">
        <w:tc>
          <w:tcPr>
            <w:tcW w:w="4533" w:type="dxa"/>
          </w:tcPr>
          <w:p w14:paraId="1BECEBC1" w14:textId="77777777" w:rsidR="00280017" w:rsidRDefault="00280017" w:rsidP="00616049">
            <w:pPr>
              <w:rPr>
                <w:sz w:val="24"/>
                <w:szCs w:val="24"/>
              </w:rPr>
            </w:pPr>
            <w:bookmarkStart w:id="4" w:name="_Hlk53729429"/>
            <w:r>
              <w:rPr>
                <w:sz w:val="24"/>
                <w:szCs w:val="24"/>
              </w:rPr>
              <w:t>New indication</w:t>
            </w:r>
          </w:p>
        </w:tc>
        <w:tc>
          <w:tcPr>
            <w:tcW w:w="4534" w:type="dxa"/>
          </w:tcPr>
          <w:p w14:paraId="6B1CFDC3" w14:textId="28B15D7E" w:rsidR="00280017" w:rsidRDefault="00280017" w:rsidP="00616049">
            <w:pPr>
              <w:rPr>
                <w:sz w:val="24"/>
                <w:szCs w:val="24"/>
              </w:rPr>
            </w:pPr>
            <w:r>
              <w:rPr>
                <w:sz w:val="24"/>
                <w:szCs w:val="24"/>
              </w:rPr>
              <w:t xml:space="preserve">66% of </w:t>
            </w:r>
            <w:r w:rsidR="00B11C3A">
              <w:rPr>
                <w:sz w:val="24"/>
                <w:szCs w:val="24"/>
              </w:rPr>
              <w:t>risk category</w:t>
            </w:r>
          </w:p>
        </w:tc>
      </w:tr>
      <w:tr w:rsidR="00280017" w14:paraId="292C11CF" w14:textId="77777777" w:rsidTr="00616049">
        <w:tc>
          <w:tcPr>
            <w:tcW w:w="4533" w:type="dxa"/>
          </w:tcPr>
          <w:p w14:paraId="00305FB7" w14:textId="77777777" w:rsidR="00280017" w:rsidRDefault="00280017" w:rsidP="00616049">
            <w:pPr>
              <w:rPr>
                <w:sz w:val="24"/>
                <w:szCs w:val="24"/>
              </w:rPr>
            </w:pPr>
            <w:r>
              <w:rPr>
                <w:sz w:val="24"/>
                <w:szCs w:val="24"/>
              </w:rPr>
              <w:t xml:space="preserve">Extended indication </w:t>
            </w:r>
          </w:p>
        </w:tc>
        <w:tc>
          <w:tcPr>
            <w:tcW w:w="4534" w:type="dxa"/>
          </w:tcPr>
          <w:p w14:paraId="5AD49A30" w14:textId="7ACB1790" w:rsidR="00280017" w:rsidRDefault="00280017" w:rsidP="00616049">
            <w:pPr>
              <w:rPr>
                <w:sz w:val="24"/>
                <w:szCs w:val="24"/>
              </w:rPr>
            </w:pPr>
            <w:r>
              <w:rPr>
                <w:sz w:val="24"/>
                <w:szCs w:val="24"/>
              </w:rPr>
              <w:t xml:space="preserve">50% </w:t>
            </w:r>
            <w:r w:rsidR="004F45CA">
              <w:rPr>
                <w:sz w:val="24"/>
                <w:szCs w:val="24"/>
              </w:rPr>
              <w:t xml:space="preserve">of </w:t>
            </w:r>
            <w:r w:rsidR="00B11C3A">
              <w:rPr>
                <w:sz w:val="24"/>
                <w:szCs w:val="24"/>
              </w:rPr>
              <w:t>risk category</w:t>
            </w:r>
          </w:p>
        </w:tc>
      </w:tr>
      <w:tr w:rsidR="00280017" w:rsidRPr="00280017" w14:paraId="73BBCCC5" w14:textId="77777777" w:rsidTr="00616049">
        <w:tc>
          <w:tcPr>
            <w:tcW w:w="4533" w:type="dxa"/>
          </w:tcPr>
          <w:p w14:paraId="2A66BC63" w14:textId="0553E4F2" w:rsidR="00280017" w:rsidRPr="00280017" w:rsidRDefault="00280017" w:rsidP="00616049">
            <w:pPr>
              <w:rPr>
                <w:rFonts w:cstheme="minorHAnsi"/>
                <w:bCs/>
                <w:sz w:val="24"/>
                <w:szCs w:val="24"/>
              </w:rPr>
            </w:pPr>
            <w:r w:rsidRPr="00280017">
              <w:rPr>
                <w:rFonts w:cstheme="minorHAnsi"/>
                <w:bCs/>
                <w:sz w:val="24"/>
                <w:szCs w:val="24"/>
              </w:rPr>
              <w:t>Active ingredient manufacturing process Grades 1 and 2</w:t>
            </w:r>
          </w:p>
        </w:tc>
        <w:tc>
          <w:tcPr>
            <w:tcW w:w="4534" w:type="dxa"/>
          </w:tcPr>
          <w:p w14:paraId="4255E194" w14:textId="1A9432A7" w:rsidR="00280017" w:rsidRPr="00280017" w:rsidRDefault="00280017" w:rsidP="00616049">
            <w:pPr>
              <w:rPr>
                <w:rFonts w:cstheme="minorHAnsi"/>
                <w:sz w:val="24"/>
                <w:szCs w:val="24"/>
              </w:rPr>
            </w:pPr>
            <w:r w:rsidRPr="00280017">
              <w:rPr>
                <w:rFonts w:cstheme="minorHAnsi"/>
                <w:sz w:val="24"/>
                <w:szCs w:val="24"/>
              </w:rPr>
              <w:t xml:space="preserve">30% of </w:t>
            </w:r>
            <w:r w:rsidR="00B11C3A">
              <w:rPr>
                <w:sz w:val="24"/>
                <w:szCs w:val="24"/>
              </w:rPr>
              <w:t>risk category</w:t>
            </w:r>
          </w:p>
        </w:tc>
      </w:tr>
      <w:bookmarkEnd w:id="4"/>
    </w:tbl>
    <w:p w14:paraId="44E9DD9A" w14:textId="77777777" w:rsidR="00280017" w:rsidRDefault="00280017" w:rsidP="00767A27">
      <w:pPr>
        <w:rPr>
          <w:sz w:val="24"/>
          <w:szCs w:val="24"/>
        </w:rPr>
      </w:pPr>
    </w:p>
    <w:p w14:paraId="05CE19B0" w14:textId="268872B2" w:rsidR="00280017" w:rsidRDefault="00280017" w:rsidP="00280017">
      <w:pPr>
        <w:rPr>
          <w:sz w:val="24"/>
          <w:szCs w:val="24"/>
        </w:rPr>
      </w:pPr>
      <w:r w:rsidRPr="00280017">
        <w:rPr>
          <w:sz w:val="24"/>
          <w:szCs w:val="24"/>
        </w:rPr>
        <w:t xml:space="preserve">There is </w:t>
      </w:r>
      <w:r w:rsidRPr="00280017">
        <w:rPr>
          <w:b/>
          <w:bCs/>
          <w:sz w:val="24"/>
          <w:szCs w:val="24"/>
        </w:rPr>
        <w:t>no change</w:t>
      </w:r>
      <w:r w:rsidRPr="00280017">
        <w:rPr>
          <w:sz w:val="24"/>
          <w:szCs w:val="24"/>
        </w:rPr>
        <w:t xml:space="preserve"> to the fees for other S24(5)(a) referrals nor for S24(5)(b) referrals. </w:t>
      </w:r>
    </w:p>
    <w:p w14:paraId="40D05199" w14:textId="77777777" w:rsidR="004A1F17" w:rsidRDefault="004A1F17" w:rsidP="00022005">
      <w:pPr>
        <w:rPr>
          <w:rFonts w:cs="Arial"/>
          <w:b/>
          <w:color w:val="4472C4" w:themeColor="accent1"/>
          <w:sz w:val="28"/>
          <w:szCs w:val="28"/>
        </w:rPr>
      </w:pPr>
    </w:p>
    <w:p w14:paraId="25382C9B" w14:textId="5710F693" w:rsidR="00022005" w:rsidRDefault="00022005" w:rsidP="00022005">
      <w:pPr>
        <w:rPr>
          <w:rFonts w:cs="Arial"/>
          <w:b/>
          <w:color w:val="4472C4" w:themeColor="accent1"/>
          <w:sz w:val="28"/>
          <w:szCs w:val="28"/>
        </w:rPr>
      </w:pPr>
      <w:r w:rsidRPr="00F53C2A">
        <w:rPr>
          <w:rFonts w:cs="Arial"/>
          <w:b/>
          <w:color w:val="4472C4" w:themeColor="accent1"/>
          <w:sz w:val="28"/>
          <w:szCs w:val="28"/>
        </w:rPr>
        <w:t>Clinical trials changes</w:t>
      </w:r>
    </w:p>
    <w:p w14:paraId="1EF1B49B" w14:textId="40F1C80F" w:rsidR="004A03B8" w:rsidRDefault="00F75AFE" w:rsidP="004A03B8">
      <w:pPr>
        <w:spacing w:after="0" w:line="240" w:lineRule="auto"/>
        <w:rPr>
          <w:sz w:val="24"/>
          <w:szCs w:val="24"/>
        </w:rPr>
      </w:pPr>
      <w:r w:rsidRPr="00ED306C">
        <w:rPr>
          <w:sz w:val="24"/>
          <w:szCs w:val="24"/>
        </w:rPr>
        <w:t xml:space="preserve">Clinical trials </w:t>
      </w:r>
      <w:proofErr w:type="gramStart"/>
      <w:r w:rsidRPr="00ED306C">
        <w:rPr>
          <w:sz w:val="24"/>
          <w:szCs w:val="24"/>
        </w:rPr>
        <w:t>has</w:t>
      </w:r>
      <w:proofErr w:type="gramEnd"/>
      <w:r w:rsidRPr="00ED306C">
        <w:rPr>
          <w:sz w:val="24"/>
          <w:szCs w:val="24"/>
        </w:rPr>
        <w:t xml:space="preserve"> recorded an increasing level of applications in recent years. With efficiencies in dealing with the increased volume, the fees model results in a proposal for no change in the Clinical Trial fee</w:t>
      </w:r>
      <w:r w:rsidR="005F4212">
        <w:rPr>
          <w:sz w:val="24"/>
          <w:szCs w:val="24"/>
        </w:rPr>
        <w:t>, including that</w:t>
      </w:r>
      <w:r w:rsidR="003841D5">
        <w:rPr>
          <w:sz w:val="24"/>
          <w:szCs w:val="24"/>
        </w:rPr>
        <w:t xml:space="preserve"> no CPI is applied.</w:t>
      </w:r>
    </w:p>
    <w:p w14:paraId="3826A3BA" w14:textId="77777777" w:rsidR="003841D5" w:rsidRPr="003841D5" w:rsidRDefault="003841D5" w:rsidP="004A03B8">
      <w:pPr>
        <w:spacing w:after="0" w:line="240" w:lineRule="auto"/>
        <w:rPr>
          <w:rFonts w:eastAsia="Times New Roman"/>
          <w:sz w:val="24"/>
          <w:szCs w:val="24"/>
        </w:rPr>
      </w:pPr>
    </w:p>
    <w:p w14:paraId="59941536" w14:textId="14B714E8" w:rsidR="004A03B8" w:rsidRDefault="004A03B8" w:rsidP="004A03B8">
      <w:pPr>
        <w:spacing w:after="0" w:line="240" w:lineRule="auto"/>
        <w:rPr>
          <w:rFonts w:eastAsia="Times New Roman"/>
          <w:sz w:val="24"/>
          <w:szCs w:val="24"/>
        </w:rPr>
      </w:pPr>
      <w:r>
        <w:rPr>
          <w:rFonts w:eastAsia="Times New Roman"/>
          <w:sz w:val="24"/>
          <w:szCs w:val="24"/>
        </w:rPr>
        <w:t xml:space="preserve">However, two </w:t>
      </w:r>
      <w:r w:rsidR="00DD6A4E">
        <w:rPr>
          <w:rFonts w:eastAsia="Times New Roman"/>
          <w:sz w:val="24"/>
          <w:szCs w:val="24"/>
        </w:rPr>
        <w:t>changes</w:t>
      </w:r>
      <w:r>
        <w:rPr>
          <w:rFonts w:eastAsia="Times New Roman"/>
          <w:sz w:val="24"/>
          <w:szCs w:val="24"/>
        </w:rPr>
        <w:t xml:space="preserve"> are proposed. These are:</w:t>
      </w:r>
    </w:p>
    <w:p w14:paraId="2055FF3A" w14:textId="1B9A3C95" w:rsidR="004A03B8" w:rsidRDefault="005F4212" w:rsidP="004A03B8">
      <w:pPr>
        <w:pStyle w:val="ListParagraph"/>
        <w:numPr>
          <w:ilvl w:val="0"/>
          <w:numId w:val="33"/>
        </w:numPr>
        <w:spacing w:after="0" w:line="240" w:lineRule="auto"/>
        <w:rPr>
          <w:rFonts w:eastAsia="Times New Roman"/>
          <w:sz w:val="24"/>
          <w:szCs w:val="24"/>
        </w:rPr>
      </w:pPr>
      <w:r>
        <w:rPr>
          <w:rFonts w:eastAsia="Times New Roman"/>
          <w:sz w:val="24"/>
          <w:szCs w:val="24"/>
        </w:rPr>
        <w:t xml:space="preserve">to </w:t>
      </w:r>
      <w:r w:rsidR="004A03B8">
        <w:rPr>
          <w:rFonts w:eastAsia="Times New Roman"/>
          <w:sz w:val="24"/>
          <w:szCs w:val="24"/>
        </w:rPr>
        <w:t>formalise a new standard fee for an Investigator Led clinical trials. This is currently charged for b</w:t>
      </w:r>
      <w:r w:rsidR="00DD6A4E">
        <w:rPr>
          <w:rFonts w:eastAsia="Times New Roman"/>
          <w:sz w:val="24"/>
          <w:szCs w:val="24"/>
        </w:rPr>
        <w:t>ut is not set out in the Fees Schedule. This will not require any change to the Regulations.</w:t>
      </w:r>
    </w:p>
    <w:p w14:paraId="348C2352" w14:textId="00E71714" w:rsidR="00DD6A4E" w:rsidRPr="00DD6A4E" w:rsidRDefault="00DD6A4E" w:rsidP="00DD6A4E">
      <w:pPr>
        <w:pStyle w:val="ListParagraph"/>
        <w:numPr>
          <w:ilvl w:val="0"/>
          <w:numId w:val="33"/>
        </w:numPr>
        <w:rPr>
          <w:rFonts w:cstheme="minorHAnsi"/>
          <w:color w:val="000000"/>
          <w:sz w:val="24"/>
          <w:szCs w:val="24"/>
          <w:lang w:eastAsia="en-NZ"/>
        </w:rPr>
      </w:pPr>
      <w:r w:rsidRPr="00DD6A4E">
        <w:rPr>
          <w:rFonts w:cstheme="minorHAnsi"/>
          <w:color w:val="000000"/>
          <w:sz w:val="24"/>
          <w:szCs w:val="24"/>
          <w:lang w:eastAsia="en-NZ"/>
        </w:rPr>
        <w:lastRenderedPageBreak/>
        <w:t xml:space="preserve">a new fee </w:t>
      </w:r>
      <w:r>
        <w:rPr>
          <w:rFonts w:cstheme="minorHAnsi"/>
          <w:color w:val="000000"/>
          <w:sz w:val="24"/>
          <w:szCs w:val="24"/>
          <w:lang w:eastAsia="en-NZ"/>
        </w:rPr>
        <w:t xml:space="preserve">for </w:t>
      </w:r>
      <w:r w:rsidRPr="00DD6A4E">
        <w:rPr>
          <w:rFonts w:cstheme="minorHAnsi"/>
          <w:color w:val="000000"/>
          <w:sz w:val="24"/>
          <w:szCs w:val="24"/>
          <w:lang w:eastAsia="en-NZ"/>
        </w:rPr>
        <w:t>Clinical Trial Amendments (new site new investigator</w:t>
      </w:r>
      <w:r>
        <w:rPr>
          <w:rFonts w:cstheme="minorHAnsi"/>
          <w:color w:val="000000"/>
          <w:sz w:val="24"/>
          <w:szCs w:val="24"/>
          <w:lang w:eastAsia="en-NZ"/>
        </w:rPr>
        <w:t>).</w:t>
      </w:r>
      <w:r w:rsidRPr="00DD6A4E">
        <w:rPr>
          <w:rFonts w:cstheme="minorHAnsi"/>
          <w:color w:val="000000"/>
          <w:sz w:val="24"/>
          <w:szCs w:val="24"/>
          <w:lang w:eastAsia="en-NZ"/>
        </w:rPr>
        <w:t xml:space="preserve"> </w:t>
      </w:r>
      <w:proofErr w:type="spellStart"/>
      <w:r>
        <w:rPr>
          <w:rFonts w:cstheme="minorHAnsi"/>
          <w:color w:val="000000"/>
          <w:sz w:val="24"/>
          <w:szCs w:val="24"/>
          <w:lang w:eastAsia="en-NZ"/>
        </w:rPr>
        <w:t>Medsafe</w:t>
      </w:r>
      <w:proofErr w:type="spellEnd"/>
      <w:r w:rsidRPr="00DD6A4E">
        <w:rPr>
          <w:rFonts w:cstheme="minorHAnsi"/>
          <w:color w:val="000000"/>
          <w:sz w:val="24"/>
          <w:szCs w:val="24"/>
          <w:lang w:eastAsia="en-NZ"/>
        </w:rPr>
        <w:t xml:space="preserve"> </w:t>
      </w:r>
      <w:r w:rsidR="007057B6">
        <w:rPr>
          <w:rFonts w:cstheme="minorHAnsi"/>
          <w:color w:val="000000"/>
          <w:sz w:val="24"/>
          <w:szCs w:val="24"/>
          <w:lang w:eastAsia="en-NZ"/>
        </w:rPr>
        <w:t xml:space="preserve">undertakes some administrative activities </w:t>
      </w:r>
      <w:r w:rsidRPr="00DD6A4E">
        <w:rPr>
          <w:rFonts w:cstheme="minorHAnsi"/>
          <w:color w:val="000000"/>
          <w:sz w:val="24"/>
          <w:szCs w:val="24"/>
          <w:lang w:eastAsia="en-NZ"/>
        </w:rPr>
        <w:t xml:space="preserve">when a new trial is </w:t>
      </w:r>
      <w:r w:rsidRPr="007057B6">
        <w:rPr>
          <w:rFonts w:cstheme="minorHAnsi"/>
          <w:color w:val="000000"/>
          <w:sz w:val="24"/>
          <w:szCs w:val="24"/>
          <w:lang w:eastAsia="en-NZ"/>
        </w:rPr>
        <w:t xml:space="preserve">submitted to </w:t>
      </w:r>
      <w:r w:rsidR="007057B6" w:rsidRPr="007057B6">
        <w:rPr>
          <w:rFonts w:cstheme="minorHAnsi"/>
          <w:sz w:val="24"/>
          <w:szCs w:val="24"/>
          <w:lang w:eastAsia="en-NZ"/>
        </w:rPr>
        <w:t xml:space="preserve">the </w:t>
      </w:r>
      <w:r w:rsidR="007057B6" w:rsidRPr="007057B6">
        <w:rPr>
          <w:rFonts w:cstheme="minorHAnsi"/>
          <w:sz w:val="24"/>
          <w:szCs w:val="24"/>
          <w:shd w:val="clear" w:color="auto" w:fill="FFFFFF"/>
        </w:rPr>
        <w:t xml:space="preserve">Health Research Council's Standing Committee on </w:t>
      </w:r>
      <w:r w:rsidR="007057B6" w:rsidRPr="007057B6">
        <w:rPr>
          <w:rStyle w:val="Emphasis"/>
          <w:rFonts w:cstheme="minorHAnsi"/>
          <w:i w:val="0"/>
          <w:iCs w:val="0"/>
          <w:sz w:val="24"/>
          <w:szCs w:val="24"/>
          <w:shd w:val="clear" w:color="auto" w:fill="FFFFFF"/>
        </w:rPr>
        <w:t>Therapeutic Trials</w:t>
      </w:r>
      <w:r w:rsidR="007057B6" w:rsidRPr="007057B6">
        <w:rPr>
          <w:rFonts w:cstheme="minorHAnsi"/>
          <w:sz w:val="24"/>
          <w:szCs w:val="24"/>
          <w:shd w:val="clear" w:color="auto" w:fill="FFFFFF"/>
        </w:rPr>
        <w:t xml:space="preserve"> (</w:t>
      </w:r>
      <w:r w:rsidR="007057B6" w:rsidRPr="007057B6">
        <w:rPr>
          <w:rStyle w:val="Emphasis"/>
          <w:rFonts w:cstheme="minorHAnsi"/>
          <w:i w:val="0"/>
          <w:iCs w:val="0"/>
          <w:sz w:val="24"/>
          <w:szCs w:val="24"/>
          <w:shd w:val="clear" w:color="auto" w:fill="FFFFFF"/>
        </w:rPr>
        <w:t>SCOTT</w:t>
      </w:r>
      <w:r w:rsidR="007057B6" w:rsidRPr="007057B6">
        <w:rPr>
          <w:rFonts w:cstheme="minorHAnsi"/>
          <w:sz w:val="24"/>
          <w:szCs w:val="24"/>
          <w:shd w:val="clear" w:color="auto" w:fill="FFFFFF"/>
        </w:rPr>
        <w:t>)</w:t>
      </w:r>
      <w:r w:rsidR="007057B6">
        <w:rPr>
          <w:rFonts w:cstheme="minorHAnsi"/>
          <w:sz w:val="24"/>
          <w:szCs w:val="24"/>
          <w:shd w:val="clear" w:color="auto" w:fill="FFFFFF"/>
        </w:rPr>
        <w:t xml:space="preserve"> </w:t>
      </w:r>
      <w:r w:rsidRPr="00DD6A4E">
        <w:rPr>
          <w:rFonts w:cstheme="minorHAnsi"/>
          <w:color w:val="000000"/>
          <w:sz w:val="24"/>
          <w:szCs w:val="24"/>
          <w:lang w:eastAsia="en-NZ"/>
        </w:rPr>
        <w:t xml:space="preserve">for approval, so </w:t>
      </w:r>
      <w:r>
        <w:rPr>
          <w:rFonts w:cstheme="minorHAnsi"/>
          <w:color w:val="000000"/>
          <w:sz w:val="24"/>
          <w:szCs w:val="24"/>
          <w:lang w:eastAsia="en-NZ"/>
        </w:rPr>
        <w:t>it is appropriate for a</w:t>
      </w:r>
      <w:r w:rsidR="007057B6">
        <w:rPr>
          <w:rFonts w:cstheme="minorHAnsi"/>
          <w:color w:val="000000"/>
          <w:sz w:val="24"/>
          <w:szCs w:val="24"/>
          <w:lang w:eastAsia="en-NZ"/>
        </w:rPr>
        <w:t>n administrative</w:t>
      </w:r>
      <w:r>
        <w:rPr>
          <w:rFonts w:cstheme="minorHAnsi"/>
          <w:color w:val="000000"/>
          <w:sz w:val="24"/>
          <w:szCs w:val="24"/>
          <w:lang w:eastAsia="en-NZ"/>
        </w:rPr>
        <w:t xml:space="preserve"> fee to be charged. It is proposed that this fee is </w:t>
      </w:r>
      <w:r w:rsidR="007057B6">
        <w:rPr>
          <w:rFonts w:cstheme="minorHAnsi"/>
          <w:color w:val="000000"/>
          <w:sz w:val="24"/>
          <w:szCs w:val="24"/>
          <w:lang w:eastAsia="en-NZ"/>
        </w:rPr>
        <w:t xml:space="preserve">the standard </w:t>
      </w:r>
      <w:proofErr w:type="spellStart"/>
      <w:r w:rsidR="007057B6">
        <w:rPr>
          <w:rFonts w:cstheme="minorHAnsi"/>
          <w:color w:val="000000"/>
          <w:sz w:val="24"/>
          <w:szCs w:val="24"/>
          <w:lang w:eastAsia="en-NZ"/>
        </w:rPr>
        <w:t>Medsafe</w:t>
      </w:r>
      <w:proofErr w:type="spellEnd"/>
      <w:r w:rsidR="007057B6">
        <w:rPr>
          <w:rFonts w:cstheme="minorHAnsi"/>
          <w:color w:val="000000"/>
          <w:sz w:val="24"/>
          <w:szCs w:val="24"/>
          <w:lang w:eastAsia="en-NZ"/>
        </w:rPr>
        <w:t xml:space="preserve"> administrative fee ($423)</w:t>
      </w:r>
      <w:r w:rsidRPr="00DD6A4E">
        <w:rPr>
          <w:rFonts w:cstheme="minorHAnsi"/>
          <w:color w:val="000000"/>
          <w:sz w:val="24"/>
          <w:szCs w:val="24"/>
          <w:lang w:eastAsia="en-NZ"/>
        </w:rPr>
        <w:t>.</w:t>
      </w:r>
    </w:p>
    <w:p w14:paraId="2BBA4D67" w14:textId="0752606C" w:rsidR="00022005" w:rsidRDefault="00022005">
      <w:pPr>
        <w:rPr>
          <w:sz w:val="24"/>
          <w:szCs w:val="24"/>
        </w:rPr>
      </w:pPr>
    </w:p>
    <w:p w14:paraId="707A3DDF" w14:textId="77777777" w:rsidR="00F75AFE" w:rsidRDefault="00F75AFE" w:rsidP="00F75AFE">
      <w:pPr>
        <w:rPr>
          <w:rFonts w:ascii="Segoe UI" w:hAnsi="Segoe UI" w:cs="Segoe UI"/>
          <w:b/>
          <w:color w:val="4472C4" w:themeColor="accent1"/>
          <w:sz w:val="24"/>
          <w:szCs w:val="24"/>
        </w:rPr>
      </w:pPr>
      <w:r>
        <w:rPr>
          <w:rFonts w:ascii="Segoe UI" w:hAnsi="Segoe UI" w:cs="Segoe UI"/>
          <w:b/>
          <w:color w:val="4472C4" w:themeColor="accent1"/>
          <w:sz w:val="24"/>
          <w:szCs w:val="24"/>
        </w:rPr>
        <w:t>Benchmarking of Intermediate risk non-prescription medicine</w:t>
      </w:r>
    </w:p>
    <w:p w14:paraId="1CA47EF0" w14:textId="0712DB67" w:rsidR="00F75AFE" w:rsidRDefault="00F75AFE" w:rsidP="00F75AFE">
      <w:pPr>
        <w:rPr>
          <w:rFonts w:cstheme="minorHAnsi"/>
          <w:bCs/>
          <w:sz w:val="24"/>
          <w:szCs w:val="24"/>
        </w:rPr>
      </w:pPr>
      <w:r>
        <w:rPr>
          <w:rFonts w:cstheme="minorHAnsi"/>
          <w:bCs/>
          <w:sz w:val="24"/>
          <w:szCs w:val="24"/>
        </w:rPr>
        <w:t xml:space="preserve">Benchmarking is also applied to intermediate risk non-prescription medicine NMAs. These are products that have a general sale classification but are usually used in a clinical setting, such as intravenous electrolyte solutions. Generally, the substances involved are low </w:t>
      </w:r>
      <w:proofErr w:type="gramStart"/>
      <w:r>
        <w:rPr>
          <w:rFonts w:cstheme="minorHAnsi"/>
          <w:bCs/>
          <w:sz w:val="24"/>
          <w:szCs w:val="24"/>
        </w:rPr>
        <w:t>risk</w:t>
      </w:r>
      <w:proofErr w:type="gramEnd"/>
      <w:r>
        <w:rPr>
          <w:rFonts w:cstheme="minorHAnsi"/>
          <w:bCs/>
          <w:sz w:val="24"/>
          <w:szCs w:val="24"/>
        </w:rPr>
        <w:t xml:space="preserve"> but the administration or delivery is of intermediate risk. </w:t>
      </w:r>
    </w:p>
    <w:p w14:paraId="6DA67874" w14:textId="77777777" w:rsidR="00F75AFE" w:rsidRDefault="00F75AFE" w:rsidP="00F75AFE">
      <w:pPr>
        <w:rPr>
          <w:rFonts w:cstheme="minorHAnsi"/>
          <w:bCs/>
          <w:sz w:val="24"/>
          <w:szCs w:val="24"/>
        </w:rPr>
      </w:pPr>
      <w:r>
        <w:rPr>
          <w:rFonts w:cstheme="minorHAnsi"/>
          <w:bCs/>
          <w:sz w:val="24"/>
          <w:szCs w:val="24"/>
        </w:rPr>
        <w:t>The proposal is to have this fee adjusted to be 25% of NCE effort (or 50% of an intermediate risk product).</w:t>
      </w:r>
    </w:p>
    <w:p w14:paraId="2667EDFB" w14:textId="77777777" w:rsidR="00F75AFE" w:rsidRDefault="00F75AFE" w:rsidP="00F75AFE">
      <w:pPr>
        <w:rPr>
          <w:rFonts w:cstheme="minorHAnsi"/>
          <w:bCs/>
          <w:sz w:val="24"/>
          <w:szCs w:val="24"/>
        </w:rPr>
      </w:pPr>
      <w:r>
        <w:rPr>
          <w:rFonts w:cstheme="minorHAnsi"/>
          <w:bCs/>
          <w:sz w:val="24"/>
          <w:szCs w:val="24"/>
        </w:rPr>
        <w:t>This change has very little impact on fee payers as there have been no new applications for the last 4 years, and prior to that an average of one application a year.</w:t>
      </w:r>
    </w:p>
    <w:p w14:paraId="7E49CE3F" w14:textId="77777777" w:rsidR="00F75AFE" w:rsidRDefault="00F75AFE">
      <w:pPr>
        <w:rPr>
          <w:sz w:val="24"/>
          <w:szCs w:val="24"/>
        </w:rPr>
      </w:pPr>
    </w:p>
    <w:p w14:paraId="1365E058" w14:textId="3CB51EA3" w:rsidR="00673689" w:rsidRPr="00791212" w:rsidRDefault="005F4212" w:rsidP="00673689">
      <w:pPr>
        <w:rPr>
          <w:b/>
          <w:color w:val="4472C4" w:themeColor="accent1"/>
          <w:sz w:val="28"/>
          <w:szCs w:val="28"/>
        </w:rPr>
      </w:pPr>
      <w:bookmarkStart w:id="5" w:name="_Hlk53126202"/>
      <w:r>
        <w:rPr>
          <w:b/>
          <w:color w:val="4472C4" w:themeColor="accent1"/>
          <w:sz w:val="28"/>
          <w:szCs w:val="28"/>
        </w:rPr>
        <w:t>Summary of changes</w:t>
      </w:r>
    </w:p>
    <w:p w14:paraId="465C562D" w14:textId="7E9F3B87" w:rsidR="00673689" w:rsidRDefault="005047C4" w:rsidP="00673689">
      <w:pPr>
        <w:rPr>
          <w:sz w:val="24"/>
          <w:szCs w:val="24"/>
        </w:rPr>
      </w:pPr>
      <w:bookmarkStart w:id="6" w:name="_Hlk53052175"/>
      <w:bookmarkStart w:id="7" w:name="_Hlk53729384"/>
      <w:r>
        <w:rPr>
          <w:sz w:val="24"/>
          <w:szCs w:val="24"/>
        </w:rPr>
        <w:t>This table provides an overview of the proposals, t</w:t>
      </w:r>
      <w:r w:rsidR="00673689">
        <w:rPr>
          <w:sz w:val="24"/>
          <w:szCs w:val="24"/>
        </w:rPr>
        <w:t xml:space="preserve">aking </w:t>
      </w:r>
      <w:r>
        <w:rPr>
          <w:sz w:val="24"/>
          <w:szCs w:val="24"/>
        </w:rPr>
        <w:t>the existing</w:t>
      </w:r>
      <w:r w:rsidR="00673689">
        <w:rPr>
          <w:sz w:val="24"/>
          <w:szCs w:val="24"/>
        </w:rPr>
        <w:t xml:space="preserve"> NCE application</w:t>
      </w:r>
      <w:r>
        <w:rPr>
          <w:sz w:val="24"/>
          <w:szCs w:val="24"/>
        </w:rPr>
        <w:t xml:space="preserve"> fee</w:t>
      </w:r>
      <w:r w:rsidR="00673689">
        <w:rPr>
          <w:sz w:val="24"/>
          <w:szCs w:val="24"/>
        </w:rPr>
        <w:t xml:space="preserve"> as 100%. The percentages below are the maximums.</w:t>
      </w:r>
    </w:p>
    <w:tbl>
      <w:tblPr>
        <w:tblStyle w:val="TableGrid"/>
        <w:tblW w:w="9351" w:type="dxa"/>
        <w:tblLayout w:type="fixed"/>
        <w:tblLook w:val="04A0" w:firstRow="1" w:lastRow="0" w:firstColumn="1" w:lastColumn="0" w:noHBand="0" w:noVBand="1"/>
      </w:tblPr>
      <w:tblGrid>
        <w:gridCol w:w="3117"/>
        <w:gridCol w:w="3117"/>
        <w:gridCol w:w="3117"/>
      </w:tblGrid>
      <w:tr w:rsidR="00496733" w:rsidRPr="00496733" w14:paraId="12EBB828" w14:textId="77777777" w:rsidTr="00B36E36">
        <w:tc>
          <w:tcPr>
            <w:tcW w:w="9351" w:type="dxa"/>
            <w:gridSpan w:val="3"/>
          </w:tcPr>
          <w:p w14:paraId="06234A72" w14:textId="547DFC9D" w:rsidR="00B36E36" w:rsidRPr="00496733" w:rsidRDefault="00B36E36" w:rsidP="00B36E36">
            <w:pPr>
              <w:jc w:val="center"/>
              <w:rPr>
                <w:rFonts w:cstheme="minorHAnsi"/>
                <w:b/>
                <w:color w:val="4472C4" w:themeColor="accent1"/>
                <w:sz w:val="24"/>
                <w:szCs w:val="24"/>
              </w:rPr>
            </w:pPr>
            <w:r w:rsidRPr="00496733">
              <w:rPr>
                <w:rFonts w:cstheme="minorHAnsi"/>
                <w:b/>
                <w:color w:val="4472C4" w:themeColor="accent1"/>
                <w:sz w:val="24"/>
                <w:szCs w:val="24"/>
              </w:rPr>
              <w:t>Table 5: Overview of the proposals</w:t>
            </w:r>
          </w:p>
        </w:tc>
      </w:tr>
      <w:tr w:rsidR="00673689" w:rsidRPr="00496733" w14:paraId="557FD84B" w14:textId="77777777" w:rsidTr="00673689">
        <w:tc>
          <w:tcPr>
            <w:tcW w:w="3117" w:type="dxa"/>
          </w:tcPr>
          <w:p w14:paraId="5F62DDC1" w14:textId="26DC8504" w:rsidR="00673689" w:rsidRPr="00496733" w:rsidRDefault="00673689" w:rsidP="005047C4">
            <w:pPr>
              <w:rPr>
                <w:rFonts w:cstheme="minorHAnsi"/>
                <w:bCs/>
                <w:sz w:val="24"/>
                <w:szCs w:val="24"/>
              </w:rPr>
            </w:pPr>
          </w:p>
        </w:tc>
        <w:tc>
          <w:tcPr>
            <w:tcW w:w="3117" w:type="dxa"/>
          </w:tcPr>
          <w:p w14:paraId="6EE2140B" w14:textId="77777777" w:rsidR="00673689" w:rsidRPr="00496733" w:rsidRDefault="00673689" w:rsidP="005047C4">
            <w:pPr>
              <w:rPr>
                <w:rFonts w:cstheme="minorHAnsi"/>
                <w:bCs/>
                <w:sz w:val="24"/>
                <w:szCs w:val="24"/>
              </w:rPr>
            </w:pPr>
            <w:r w:rsidRPr="00496733">
              <w:rPr>
                <w:rFonts w:cstheme="minorHAnsi"/>
                <w:bCs/>
                <w:sz w:val="24"/>
                <w:szCs w:val="24"/>
              </w:rPr>
              <w:t>Percentage from NCE base point</w:t>
            </w:r>
          </w:p>
        </w:tc>
        <w:tc>
          <w:tcPr>
            <w:tcW w:w="3117" w:type="dxa"/>
          </w:tcPr>
          <w:p w14:paraId="3FAD33F8" w14:textId="77777777" w:rsidR="00673689" w:rsidRPr="00496733" w:rsidRDefault="00673689" w:rsidP="005047C4">
            <w:pPr>
              <w:rPr>
                <w:rFonts w:cstheme="minorHAnsi"/>
                <w:bCs/>
                <w:sz w:val="24"/>
                <w:szCs w:val="24"/>
              </w:rPr>
            </w:pPr>
            <w:r w:rsidRPr="00496733">
              <w:rPr>
                <w:rFonts w:cstheme="minorHAnsi"/>
                <w:bCs/>
                <w:sz w:val="24"/>
                <w:szCs w:val="24"/>
              </w:rPr>
              <w:t>Comments</w:t>
            </w:r>
          </w:p>
        </w:tc>
      </w:tr>
      <w:tr w:rsidR="00673689" w:rsidRPr="00496733" w14:paraId="26B1EB6E" w14:textId="77777777" w:rsidTr="00673689">
        <w:tc>
          <w:tcPr>
            <w:tcW w:w="3117" w:type="dxa"/>
          </w:tcPr>
          <w:p w14:paraId="249993E2" w14:textId="77777777" w:rsidR="00673689" w:rsidRPr="00496733" w:rsidRDefault="00673689" w:rsidP="005047C4">
            <w:pPr>
              <w:rPr>
                <w:rFonts w:cstheme="minorHAnsi"/>
                <w:b/>
                <w:sz w:val="24"/>
                <w:szCs w:val="24"/>
              </w:rPr>
            </w:pPr>
            <w:r w:rsidRPr="00496733">
              <w:rPr>
                <w:rFonts w:cstheme="minorHAnsi"/>
                <w:b/>
                <w:sz w:val="24"/>
                <w:szCs w:val="24"/>
              </w:rPr>
              <w:t>NCE</w:t>
            </w:r>
          </w:p>
        </w:tc>
        <w:tc>
          <w:tcPr>
            <w:tcW w:w="3117" w:type="dxa"/>
          </w:tcPr>
          <w:p w14:paraId="32CB0863" w14:textId="77777777" w:rsidR="00673689" w:rsidRPr="00496733" w:rsidRDefault="00673689" w:rsidP="005047C4">
            <w:pPr>
              <w:rPr>
                <w:rFonts w:cstheme="minorHAnsi"/>
                <w:sz w:val="24"/>
                <w:szCs w:val="24"/>
              </w:rPr>
            </w:pPr>
            <w:r w:rsidRPr="00496733">
              <w:rPr>
                <w:rFonts w:cstheme="minorHAnsi"/>
                <w:sz w:val="24"/>
                <w:szCs w:val="24"/>
              </w:rPr>
              <w:t>100%</w:t>
            </w:r>
          </w:p>
        </w:tc>
        <w:tc>
          <w:tcPr>
            <w:tcW w:w="3117" w:type="dxa"/>
          </w:tcPr>
          <w:p w14:paraId="7039D146" w14:textId="3971709C"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xml:space="preserve"> other than CPI increase</w:t>
            </w:r>
          </w:p>
        </w:tc>
      </w:tr>
      <w:tr w:rsidR="00673689" w:rsidRPr="00496733" w14:paraId="7948EB7F" w14:textId="77777777" w:rsidTr="00673689">
        <w:tc>
          <w:tcPr>
            <w:tcW w:w="3117" w:type="dxa"/>
          </w:tcPr>
          <w:p w14:paraId="12A1AF1C" w14:textId="77777777" w:rsidR="00673689" w:rsidRPr="00496733" w:rsidRDefault="00673689" w:rsidP="005047C4">
            <w:pPr>
              <w:rPr>
                <w:rFonts w:cstheme="minorHAnsi"/>
                <w:b/>
                <w:sz w:val="24"/>
                <w:szCs w:val="24"/>
              </w:rPr>
            </w:pPr>
            <w:r w:rsidRPr="00496733">
              <w:rPr>
                <w:rFonts w:cstheme="minorHAnsi"/>
                <w:b/>
                <w:sz w:val="24"/>
                <w:szCs w:val="24"/>
              </w:rPr>
              <w:t>Other high risk, which now includes biosimilars</w:t>
            </w:r>
          </w:p>
          <w:p w14:paraId="5FC777F9" w14:textId="77777777" w:rsidR="00673689" w:rsidRPr="00496733" w:rsidRDefault="00673689" w:rsidP="005047C4">
            <w:pPr>
              <w:rPr>
                <w:rFonts w:cstheme="minorHAnsi"/>
                <w:b/>
                <w:sz w:val="24"/>
                <w:szCs w:val="24"/>
              </w:rPr>
            </w:pPr>
          </w:p>
        </w:tc>
        <w:tc>
          <w:tcPr>
            <w:tcW w:w="3117" w:type="dxa"/>
          </w:tcPr>
          <w:p w14:paraId="02526B25" w14:textId="77777777" w:rsidR="00673689" w:rsidRPr="00496733" w:rsidRDefault="00673689" w:rsidP="005047C4">
            <w:pPr>
              <w:rPr>
                <w:rFonts w:cstheme="minorHAnsi"/>
                <w:sz w:val="24"/>
                <w:szCs w:val="24"/>
              </w:rPr>
            </w:pPr>
            <w:r w:rsidRPr="00496733">
              <w:rPr>
                <w:rFonts w:cstheme="minorHAnsi"/>
                <w:sz w:val="24"/>
                <w:szCs w:val="24"/>
              </w:rPr>
              <w:t>75%</w:t>
            </w:r>
          </w:p>
        </w:tc>
        <w:tc>
          <w:tcPr>
            <w:tcW w:w="3117" w:type="dxa"/>
          </w:tcPr>
          <w:p w14:paraId="4FD11CE7" w14:textId="77777777" w:rsidR="00673689" w:rsidRPr="00496733" w:rsidRDefault="00673689" w:rsidP="005047C4">
            <w:pPr>
              <w:rPr>
                <w:rFonts w:cstheme="minorHAnsi"/>
                <w:sz w:val="24"/>
                <w:szCs w:val="24"/>
              </w:rPr>
            </w:pPr>
            <w:r w:rsidRPr="00496733">
              <w:rPr>
                <w:rFonts w:cstheme="minorHAnsi"/>
                <w:sz w:val="24"/>
                <w:szCs w:val="24"/>
              </w:rPr>
              <w:t>Adjusted so it is benchmarked appropriately</w:t>
            </w:r>
          </w:p>
        </w:tc>
      </w:tr>
      <w:tr w:rsidR="00673689" w:rsidRPr="00496733" w14:paraId="25736C27" w14:textId="77777777" w:rsidTr="00673689">
        <w:tc>
          <w:tcPr>
            <w:tcW w:w="3117" w:type="dxa"/>
          </w:tcPr>
          <w:p w14:paraId="7D7F66F6" w14:textId="6F486B05" w:rsidR="00673689" w:rsidRPr="00496733" w:rsidRDefault="00673689" w:rsidP="005047C4">
            <w:pPr>
              <w:rPr>
                <w:rFonts w:cstheme="minorHAnsi"/>
                <w:b/>
                <w:sz w:val="24"/>
                <w:szCs w:val="24"/>
              </w:rPr>
            </w:pPr>
            <w:bookmarkStart w:id="8" w:name="_Hlk53052079"/>
            <w:r w:rsidRPr="00496733">
              <w:rPr>
                <w:rFonts w:cstheme="minorHAnsi"/>
                <w:b/>
                <w:sz w:val="24"/>
                <w:szCs w:val="24"/>
              </w:rPr>
              <w:t>New fixed dose combination of approved APIs (e.g. innovator + 2 new API, or other company novel combination)</w:t>
            </w:r>
            <w:bookmarkEnd w:id="8"/>
            <w:r w:rsidRPr="00496733">
              <w:rPr>
                <w:rFonts w:cstheme="minorHAnsi"/>
                <w:b/>
                <w:sz w:val="24"/>
                <w:szCs w:val="24"/>
              </w:rPr>
              <w:t xml:space="preserve"> </w:t>
            </w:r>
          </w:p>
        </w:tc>
        <w:tc>
          <w:tcPr>
            <w:tcW w:w="3117" w:type="dxa"/>
          </w:tcPr>
          <w:p w14:paraId="1B9DE714" w14:textId="77777777" w:rsidR="00673689" w:rsidRPr="00496733" w:rsidRDefault="00673689" w:rsidP="005047C4">
            <w:pPr>
              <w:rPr>
                <w:rFonts w:cstheme="minorHAnsi"/>
                <w:sz w:val="24"/>
                <w:szCs w:val="24"/>
              </w:rPr>
            </w:pPr>
            <w:r w:rsidRPr="00496733">
              <w:rPr>
                <w:rFonts w:cstheme="minorHAnsi"/>
                <w:sz w:val="24"/>
                <w:szCs w:val="24"/>
              </w:rPr>
              <w:t>66%</w:t>
            </w:r>
          </w:p>
        </w:tc>
        <w:tc>
          <w:tcPr>
            <w:tcW w:w="3117" w:type="dxa"/>
          </w:tcPr>
          <w:p w14:paraId="6A06832D" w14:textId="77777777" w:rsidR="00673689" w:rsidRPr="00496733" w:rsidRDefault="00673689" w:rsidP="005047C4">
            <w:pPr>
              <w:rPr>
                <w:rFonts w:cstheme="minorHAnsi"/>
                <w:sz w:val="24"/>
                <w:szCs w:val="24"/>
              </w:rPr>
            </w:pPr>
            <w:r w:rsidRPr="00496733">
              <w:rPr>
                <w:rFonts w:cstheme="minorHAnsi"/>
                <w:sz w:val="24"/>
                <w:szCs w:val="24"/>
              </w:rPr>
              <w:t>Adjusted so it is benchmarked appropriately</w:t>
            </w:r>
          </w:p>
        </w:tc>
      </w:tr>
      <w:tr w:rsidR="00673689" w:rsidRPr="00496733" w14:paraId="0E62CFCA" w14:textId="77777777" w:rsidTr="00673689">
        <w:tc>
          <w:tcPr>
            <w:tcW w:w="3117" w:type="dxa"/>
          </w:tcPr>
          <w:p w14:paraId="5808E324" w14:textId="77777777" w:rsidR="00673689" w:rsidRPr="00496733" w:rsidRDefault="00673689" w:rsidP="005047C4">
            <w:pPr>
              <w:rPr>
                <w:rFonts w:cstheme="minorHAnsi"/>
                <w:b/>
                <w:sz w:val="24"/>
                <w:szCs w:val="24"/>
              </w:rPr>
            </w:pPr>
            <w:r w:rsidRPr="00496733">
              <w:rPr>
                <w:rFonts w:cstheme="minorHAnsi"/>
                <w:b/>
                <w:sz w:val="24"/>
                <w:szCs w:val="24"/>
              </w:rPr>
              <w:t>New dose forms – high risk and intermediate risk – Grades 1 and 2</w:t>
            </w:r>
          </w:p>
        </w:tc>
        <w:tc>
          <w:tcPr>
            <w:tcW w:w="3117" w:type="dxa"/>
          </w:tcPr>
          <w:p w14:paraId="67FEC726" w14:textId="77777777" w:rsidR="00673689" w:rsidRPr="00496733" w:rsidRDefault="00673689" w:rsidP="005047C4">
            <w:pPr>
              <w:rPr>
                <w:rFonts w:cstheme="minorHAnsi"/>
                <w:sz w:val="24"/>
                <w:szCs w:val="24"/>
              </w:rPr>
            </w:pPr>
            <w:r w:rsidRPr="00496733">
              <w:rPr>
                <w:rFonts w:cstheme="minorHAnsi"/>
                <w:sz w:val="24"/>
                <w:szCs w:val="24"/>
              </w:rPr>
              <w:t>50%</w:t>
            </w:r>
          </w:p>
        </w:tc>
        <w:tc>
          <w:tcPr>
            <w:tcW w:w="3117" w:type="dxa"/>
          </w:tcPr>
          <w:p w14:paraId="47876FD3" w14:textId="77777777" w:rsidR="00673689" w:rsidRPr="00496733" w:rsidRDefault="00673689" w:rsidP="005047C4">
            <w:pPr>
              <w:rPr>
                <w:rFonts w:cstheme="minorHAnsi"/>
                <w:sz w:val="24"/>
                <w:szCs w:val="24"/>
              </w:rPr>
            </w:pPr>
            <w:r w:rsidRPr="00496733">
              <w:rPr>
                <w:rFonts w:cstheme="minorHAnsi"/>
                <w:sz w:val="24"/>
                <w:szCs w:val="24"/>
              </w:rPr>
              <w:t>Adjusted so it is benchmarked appropriately</w:t>
            </w:r>
          </w:p>
        </w:tc>
      </w:tr>
      <w:tr w:rsidR="00673689" w:rsidRPr="00496733" w14:paraId="0DC4A07D" w14:textId="77777777" w:rsidTr="00673689">
        <w:tc>
          <w:tcPr>
            <w:tcW w:w="3117" w:type="dxa"/>
          </w:tcPr>
          <w:p w14:paraId="7FCA337F" w14:textId="77777777" w:rsidR="00673689" w:rsidRPr="00496733" w:rsidRDefault="00673689" w:rsidP="005047C4">
            <w:pPr>
              <w:rPr>
                <w:rFonts w:cstheme="minorHAnsi"/>
                <w:b/>
                <w:sz w:val="24"/>
                <w:szCs w:val="24"/>
              </w:rPr>
            </w:pPr>
            <w:r w:rsidRPr="00496733">
              <w:rPr>
                <w:rFonts w:cstheme="minorHAnsi"/>
                <w:b/>
                <w:sz w:val="24"/>
                <w:szCs w:val="24"/>
              </w:rPr>
              <w:t>New dose forms – intermediate risk non-prescription – Grades 1 and 2</w:t>
            </w:r>
          </w:p>
        </w:tc>
        <w:tc>
          <w:tcPr>
            <w:tcW w:w="3117" w:type="dxa"/>
          </w:tcPr>
          <w:p w14:paraId="0B269B68" w14:textId="77777777" w:rsidR="00673689" w:rsidRPr="00496733" w:rsidRDefault="00673689" w:rsidP="005047C4">
            <w:pPr>
              <w:rPr>
                <w:rFonts w:cstheme="minorHAnsi"/>
                <w:sz w:val="24"/>
                <w:szCs w:val="24"/>
              </w:rPr>
            </w:pPr>
            <w:r w:rsidRPr="00496733">
              <w:rPr>
                <w:rFonts w:cstheme="minorHAnsi"/>
                <w:sz w:val="24"/>
                <w:szCs w:val="24"/>
              </w:rPr>
              <w:t>25%</w:t>
            </w:r>
          </w:p>
        </w:tc>
        <w:tc>
          <w:tcPr>
            <w:tcW w:w="3117" w:type="dxa"/>
          </w:tcPr>
          <w:p w14:paraId="799D70F1" w14:textId="77777777" w:rsidR="00673689" w:rsidRPr="00496733" w:rsidRDefault="00673689" w:rsidP="005047C4">
            <w:pPr>
              <w:rPr>
                <w:rFonts w:cstheme="minorHAnsi"/>
                <w:sz w:val="24"/>
                <w:szCs w:val="24"/>
              </w:rPr>
            </w:pPr>
            <w:r w:rsidRPr="00496733">
              <w:rPr>
                <w:rFonts w:cstheme="minorHAnsi"/>
                <w:sz w:val="24"/>
                <w:szCs w:val="24"/>
              </w:rPr>
              <w:t>Adjusted so it is benchmarked appropriately</w:t>
            </w:r>
          </w:p>
        </w:tc>
      </w:tr>
      <w:tr w:rsidR="00673689" w:rsidRPr="00496733" w14:paraId="394AB00B" w14:textId="77777777" w:rsidTr="00673689">
        <w:tc>
          <w:tcPr>
            <w:tcW w:w="3117" w:type="dxa"/>
          </w:tcPr>
          <w:p w14:paraId="4B4D909C" w14:textId="77777777" w:rsidR="00673689" w:rsidRPr="00496733" w:rsidRDefault="00673689" w:rsidP="005047C4">
            <w:pPr>
              <w:rPr>
                <w:rFonts w:cstheme="minorHAnsi"/>
                <w:b/>
                <w:sz w:val="24"/>
                <w:szCs w:val="24"/>
              </w:rPr>
            </w:pPr>
            <w:r w:rsidRPr="00496733">
              <w:rPr>
                <w:rFonts w:cstheme="minorHAnsi"/>
                <w:b/>
                <w:sz w:val="24"/>
                <w:szCs w:val="24"/>
              </w:rPr>
              <w:lastRenderedPageBreak/>
              <w:t>New dose forms –low risk – Grades 1 and 2</w:t>
            </w:r>
          </w:p>
        </w:tc>
        <w:tc>
          <w:tcPr>
            <w:tcW w:w="3117" w:type="dxa"/>
          </w:tcPr>
          <w:p w14:paraId="79B18929" w14:textId="77777777" w:rsidR="00673689" w:rsidRPr="00496733" w:rsidRDefault="00673689" w:rsidP="005047C4">
            <w:pPr>
              <w:rPr>
                <w:rFonts w:cstheme="minorHAnsi"/>
                <w:sz w:val="24"/>
                <w:szCs w:val="24"/>
              </w:rPr>
            </w:pPr>
            <w:r w:rsidRPr="00496733">
              <w:rPr>
                <w:rFonts w:cstheme="minorHAnsi"/>
                <w:sz w:val="24"/>
                <w:szCs w:val="24"/>
              </w:rPr>
              <w:t>10%</w:t>
            </w:r>
          </w:p>
        </w:tc>
        <w:tc>
          <w:tcPr>
            <w:tcW w:w="3117" w:type="dxa"/>
          </w:tcPr>
          <w:p w14:paraId="7D76A481" w14:textId="0A6BD960"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5339862D" w14:textId="77777777" w:rsidTr="00673689">
        <w:tc>
          <w:tcPr>
            <w:tcW w:w="3117" w:type="dxa"/>
          </w:tcPr>
          <w:p w14:paraId="01505C22" w14:textId="77777777" w:rsidR="00673689" w:rsidRPr="00496733" w:rsidRDefault="00673689" w:rsidP="005047C4">
            <w:pPr>
              <w:rPr>
                <w:rFonts w:cstheme="minorHAnsi"/>
                <w:b/>
                <w:sz w:val="24"/>
                <w:szCs w:val="24"/>
              </w:rPr>
            </w:pPr>
            <w:r w:rsidRPr="00496733">
              <w:rPr>
                <w:rFonts w:cstheme="minorHAnsi"/>
                <w:b/>
                <w:sz w:val="24"/>
                <w:szCs w:val="24"/>
              </w:rPr>
              <w:t>Intermediate risk - prescription</w:t>
            </w:r>
          </w:p>
        </w:tc>
        <w:tc>
          <w:tcPr>
            <w:tcW w:w="3117" w:type="dxa"/>
          </w:tcPr>
          <w:p w14:paraId="02EB386E" w14:textId="77777777" w:rsidR="00673689" w:rsidRPr="00496733" w:rsidRDefault="00673689" w:rsidP="005047C4">
            <w:pPr>
              <w:rPr>
                <w:rFonts w:cstheme="minorHAnsi"/>
                <w:sz w:val="24"/>
                <w:szCs w:val="24"/>
              </w:rPr>
            </w:pPr>
            <w:r w:rsidRPr="00496733">
              <w:rPr>
                <w:rFonts w:cstheme="minorHAnsi"/>
                <w:sz w:val="24"/>
                <w:szCs w:val="24"/>
              </w:rPr>
              <w:t>50%</w:t>
            </w:r>
          </w:p>
        </w:tc>
        <w:tc>
          <w:tcPr>
            <w:tcW w:w="3117" w:type="dxa"/>
          </w:tcPr>
          <w:p w14:paraId="383A9982" w14:textId="77777777" w:rsidR="00673689" w:rsidRPr="00496733" w:rsidRDefault="00673689" w:rsidP="005047C4">
            <w:pPr>
              <w:rPr>
                <w:rFonts w:cstheme="minorHAnsi"/>
                <w:sz w:val="24"/>
                <w:szCs w:val="24"/>
              </w:rPr>
            </w:pPr>
            <w:r w:rsidRPr="00496733">
              <w:rPr>
                <w:rFonts w:cstheme="minorHAnsi"/>
                <w:sz w:val="24"/>
                <w:szCs w:val="24"/>
              </w:rPr>
              <w:t xml:space="preserve">Adjusted so it is benchmarked appropriately. </w:t>
            </w:r>
          </w:p>
        </w:tc>
      </w:tr>
      <w:tr w:rsidR="00673689" w:rsidRPr="00496733" w14:paraId="2B056618" w14:textId="77777777" w:rsidTr="00673689">
        <w:tc>
          <w:tcPr>
            <w:tcW w:w="3117" w:type="dxa"/>
          </w:tcPr>
          <w:p w14:paraId="60DD4224" w14:textId="77777777" w:rsidR="00673689" w:rsidRPr="00496733" w:rsidRDefault="00673689" w:rsidP="005047C4">
            <w:pPr>
              <w:rPr>
                <w:rFonts w:cstheme="minorHAnsi"/>
                <w:b/>
                <w:sz w:val="24"/>
                <w:szCs w:val="24"/>
              </w:rPr>
            </w:pPr>
            <w:r w:rsidRPr="00496733">
              <w:rPr>
                <w:rFonts w:cstheme="minorHAnsi"/>
                <w:b/>
                <w:sz w:val="24"/>
                <w:szCs w:val="24"/>
              </w:rPr>
              <w:t>Intermediate risk non-prescription</w:t>
            </w:r>
          </w:p>
        </w:tc>
        <w:tc>
          <w:tcPr>
            <w:tcW w:w="3117" w:type="dxa"/>
          </w:tcPr>
          <w:p w14:paraId="233F3818" w14:textId="77777777" w:rsidR="00673689" w:rsidRPr="00496733" w:rsidRDefault="00673689" w:rsidP="005047C4">
            <w:pPr>
              <w:rPr>
                <w:rFonts w:cstheme="minorHAnsi"/>
                <w:sz w:val="24"/>
                <w:szCs w:val="24"/>
              </w:rPr>
            </w:pPr>
            <w:r w:rsidRPr="00496733">
              <w:rPr>
                <w:rFonts w:cstheme="minorHAnsi"/>
                <w:sz w:val="24"/>
                <w:szCs w:val="24"/>
              </w:rPr>
              <w:t>25%</w:t>
            </w:r>
          </w:p>
        </w:tc>
        <w:tc>
          <w:tcPr>
            <w:tcW w:w="3117" w:type="dxa"/>
          </w:tcPr>
          <w:p w14:paraId="344A7DF6" w14:textId="1532A8AE" w:rsidR="00673689" w:rsidRPr="00496733" w:rsidRDefault="00D75300" w:rsidP="005047C4">
            <w:pPr>
              <w:rPr>
                <w:rFonts w:cstheme="minorHAnsi"/>
                <w:sz w:val="24"/>
                <w:szCs w:val="24"/>
              </w:rPr>
            </w:pPr>
            <w:r w:rsidRPr="00496733">
              <w:rPr>
                <w:rFonts w:cstheme="minorHAnsi"/>
                <w:sz w:val="24"/>
                <w:szCs w:val="24"/>
              </w:rPr>
              <w:t>Adjusted so it is benchmarked appropriately</w:t>
            </w:r>
          </w:p>
        </w:tc>
      </w:tr>
      <w:tr w:rsidR="00673689" w:rsidRPr="00496733" w14:paraId="0EBF805A" w14:textId="77777777" w:rsidTr="00673689">
        <w:tc>
          <w:tcPr>
            <w:tcW w:w="3117" w:type="dxa"/>
          </w:tcPr>
          <w:p w14:paraId="092A81A6" w14:textId="77777777" w:rsidR="00673689" w:rsidRPr="00496733" w:rsidRDefault="00673689" w:rsidP="005047C4">
            <w:pPr>
              <w:rPr>
                <w:rFonts w:cstheme="minorHAnsi"/>
                <w:b/>
                <w:sz w:val="24"/>
                <w:szCs w:val="24"/>
              </w:rPr>
            </w:pPr>
            <w:r w:rsidRPr="00496733">
              <w:rPr>
                <w:rFonts w:cstheme="minorHAnsi"/>
                <w:b/>
                <w:sz w:val="24"/>
                <w:szCs w:val="24"/>
              </w:rPr>
              <w:t>New Low risk</w:t>
            </w:r>
          </w:p>
        </w:tc>
        <w:tc>
          <w:tcPr>
            <w:tcW w:w="3117" w:type="dxa"/>
          </w:tcPr>
          <w:p w14:paraId="3EBC6DBF" w14:textId="77777777" w:rsidR="00673689" w:rsidRPr="00496733" w:rsidRDefault="00673689" w:rsidP="005047C4">
            <w:pPr>
              <w:rPr>
                <w:rFonts w:cstheme="minorHAnsi"/>
                <w:sz w:val="24"/>
                <w:szCs w:val="24"/>
              </w:rPr>
            </w:pPr>
            <w:r w:rsidRPr="00496733">
              <w:rPr>
                <w:rFonts w:cstheme="minorHAnsi"/>
                <w:sz w:val="24"/>
                <w:szCs w:val="24"/>
              </w:rPr>
              <w:t xml:space="preserve">10% </w:t>
            </w:r>
          </w:p>
        </w:tc>
        <w:tc>
          <w:tcPr>
            <w:tcW w:w="3117" w:type="dxa"/>
          </w:tcPr>
          <w:p w14:paraId="573B8F5C" w14:textId="631774BA"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030BD079" w14:textId="77777777" w:rsidTr="00673689">
        <w:tc>
          <w:tcPr>
            <w:tcW w:w="3117" w:type="dxa"/>
          </w:tcPr>
          <w:p w14:paraId="63ABB9D6" w14:textId="77777777" w:rsidR="00673689" w:rsidRPr="00496733" w:rsidRDefault="00673689" w:rsidP="005047C4">
            <w:pPr>
              <w:rPr>
                <w:rFonts w:cstheme="minorHAnsi"/>
                <w:b/>
                <w:sz w:val="24"/>
                <w:szCs w:val="24"/>
              </w:rPr>
            </w:pPr>
            <w:r w:rsidRPr="00496733">
              <w:rPr>
                <w:rFonts w:cstheme="minorHAnsi"/>
                <w:b/>
                <w:sz w:val="24"/>
                <w:szCs w:val="24"/>
              </w:rPr>
              <w:t>New Related products</w:t>
            </w:r>
          </w:p>
        </w:tc>
        <w:tc>
          <w:tcPr>
            <w:tcW w:w="3117" w:type="dxa"/>
          </w:tcPr>
          <w:p w14:paraId="4E0528F9" w14:textId="77777777" w:rsidR="00673689" w:rsidRPr="00496733" w:rsidRDefault="00673689" w:rsidP="005047C4">
            <w:pPr>
              <w:rPr>
                <w:rFonts w:cstheme="minorHAnsi"/>
                <w:sz w:val="24"/>
                <w:szCs w:val="24"/>
                <w:highlight w:val="yellow"/>
              </w:rPr>
            </w:pPr>
          </w:p>
        </w:tc>
        <w:tc>
          <w:tcPr>
            <w:tcW w:w="3117" w:type="dxa"/>
          </w:tcPr>
          <w:p w14:paraId="25ED5D39" w14:textId="52022938"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31E50375" w14:textId="77777777" w:rsidTr="00673689">
        <w:tc>
          <w:tcPr>
            <w:tcW w:w="3117" w:type="dxa"/>
          </w:tcPr>
          <w:p w14:paraId="53C57C04" w14:textId="70FD7EE3" w:rsidR="00673689" w:rsidRPr="00496733" w:rsidRDefault="00673689" w:rsidP="005047C4">
            <w:pPr>
              <w:rPr>
                <w:rFonts w:cstheme="minorHAnsi"/>
                <w:b/>
                <w:sz w:val="24"/>
                <w:szCs w:val="24"/>
              </w:rPr>
            </w:pPr>
            <w:r w:rsidRPr="00496733">
              <w:rPr>
                <w:rFonts w:cstheme="minorHAnsi"/>
                <w:b/>
                <w:sz w:val="24"/>
                <w:szCs w:val="24"/>
              </w:rPr>
              <w:t>Abbreviated high risk</w:t>
            </w:r>
            <w:r w:rsidR="00041236" w:rsidRPr="00496733">
              <w:rPr>
                <w:rFonts w:cstheme="minorHAnsi"/>
                <w:b/>
                <w:sz w:val="24"/>
                <w:szCs w:val="24"/>
              </w:rPr>
              <w:t xml:space="preserve"> NCE</w:t>
            </w:r>
          </w:p>
        </w:tc>
        <w:tc>
          <w:tcPr>
            <w:tcW w:w="3117" w:type="dxa"/>
          </w:tcPr>
          <w:p w14:paraId="5A339A91" w14:textId="77777777" w:rsidR="00673689" w:rsidRPr="00496733" w:rsidRDefault="00673689" w:rsidP="005047C4">
            <w:pPr>
              <w:rPr>
                <w:rFonts w:cstheme="minorHAnsi"/>
                <w:sz w:val="24"/>
                <w:szCs w:val="24"/>
              </w:rPr>
            </w:pPr>
            <w:r w:rsidRPr="00496733">
              <w:rPr>
                <w:rFonts w:cstheme="minorHAnsi"/>
                <w:sz w:val="24"/>
                <w:szCs w:val="24"/>
              </w:rPr>
              <w:t xml:space="preserve">50% </w:t>
            </w:r>
          </w:p>
        </w:tc>
        <w:tc>
          <w:tcPr>
            <w:tcW w:w="3117" w:type="dxa"/>
          </w:tcPr>
          <w:p w14:paraId="73F459DE" w14:textId="37F434B8"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6C93DAEA" w14:textId="77777777" w:rsidTr="00673689">
        <w:tc>
          <w:tcPr>
            <w:tcW w:w="3117" w:type="dxa"/>
          </w:tcPr>
          <w:p w14:paraId="39C27EAA" w14:textId="77777777" w:rsidR="00673689" w:rsidRPr="00496733" w:rsidRDefault="00673689" w:rsidP="005047C4">
            <w:pPr>
              <w:rPr>
                <w:rFonts w:cstheme="minorHAnsi"/>
                <w:b/>
                <w:sz w:val="24"/>
                <w:szCs w:val="24"/>
              </w:rPr>
            </w:pPr>
            <w:r w:rsidRPr="00496733">
              <w:rPr>
                <w:rFonts w:cstheme="minorHAnsi"/>
                <w:b/>
                <w:sz w:val="24"/>
                <w:szCs w:val="24"/>
              </w:rPr>
              <w:t>Abbreviated other high risk</w:t>
            </w:r>
          </w:p>
        </w:tc>
        <w:tc>
          <w:tcPr>
            <w:tcW w:w="3117" w:type="dxa"/>
          </w:tcPr>
          <w:p w14:paraId="75821BD7" w14:textId="77777777" w:rsidR="00673689" w:rsidRPr="00496733" w:rsidRDefault="00673689" w:rsidP="005047C4">
            <w:pPr>
              <w:rPr>
                <w:rFonts w:cstheme="minorHAnsi"/>
                <w:sz w:val="24"/>
                <w:szCs w:val="24"/>
              </w:rPr>
            </w:pPr>
            <w:r w:rsidRPr="00496733">
              <w:rPr>
                <w:rFonts w:cstheme="minorHAnsi"/>
                <w:sz w:val="24"/>
                <w:szCs w:val="24"/>
              </w:rPr>
              <w:t>37.5% (</w:t>
            </w:r>
            <w:proofErr w:type="spellStart"/>
            <w:r w:rsidRPr="00496733">
              <w:rPr>
                <w:rFonts w:cstheme="minorHAnsi"/>
                <w:sz w:val="24"/>
                <w:szCs w:val="24"/>
              </w:rPr>
              <w:t>ie</w:t>
            </w:r>
            <w:proofErr w:type="spellEnd"/>
            <w:r w:rsidRPr="00496733">
              <w:rPr>
                <w:rFonts w:cstheme="minorHAnsi"/>
                <w:sz w:val="24"/>
                <w:szCs w:val="24"/>
              </w:rPr>
              <w:t xml:space="preserve"> 50% of 75%)</w:t>
            </w:r>
          </w:p>
        </w:tc>
        <w:tc>
          <w:tcPr>
            <w:tcW w:w="3117" w:type="dxa"/>
          </w:tcPr>
          <w:p w14:paraId="6DC3A9AB" w14:textId="77777777" w:rsidR="00673689" w:rsidRPr="00496733" w:rsidRDefault="00673689" w:rsidP="005047C4">
            <w:pPr>
              <w:rPr>
                <w:rFonts w:cstheme="minorHAnsi"/>
                <w:sz w:val="24"/>
                <w:szCs w:val="24"/>
              </w:rPr>
            </w:pPr>
            <w:r w:rsidRPr="00496733">
              <w:rPr>
                <w:rFonts w:cstheme="minorHAnsi"/>
                <w:sz w:val="24"/>
                <w:szCs w:val="24"/>
              </w:rPr>
              <w:t xml:space="preserve">Consequential change from the benchmarking of the other </w:t>
            </w:r>
            <w:proofErr w:type="gramStart"/>
            <w:r w:rsidRPr="00496733">
              <w:rPr>
                <w:rFonts w:cstheme="minorHAnsi"/>
                <w:sz w:val="24"/>
                <w:szCs w:val="24"/>
              </w:rPr>
              <w:t>high risk</w:t>
            </w:r>
            <w:proofErr w:type="gramEnd"/>
            <w:r w:rsidRPr="00496733">
              <w:rPr>
                <w:rFonts w:cstheme="minorHAnsi"/>
                <w:sz w:val="24"/>
                <w:szCs w:val="24"/>
              </w:rPr>
              <w:t xml:space="preserve"> fee</w:t>
            </w:r>
          </w:p>
        </w:tc>
      </w:tr>
      <w:tr w:rsidR="00673689" w:rsidRPr="00496733" w14:paraId="15890274" w14:textId="77777777" w:rsidTr="00673689">
        <w:tc>
          <w:tcPr>
            <w:tcW w:w="3117" w:type="dxa"/>
          </w:tcPr>
          <w:p w14:paraId="7F423CB0" w14:textId="77777777" w:rsidR="00673689" w:rsidRPr="00496733" w:rsidRDefault="00673689" w:rsidP="005047C4">
            <w:pPr>
              <w:rPr>
                <w:rFonts w:cstheme="minorHAnsi"/>
                <w:b/>
                <w:sz w:val="24"/>
                <w:szCs w:val="24"/>
              </w:rPr>
            </w:pPr>
            <w:r w:rsidRPr="00496733">
              <w:rPr>
                <w:rFonts w:cstheme="minorHAnsi"/>
                <w:b/>
                <w:sz w:val="24"/>
                <w:szCs w:val="24"/>
              </w:rPr>
              <w:t>Abbreviated Intermediate risk - prescription</w:t>
            </w:r>
          </w:p>
        </w:tc>
        <w:tc>
          <w:tcPr>
            <w:tcW w:w="3117" w:type="dxa"/>
          </w:tcPr>
          <w:p w14:paraId="2B1F2B8B" w14:textId="77777777" w:rsidR="00673689" w:rsidRPr="00496733" w:rsidRDefault="00673689" w:rsidP="005047C4">
            <w:pPr>
              <w:rPr>
                <w:rFonts w:cstheme="minorHAnsi"/>
                <w:sz w:val="24"/>
                <w:szCs w:val="24"/>
              </w:rPr>
            </w:pPr>
            <w:r w:rsidRPr="00496733">
              <w:rPr>
                <w:rFonts w:cstheme="minorHAnsi"/>
                <w:sz w:val="24"/>
                <w:szCs w:val="24"/>
              </w:rPr>
              <w:t>25%</w:t>
            </w:r>
          </w:p>
        </w:tc>
        <w:tc>
          <w:tcPr>
            <w:tcW w:w="3117" w:type="dxa"/>
          </w:tcPr>
          <w:p w14:paraId="6DD52092" w14:textId="77777777" w:rsidR="00673689" w:rsidRPr="00496733" w:rsidRDefault="00673689" w:rsidP="005047C4">
            <w:pPr>
              <w:rPr>
                <w:rFonts w:cstheme="minorHAnsi"/>
                <w:sz w:val="24"/>
                <w:szCs w:val="24"/>
              </w:rPr>
            </w:pPr>
            <w:r w:rsidRPr="00496733">
              <w:rPr>
                <w:rFonts w:cstheme="minorHAnsi"/>
                <w:sz w:val="24"/>
                <w:szCs w:val="24"/>
              </w:rPr>
              <w:t>Consequential change from the benchmarking of the Intermediate risk – prescription fee</w:t>
            </w:r>
          </w:p>
        </w:tc>
      </w:tr>
      <w:tr w:rsidR="00673689" w:rsidRPr="00496733" w14:paraId="0B94DE72" w14:textId="77777777" w:rsidTr="00673689">
        <w:tc>
          <w:tcPr>
            <w:tcW w:w="3117" w:type="dxa"/>
          </w:tcPr>
          <w:p w14:paraId="7F615E40" w14:textId="77777777" w:rsidR="00673689" w:rsidRPr="00496733" w:rsidRDefault="00673689" w:rsidP="005047C4">
            <w:pPr>
              <w:rPr>
                <w:rFonts w:cstheme="minorHAnsi"/>
                <w:b/>
                <w:sz w:val="24"/>
                <w:szCs w:val="24"/>
              </w:rPr>
            </w:pPr>
            <w:r w:rsidRPr="00496733">
              <w:rPr>
                <w:rFonts w:cstheme="minorHAnsi"/>
                <w:b/>
                <w:sz w:val="24"/>
                <w:szCs w:val="24"/>
              </w:rPr>
              <w:t>New provisional consent – clinical need</w:t>
            </w:r>
          </w:p>
        </w:tc>
        <w:tc>
          <w:tcPr>
            <w:tcW w:w="3117" w:type="dxa"/>
          </w:tcPr>
          <w:p w14:paraId="5569AF97" w14:textId="77777777" w:rsidR="00673689" w:rsidRPr="00496733" w:rsidRDefault="00673689" w:rsidP="005047C4">
            <w:pPr>
              <w:rPr>
                <w:rFonts w:cstheme="minorHAnsi"/>
                <w:sz w:val="24"/>
                <w:szCs w:val="24"/>
              </w:rPr>
            </w:pPr>
            <w:r w:rsidRPr="00496733">
              <w:rPr>
                <w:rFonts w:cstheme="minorHAnsi"/>
                <w:sz w:val="24"/>
                <w:szCs w:val="24"/>
              </w:rPr>
              <w:t xml:space="preserve">80% of </w:t>
            </w:r>
            <w:proofErr w:type="gramStart"/>
            <w:r w:rsidRPr="00496733">
              <w:rPr>
                <w:rFonts w:cstheme="minorHAnsi"/>
                <w:sz w:val="24"/>
                <w:szCs w:val="24"/>
              </w:rPr>
              <w:t>high risk</w:t>
            </w:r>
            <w:proofErr w:type="gramEnd"/>
            <w:r w:rsidRPr="00496733">
              <w:rPr>
                <w:rFonts w:cstheme="minorHAnsi"/>
                <w:sz w:val="24"/>
                <w:szCs w:val="24"/>
              </w:rPr>
              <w:t xml:space="preserve"> category (all S23s are other high risk or NCE)</w:t>
            </w:r>
          </w:p>
        </w:tc>
        <w:tc>
          <w:tcPr>
            <w:tcW w:w="3117" w:type="dxa"/>
          </w:tcPr>
          <w:p w14:paraId="2E436D23" w14:textId="77777777" w:rsidR="00673689" w:rsidRPr="00496733" w:rsidRDefault="00673689" w:rsidP="005047C4">
            <w:pPr>
              <w:rPr>
                <w:rFonts w:cstheme="minorHAnsi"/>
                <w:sz w:val="24"/>
                <w:szCs w:val="24"/>
              </w:rPr>
            </w:pPr>
            <w:r w:rsidRPr="00496733">
              <w:rPr>
                <w:rFonts w:cstheme="minorHAnsi"/>
                <w:sz w:val="24"/>
                <w:szCs w:val="24"/>
              </w:rPr>
              <w:t>Cost recovery change</w:t>
            </w:r>
          </w:p>
        </w:tc>
      </w:tr>
      <w:tr w:rsidR="00673689" w:rsidRPr="00496733" w14:paraId="70D01F1F" w14:textId="77777777" w:rsidTr="00673689">
        <w:trPr>
          <w:trHeight w:val="1331"/>
        </w:trPr>
        <w:tc>
          <w:tcPr>
            <w:tcW w:w="3117" w:type="dxa"/>
          </w:tcPr>
          <w:p w14:paraId="692671E2" w14:textId="77777777" w:rsidR="00673689" w:rsidRPr="00496733" w:rsidRDefault="00673689" w:rsidP="005047C4">
            <w:pPr>
              <w:rPr>
                <w:rFonts w:cstheme="minorHAnsi"/>
                <w:b/>
                <w:sz w:val="24"/>
                <w:szCs w:val="24"/>
              </w:rPr>
            </w:pPr>
            <w:r w:rsidRPr="00496733">
              <w:rPr>
                <w:rFonts w:cstheme="minorHAnsi"/>
                <w:b/>
                <w:sz w:val="24"/>
                <w:szCs w:val="24"/>
              </w:rPr>
              <w:t>Provisional conversion to S20 – clinical need</w:t>
            </w:r>
          </w:p>
        </w:tc>
        <w:tc>
          <w:tcPr>
            <w:tcW w:w="3117" w:type="dxa"/>
          </w:tcPr>
          <w:p w14:paraId="02EBED55" w14:textId="77777777" w:rsidR="00673689" w:rsidRPr="00496733" w:rsidRDefault="00673689" w:rsidP="005047C4">
            <w:pPr>
              <w:rPr>
                <w:rFonts w:cstheme="minorHAnsi"/>
                <w:sz w:val="24"/>
                <w:szCs w:val="24"/>
              </w:rPr>
            </w:pPr>
            <w:r w:rsidRPr="00496733">
              <w:rPr>
                <w:rFonts w:cstheme="minorHAnsi"/>
                <w:sz w:val="24"/>
                <w:szCs w:val="24"/>
              </w:rPr>
              <w:t xml:space="preserve">The remaining 20% of the NCE or other </w:t>
            </w:r>
            <w:proofErr w:type="gramStart"/>
            <w:r w:rsidRPr="00496733">
              <w:rPr>
                <w:rFonts w:cstheme="minorHAnsi"/>
                <w:sz w:val="24"/>
                <w:szCs w:val="24"/>
              </w:rPr>
              <w:t>high risk</w:t>
            </w:r>
            <w:proofErr w:type="gramEnd"/>
            <w:r w:rsidRPr="00496733">
              <w:rPr>
                <w:rFonts w:cstheme="minorHAnsi"/>
                <w:sz w:val="24"/>
                <w:szCs w:val="24"/>
              </w:rPr>
              <w:t xml:space="preserve"> fee, as appropriate</w:t>
            </w:r>
          </w:p>
        </w:tc>
        <w:tc>
          <w:tcPr>
            <w:tcW w:w="3117" w:type="dxa"/>
          </w:tcPr>
          <w:p w14:paraId="26F4509A" w14:textId="77777777" w:rsidR="00673689" w:rsidRPr="00496733" w:rsidRDefault="00673689" w:rsidP="005047C4">
            <w:pPr>
              <w:rPr>
                <w:rFonts w:cstheme="minorHAnsi"/>
                <w:sz w:val="24"/>
                <w:szCs w:val="24"/>
              </w:rPr>
            </w:pPr>
            <w:r w:rsidRPr="00496733">
              <w:rPr>
                <w:rFonts w:cstheme="minorHAnsi"/>
                <w:sz w:val="24"/>
                <w:szCs w:val="24"/>
              </w:rPr>
              <w:t>Cost recovery change</w:t>
            </w:r>
          </w:p>
        </w:tc>
      </w:tr>
      <w:tr w:rsidR="00673689" w:rsidRPr="00496733" w14:paraId="034A1242" w14:textId="77777777" w:rsidTr="00673689">
        <w:tc>
          <w:tcPr>
            <w:tcW w:w="3117" w:type="dxa"/>
          </w:tcPr>
          <w:p w14:paraId="7B46D547" w14:textId="77777777" w:rsidR="00673689" w:rsidRPr="00496733" w:rsidRDefault="00673689" w:rsidP="005047C4">
            <w:pPr>
              <w:rPr>
                <w:rFonts w:cstheme="minorHAnsi"/>
                <w:b/>
                <w:sz w:val="24"/>
                <w:szCs w:val="24"/>
              </w:rPr>
            </w:pPr>
            <w:r w:rsidRPr="00496733">
              <w:rPr>
                <w:rFonts w:cstheme="minorHAnsi"/>
                <w:b/>
                <w:sz w:val="24"/>
                <w:szCs w:val="24"/>
              </w:rPr>
              <w:t>New provisional consent – stock shortage</w:t>
            </w:r>
          </w:p>
        </w:tc>
        <w:tc>
          <w:tcPr>
            <w:tcW w:w="3117" w:type="dxa"/>
          </w:tcPr>
          <w:p w14:paraId="67711015" w14:textId="77777777" w:rsidR="00673689" w:rsidRPr="00496733" w:rsidRDefault="00673689" w:rsidP="005047C4">
            <w:pPr>
              <w:rPr>
                <w:rFonts w:cstheme="minorHAnsi"/>
                <w:sz w:val="24"/>
                <w:szCs w:val="24"/>
              </w:rPr>
            </w:pPr>
            <w:r w:rsidRPr="00496733">
              <w:rPr>
                <w:rFonts w:cstheme="minorHAnsi"/>
                <w:sz w:val="24"/>
                <w:szCs w:val="24"/>
              </w:rPr>
              <w:t xml:space="preserve">20% of </w:t>
            </w:r>
            <w:proofErr w:type="gramStart"/>
            <w:r w:rsidRPr="00496733">
              <w:rPr>
                <w:rFonts w:cstheme="minorHAnsi"/>
                <w:sz w:val="24"/>
                <w:szCs w:val="24"/>
              </w:rPr>
              <w:t>high risk</w:t>
            </w:r>
            <w:proofErr w:type="gramEnd"/>
            <w:r w:rsidRPr="00496733">
              <w:rPr>
                <w:rFonts w:cstheme="minorHAnsi"/>
                <w:sz w:val="24"/>
                <w:szCs w:val="24"/>
              </w:rPr>
              <w:t xml:space="preserve"> category (all S23s are other high risk or NCE)</w:t>
            </w:r>
          </w:p>
        </w:tc>
        <w:tc>
          <w:tcPr>
            <w:tcW w:w="3117" w:type="dxa"/>
          </w:tcPr>
          <w:p w14:paraId="0FDB54A2" w14:textId="77777777" w:rsidR="00673689" w:rsidRPr="00496733" w:rsidRDefault="00673689" w:rsidP="005047C4">
            <w:pPr>
              <w:rPr>
                <w:rFonts w:cstheme="minorHAnsi"/>
                <w:sz w:val="24"/>
                <w:szCs w:val="24"/>
              </w:rPr>
            </w:pPr>
            <w:r w:rsidRPr="00496733">
              <w:rPr>
                <w:rFonts w:cstheme="minorHAnsi"/>
                <w:sz w:val="24"/>
                <w:szCs w:val="24"/>
              </w:rPr>
              <w:t>Cost recovery change</w:t>
            </w:r>
          </w:p>
        </w:tc>
      </w:tr>
      <w:tr w:rsidR="00673689" w:rsidRPr="00496733" w14:paraId="721CC23F" w14:textId="77777777" w:rsidTr="008B03B6">
        <w:trPr>
          <w:trHeight w:val="1051"/>
        </w:trPr>
        <w:tc>
          <w:tcPr>
            <w:tcW w:w="3117" w:type="dxa"/>
          </w:tcPr>
          <w:p w14:paraId="4BAB195C" w14:textId="77777777" w:rsidR="00673689" w:rsidRPr="00496733" w:rsidRDefault="00673689" w:rsidP="005047C4">
            <w:pPr>
              <w:rPr>
                <w:rFonts w:cstheme="minorHAnsi"/>
                <w:b/>
                <w:sz w:val="24"/>
                <w:szCs w:val="24"/>
              </w:rPr>
            </w:pPr>
            <w:r w:rsidRPr="00496733">
              <w:rPr>
                <w:rFonts w:cstheme="minorHAnsi"/>
                <w:b/>
                <w:sz w:val="24"/>
                <w:szCs w:val="24"/>
              </w:rPr>
              <w:t>Provisional conversion to S20 – stock shortage</w:t>
            </w:r>
          </w:p>
        </w:tc>
        <w:tc>
          <w:tcPr>
            <w:tcW w:w="3117" w:type="dxa"/>
          </w:tcPr>
          <w:p w14:paraId="7DF8BEC7" w14:textId="77777777" w:rsidR="00673689" w:rsidRPr="00496733" w:rsidRDefault="00673689" w:rsidP="005047C4">
            <w:pPr>
              <w:rPr>
                <w:rFonts w:cstheme="minorHAnsi"/>
                <w:sz w:val="24"/>
                <w:szCs w:val="24"/>
              </w:rPr>
            </w:pPr>
            <w:r w:rsidRPr="00496733">
              <w:rPr>
                <w:rFonts w:cstheme="minorHAnsi"/>
                <w:sz w:val="24"/>
                <w:szCs w:val="24"/>
              </w:rPr>
              <w:t xml:space="preserve">The remaining 80% of the NCE or other </w:t>
            </w:r>
            <w:proofErr w:type="gramStart"/>
            <w:r w:rsidRPr="00496733">
              <w:rPr>
                <w:rFonts w:cstheme="minorHAnsi"/>
                <w:sz w:val="24"/>
                <w:szCs w:val="24"/>
              </w:rPr>
              <w:t>high risk</w:t>
            </w:r>
            <w:proofErr w:type="gramEnd"/>
            <w:r w:rsidRPr="00496733">
              <w:rPr>
                <w:rFonts w:cstheme="minorHAnsi"/>
                <w:sz w:val="24"/>
                <w:szCs w:val="24"/>
              </w:rPr>
              <w:t xml:space="preserve"> fee, as appropriate</w:t>
            </w:r>
          </w:p>
        </w:tc>
        <w:tc>
          <w:tcPr>
            <w:tcW w:w="3117" w:type="dxa"/>
          </w:tcPr>
          <w:p w14:paraId="7C966AFB" w14:textId="77777777" w:rsidR="00673689" w:rsidRPr="00496733" w:rsidRDefault="00673689" w:rsidP="005047C4">
            <w:pPr>
              <w:rPr>
                <w:rFonts w:cstheme="minorHAnsi"/>
                <w:sz w:val="24"/>
                <w:szCs w:val="24"/>
              </w:rPr>
            </w:pPr>
            <w:r w:rsidRPr="00496733">
              <w:rPr>
                <w:rFonts w:cstheme="minorHAnsi"/>
                <w:sz w:val="24"/>
                <w:szCs w:val="24"/>
              </w:rPr>
              <w:t>Cost recovery change</w:t>
            </w:r>
          </w:p>
        </w:tc>
      </w:tr>
      <w:tr w:rsidR="00673689" w:rsidRPr="00496733" w14:paraId="7E210DB8" w14:textId="77777777" w:rsidTr="00673689">
        <w:tc>
          <w:tcPr>
            <w:tcW w:w="3117" w:type="dxa"/>
          </w:tcPr>
          <w:p w14:paraId="497E4791" w14:textId="77777777" w:rsidR="00673689" w:rsidRPr="00496733" w:rsidRDefault="00673689" w:rsidP="005047C4">
            <w:pPr>
              <w:rPr>
                <w:rFonts w:cstheme="minorHAnsi"/>
                <w:b/>
                <w:sz w:val="24"/>
                <w:szCs w:val="24"/>
              </w:rPr>
            </w:pPr>
            <w:r w:rsidRPr="00496733">
              <w:rPr>
                <w:rFonts w:cstheme="minorHAnsi"/>
                <w:b/>
                <w:sz w:val="24"/>
                <w:szCs w:val="24"/>
              </w:rPr>
              <w:t>Renewal of provisional consent</w:t>
            </w:r>
          </w:p>
        </w:tc>
        <w:tc>
          <w:tcPr>
            <w:tcW w:w="3117" w:type="dxa"/>
          </w:tcPr>
          <w:p w14:paraId="0C8C600B" w14:textId="77777777" w:rsidR="00673689" w:rsidRPr="00496733" w:rsidRDefault="00673689" w:rsidP="005047C4">
            <w:pPr>
              <w:rPr>
                <w:rFonts w:cstheme="minorHAnsi"/>
                <w:sz w:val="24"/>
                <w:szCs w:val="24"/>
              </w:rPr>
            </w:pPr>
            <w:r w:rsidRPr="00496733">
              <w:rPr>
                <w:rFonts w:cstheme="minorHAnsi"/>
                <w:sz w:val="24"/>
                <w:szCs w:val="24"/>
              </w:rPr>
              <w:t>35% of NCE or other high risk</w:t>
            </w:r>
          </w:p>
        </w:tc>
        <w:tc>
          <w:tcPr>
            <w:tcW w:w="3117" w:type="dxa"/>
          </w:tcPr>
          <w:p w14:paraId="406C6A99" w14:textId="77777777" w:rsidR="00673689" w:rsidRPr="00496733" w:rsidRDefault="00673689" w:rsidP="005047C4">
            <w:pPr>
              <w:rPr>
                <w:rFonts w:cstheme="minorHAnsi"/>
                <w:sz w:val="24"/>
                <w:szCs w:val="24"/>
              </w:rPr>
            </w:pPr>
            <w:r w:rsidRPr="00496733">
              <w:rPr>
                <w:rFonts w:cstheme="minorHAnsi"/>
                <w:sz w:val="24"/>
                <w:szCs w:val="24"/>
              </w:rPr>
              <w:t>Cost recovery change</w:t>
            </w:r>
          </w:p>
        </w:tc>
      </w:tr>
      <w:tr w:rsidR="00673689" w:rsidRPr="00496733" w14:paraId="4615ED8A" w14:textId="77777777" w:rsidTr="00673689">
        <w:tc>
          <w:tcPr>
            <w:tcW w:w="3117" w:type="dxa"/>
          </w:tcPr>
          <w:p w14:paraId="55184839" w14:textId="77777777" w:rsidR="00673689" w:rsidRPr="00496733" w:rsidRDefault="00673689" w:rsidP="005047C4">
            <w:pPr>
              <w:rPr>
                <w:rFonts w:cstheme="minorHAnsi"/>
                <w:b/>
                <w:sz w:val="24"/>
                <w:szCs w:val="24"/>
              </w:rPr>
            </w:pPr>
            <w:r w:rsidRPr="00496733">
              <w:rPr>
                <w:rFonts w:cstheme="minorHAnsi"/>
                <w:b/>
                <w:sz w:val="24"/>
                <w:szCs w:val="24"/>
              </w:rPr>
              <w:t>CMN</w:t>
            </w:r>
          </w:p>
        </w:tc>
        <w:tc>
          <w:tcPr>
            <w:tcW w:w="3117" w:type="dxa"/>
          </w:tcPr>
          <w:p w14:paraId="1F97A0A1" w14:textId="77777777" w:rsidR="00673689" w:rsidRPr="00496733" w:rsidRDefault="00673689" w:rsidP="005047C4">
            <w:pPr>
              <w:rPr>
                <w:rFonts w:cstheme="minorHAnsi"/>
                <w:sz w:val="24"/>
                <w:szCs w:val="24"/>
              </w:rPr>
            </w:pPr>
            <w:r w:rsidRPr="00496733">
              <w:rPr>
                <w:rFonts w:cstheme="minorHAnsi"/>
                <w:sz w:val="24"/>
                <w:szCs w:val="24"/>
              </w:rPr>
              <w:t>Maximum equivalent to risk category of the medicine</w:t>
            </w:r>
          </w:p>
        </w:tc>
        <w:tc>
          <w:tcPr>
            <w:tcW w:w="3117" w:type="dxa"/>
          </w:tcPr>
          <w:p w14:paraId="353850AD" w14:textId="2E97357C"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6FA25FF8" w14:textId="77777777" w:rsidTr="00673689">
        <w:tc>
          <w:tcPr>
            <w:tcW w:w="3117" w:type="dxa"/>
          </w:tcPr>
          <w:p w14:paraId="5246AB50" w14:textId="77777777" w:rsidR="00673689" w:rsidRPr="00496733" w:rsidRDefault="00673689" w:rsidP="005047C4">
            <w:pPr>
              <w:rPr>
                <w:rFonts w:cstheme="minorHAnsi"/>
                <w:b/>
                <w:sz w:val="24"/>
                <w:szCs w:val="24"/>
              </w:rPr>
            </w:pPr>
            <w:r w:rsidRPr="00496733">
              <w:rPr>
                <w:rFonts w:cstheme="minorHAnsi"/>
                <w:b/>
                <w:sz w:val="24"/>
                <w:szCs w:val="24"/>
              </w:rPr>
              <w:t>CRPN</w:t>
            </w:r>
          </w:p>
        </w:tc>
        <w:tc>
          <w:tcPr>
            <w:tcW w:w="3117" w:type="dxa"/>
          </w:tcPr>
          <w:p w14:paraId="7C26F047" w14:textId="77777777" w:rsidR="00673689" w:rsidRPr="00496733" w:rsidRDefault="00673689" w:rsidP="005047C4">
            <w:pPr>
              <w:rPr>
                <w:rFonts w:cstheme="minorHAnsi"/>
                <w:sz w:val="24"/>
                <w:szCs w:val="24"/>
              </w:rPr>
            </w:pPr>
            <w:r w:rsidRPr="00496733">
              <w:rPr>
                <w:rFonts w:cstheme="minorHAnsi"/>
                <w:sz w:val="24"/>
                <w:szCs w:val="24"/>
              </w:rPr>
              <w:t>Maximum equivalent to risk category of the medicine</w:t>
            </w:r>
          </w:p>
        </w:tc>
        <w:tc>
          <w:tcPr>
            <w:tcW w:w="3117" w:type="dxa"/>
          </w:tcPr>
          <w:p w14:paraId="3D18E1DA" w14:textId="79EBAA30"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3DF268CA" w14:textId="77777777" w:rsidTr="00673689">
        <w:tc>
          <w:tcPr>
            <w:tcW w:w="3117" w:type="dxa"/>
          </w:tcPr>
          <w:p w14:paraId="434897DE" w14:textId="77777777" w:rsidR="00673689" w:rsidRPr="00496733" w:rsidRDefault="00673689" w:rsidP="005047C4">
            <w:pPr>
              <w:rPr>
                <w:rFonts w:cstheme="minorHAnsi"/>
                <w:b/>
                <w:sz w:val="24"/>
                <w:szCs w:val="24"/>
              </w:rPr>
            </w:pPr>
            <w:r w:rsidRPr="00496733">
              <w:rPr>
                <w:rFonts w:cstheme="minorHAnsi"/>
                <w:b/>
                <w:sz w:val="24"/>
                <w:szCs w:val="24"/>
              </w:rPr>
              <w:t>Section 24(5)(a) – automatic referrals</w:t>
            </w:r>
          </w:p>
        </w:tc>
        <w:tc>
          <w:tcPr>
            <w:tcW w:w="3117" w:type="dxa"/>
          </w:tcPr>
          <w:p w14:paraId="52F6F358" w14:textId="2ED44B9A" w:rsidR="00673689" w:rsidRPr="00496733" w:rsidRDefault="00F65A3A" w:rsidP="005047C4">
            <w:pPr>
              <w:rPr>
                <w:rFonts w:cstheme="minorHAnsi"/>
                <w:sz w:val="24"/>
                <w:szCs w:val="24"/>
              </w:rPr>
            </w:pPr>
            <w:r w:rsidRPr="00496733">
              <w:rPr>
                <w:rFonts w:cstheme="minorHAnsi"/>
                <w:sz w:val="24"/>
                <w:szCs w:val="24"/>
              </w:rPr>
              <w:t>Variable: 66%/50%</w:t>
            </w:r>
            <w:r w:rsidR="008B03B6" w:rsidRPr="00496733">
              <w:rPr>
                <w:rFonts w:cstheme="minorHAnsi"/>
                <w:sz w:val="24"/>
                <w:szCs w:val="24"/>
              </w:rPr>
              <w:t>/35%</w:t>
            </w:r>
            <w:r w:rsidRPr="00496733">
              <w:rPr>
                <w:rFonts w:cstheme="minorHAnsi"/>
                <w:sz w:val="24"/>
                <w:szCs w:val="24"/>
              </w:rPr>
              <w:t xml:space="preserve"> of risk category</w:t>
            </w:r>
          </w:p>
        </w:tc>
        <w:tc>
          <w:tcPr>
            <w:tcW w:w="3117" w:type="dxa"/>
          </w:tcPr>
          <w:p w14:paraId="40F24C7E" w14:textId="77777777" w:rsidR="00673689" w:rsidRPr="00496733" w:rsidRDefault="00673689" w:rsidP="005047C4">
            <w:pPr>
              <w:rPr>
                <w:rFonts w:cstheme="minorHAnsi"/>
                <w:sz w:val="24"/>
                <w:szCs w:val="24"/>
              </w:rPr>
            </w:pPr>
            <w:r w:rsidRPr="00496733">
              <w:rPr>
                <w:rFonts w:cstheme="minorHAnsi"/>
                <w:sz w:val="24"/>
                <w:szCs w:val="24"/>
              </w:rPr>
              <w:t>Cost recovery change</w:t>
            </w:r>
          </w:p>
        </w:tc>
      </w:tr>
      <w:tr w:rsidR="00673689" w:rsidRPr="00496733" w14:paraId="542A051E" w14:textId="77777777" w:rsidTr="00673689">
        <w:tc>
          <w:tcPr>
            <w:tcW w:w="3117" w:type="dxa"/>
          </w:tcPr>
          <w:p w14:paraId="17AAD3F8" w14:textId="77777777" w:rsidR="00673689" w:rsidRPr="00496733" w:rsidRDefault="00673689" w:rsidP="005047C4">
            <w:pPr>
              <w:rPr>
                <w:rFonts w:cstheme="minorHAnsi"/>
                <w:b/>
                <w:sz w:val="24"/>
                <w:szCs w:val="24"/>
              </w:rPr>
            </w:pPr>
            <w:r w:rsidRPr="00496733">
              <w:rPr>
                <w:rFonts w:cstheme="minorHAnsi"/>
                <w:b/>
                <w:sz w:val="24"/>
                <w:szCs w:val="24"/>
              </w:rPr>
              <w:t>Minimum fee (Admin fee)</w:t>
            </w:r>
          </w:p>
        </w:tc>
        <w:tc>
          <w:tcPr>
            <w:tcW w:w="3117" w:type="dxa"/>
          </w:tcPr>
          <w:p w14:paraId="0F92889E" w14:textId="0E1F5313" w:rsidR="00673689" w:rsidRPr="00496733" w:rsidRDefault="00BE05C2" w:rsidP="005047C4">
            <w:pPr>
              <w:rPr>
                <w:rFonts w:cstheme="minorHAnsi"/>
                <w:sz w:val="24"/>
                <w:szCs w:val="24"/>
              </w:rPr>
            </w:pPr>
            <w:r w:rsidRPr="00496733">
              <w:rPr>
                <w:rFonts w:cstheme="minorHAnsi"/>
                <w:sz w:val="24"/>
                <w:szCs w:val="24"/>
              </w:rPr>
              <w:t>50% of standard CMN fee</w:t>
            </w:r>
          </w:p>
        </w:tc>
        <w:tc>
          <w:tcPr>
            <w:tcW w:w="3117" w:type="dxa"/>
          </w:tcPr>
          <w:p w14:paraId="6A0ACD66" w14:textId="60ECF2F7"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r w:rsidR="00673689" w:rsidRPr="00496733" w14:paraId="4F9C2C1A" w14:textId="77777777" w:rsidTr="00673689">
        <w:tc>
          <w:tcPr>
            <w:tcW w:w="3117" w:type="dxa"/>
          </w:tcPr>
          <w:p w14:paraId="6B1322D7" w14:textId="77777777" w:rsidR="00673689" w:rsidRPr="00496733" w:rsidRDefault="00673689" w:rsidP="005047C4">
            <w:pPr>
              <w:rPr>
                <w:rFonts w:cstheme="minorHAnsi"/>
                <w:b/>
                <w:sz w:val="24"/>
                <w:szCs w:val="24"/>
              </w:rPr>
            </w:pPr>
            <w:r w:rsidRPr="00496733">
              <w:rPr>
                <w:rFonts w:cstheme="minorHAnsi"/>
                <w:b/>
                <w:sz w:val="24"/>
                <w:szCs w:val="24"/>
              </w:rPr>
              <w:t>SACNs</w:t>
            </w:r>
          </w:p>
        </w:tc>
        <w:tc>
          <w:tcPr>
            <w:tcW w:w="3117" w:type="dxa"/>
          </w:tcPr>
          <w:p w14:paraId="582C953B" w14:textId="67913487" w:rsidR="00673689" w:rsidRPr="00496733" w:rsidRDefault="00BE05C2" w:rsidP="005047C4">
            <w:pPr>
              <w:rPr>
                <w:rFonts w:cstheme="minorHAnsi"/>
                <w:sz w:val="24"/>
                <w:szCs w:val="24"/>
              </w:rPr>
            </w:pPr>
            <w:r w:rsidRPr="00496733">
              <w:rPr>
                <w:rFonts w:cstheme="minorHAnsi"/>
                <w:sz w:val="24"/>
                <w:szCs w:val="24"/>
              </w:rPr>
              <w:t>50% of standard CMN fee</w:t>
            </w:r>
          </w:p>
        </w:tc>
        <w:tc>
          <w:tcPr>
            <w:tcW w:w="3117" w:type="dxa"/>
          </w:tcPr>
          <w:p w14:paraId="09A3DAD6" w14:textId="18301FEA" w:rsidR="00673689" w:rsidRPr="00496733" w:rsidRDefault="00673689" w:rsidP="005047C4">
            <w:pPr>
              <w:rPr>
                <w:rFonts w:cstheme="minorHAnsi"/>
                <w:sz w:val="24"/>
                <w:szCs w:val="24"/>
              </w:rPr>
            </w:pPr>
            <w:r w:rsidRPr="00496733">
              <w:rPr>
                <w:rFonts w:cstheme="minorHAnsi"/>
                <w:sz w:val="24"/>
                <w:szCs w:val="24"/>
              </w:rPr>
              <w:t>No change except charge individually</w:t>
            </w:r>
            <w:r w:rsidR="00193AE5" w:rsidRPr="00496733">
              <w:rPr>
                <w:rFonts w:cstheme="minorHAnsi"/>
                <w:sz w:val="24"/>
                <w:szCs w:val="24"/>
              </w:rPr>
              <w:t>, other than CPI increase</w:t>
            </w:r>
          </w:p>
        </w:tc>
      </w:tr>
      <w:tr w:rsidR="00673689" w:rsidRPr="00496733" w14:paraId="1E4D9AF7" w14:textId="77777777" w:rsidTr="00673689">
        <w:tc>
          <w:tcPr>
            <w:tcW w:w="3117" w:type="dxa"/>
          </w:tcPr>
          <w:p w14:paraId="3554B7B0" w14:textId="77777777" w:rsidR="00673689" w:rsidRPr="00496733" w:rsidRDefault="00673689" w:rsidP="005047C4">
            <w:pPr>
              <w:rPr>
                <w:rFonts w:cstheme="minorHAnsi"/>
                <w:b/>
                <w:sz w:val="24"/>
                <w:szCs w:val="24"/>
              </w:rPr>
            </w:pPr>
            <w:r w:rsidRPr="00496733">
              <w:rPr>
                <w:rFonts w:cstheme="minorHAnsi"/>
                <w:b/>
                <w:sz w:val="24"/>
                <w:szCs w:val="24"/>
              </w:rPr>
              <w:lastRenderedPageBreak/>
              <w:t>Reinstatement NMA</w:t>
            </w:r>
          </w:p>
        </w:tc>
        <w:tc>
          <w:tcPr>
            <w:tcW w:w="3117" w:type="dxa"/>
          </w:tcPr>
          <w:p w14:paraId="0E17B767" w14:textId="77777777" w:rsidR="00673689" w:rsidRPr="00496733" w:rsidRDefault="00673689" w:rsidP="005047C4">
            <w:pPr>
              <w:rPr>
                <w:rFonts w:cstheme="minorHAnsi"/>
                <w:sz w:val="24"/>
                <w:szCs w:val="24"/>
              </w:rPr>
            </w:pPr>
            <w:r w:rsidRPr="00496733">
              <w:rPr>
                <w:rFonts w:cstheme="minorHAnsi"/>
                <w:sz w:val="24"/>
                <w:szCs w:val="24"/>
              </w:rPr>
              <w:t>25% of risk category</w:t>
            </w:r>
          </w:p>
        </w:tc>
        <w:tc>
          <w:tcPr>
            <w:tcW w:w="3117" w:type="dxa"/>
          </w:tcPr>
          <w:p w14:paraId="69533295" w14:textId="0945017E" w:rsidR="00673689" w:rsidRPr="00496733" w:rsidRDefault="00673689" w:rsidP="005047C4">
            <w:pPr>
              <w:rPr>
                <w:rFonts w:cstheme="minorHAnsi"/>
                <w:sz w:val="24"/>
                <w:szCs w:val="24"/>
              </w:rPr>
            </w:pPr>
            <w:r w:rsidRPr="00496733">
              <w:rPr>
                <w:rFonts w:cstheme="minorHAnsi"/>
                <w:sz w:val="24"/>
                <w:szCs w:val="24"/>
              </w:rPr>
              <w:t>No change</w:t>
            </w:r>
            <w:r w:rsidR="00193AE5" w:rsidRPr="00496733">
              <w:rPr>
                <w:rFonts w:cstheme="minorHAnsi"/>
                <w:sz w:val="24"/>
                <w:szCs w:val="24"/>
              </w:rPr>
              <w:t>, other than CPI increase</w:t>
            </w:r>
          </w:p>
        </w:tc>
      </w:tr>
    </w:tbl>
    <w:p w14:paraId="223EA516" w14:textId="77777777" w:rsidR="00673689" w:rsidRDefault="00673689" w:rsidP="00673689"/>
    <w:bookmarkEnd w:id="5"/>
    <w:bookmarkEnd w:id="6"/>
    <w:p w14:paraId="58500F0A" w14:textId="77777777" w:rsidR="00673689" w:rsidRDefault="00673689" w:rsidP="00673689">
      <w:pPr>
        <w:rPr>
          <w:rFonts w:ascii="Segoe UI" w:hAnsi="Segoe UI" w:cs="Segoe UI"/>
          <w:b/>
          <w:color w:val="4472C4" w:themeColor="accent1"/>
          <w:sz w:val="32"/>
          <w:szCs w:val="32"/>
        </w:rPr>
      </w:pPr>
      <w:r w:rsidRPr="00737F56">
        <w:rPr>
          <w:rFonts w:ascii="Segoe UI" w:hAnsi="Segoe UI" w:cs="Segoe UI"/>
          <w:b/>
          <w:color w:val="4472C4" w:themeColor="accent1"/>
          <w:sz w:val="32"/>
          <w:szCs w:val="32"/>
        </w:rPr>
        <w:t>Clinical trials</w:t>
      </w:r>
    </w:p>
    <w:p w14:paraId="125DC881" w14:textId="1F4BB5BE" w:rsidR="00673689" w:rsidRPr="00DB4AE4" w:rsidRDefault="00673689" w:rsidP="00673689">
      <w:pPr>
        <w:rPr>
          <w:rFonts w:cstheme="minorHAnsi"/>
          <w:sz w:val="24"/>
          <w:szCs w:val="24"/>
        </w:rPr>
      </w:pPr>
      <w:bookmarkStart w:id="9" w:name="_Hlk53497344"/>
      <w:r>
        <w:rPr>
          <w:rFonts w:cstheme="minorHAnsi"/>
          <w:sz w:val="24"/>
          <w:szCs w:val="24"/>
        </w:rPr>
        <w:t>Currently, the fee in Regulation 61 for clinical trials is $9,843 for an application for a clinical trial. The actual charged fee is $7</w:t>
      </w:r>
      <w:r w:rsidR="00041236">
        <w:rPr>
          <w:rFonts w:cstheme="minorHAnsi"/>
          <w:sz w:val="24"/>
          <w:szCs w:val="24"/>
        </w:rPr>
        <w:t>,</w:t>
      </w:r>
      <w:r>
        <w:rPr>
          <w:rFonts w:cstheme="minorHAnsi"/>
          <w:sz w:val="24"/>
          <w:szCs w:val="24"/>
        </w:rPr>
        <w:t xml:space="preserve">500. </w:t>
      </w:r>
    </w:p>
    <w:tbl>
      <w:tblPr>
        <w:tblStyle w:val="TableGrid"/>
        <w:tblW w:w="0" w:type="auto"/>
        <w:tblLook w:val="04A0" w:firstRow="1" w:lastRow="0" w:firstColumn="1" w:lastColumn="0" w:noHBand="0" w:noVBand="1"/>
      </w:tblPr>
      <w:tblGrid>
        <w:gridCol w:w="2231"/>
        <w:gridCol w:w="2231"/>
        <w:gridCol w:w="2232"/>
        <w:gridCol w:w="2232"/>
      </w:tblGrid>
      <w:tr w:rsidR="00496733" w:rsidRPr="00496733" w14:paraId="450863FD" w14:textId="77777777" w:rsidTr="00B36E36">
        <w:tc>
          <w:tcPr>
            <w:tcW w:w="8926" w:type="dxa"/>
            <w:gridSpan w:val="4"/>
          </w:tcPr>
          <w:p w14:paraId="4AE16C66" w14:textId="63B1EE62" w:rsidR="00B36E36" w:rsidRPr="00496733" w:rsidRDefault="00B36E36" w:rsidP="00B36E36">
            <w:pPr>
              <w:jc w:val="center"/>
              <w:rPr>
                <w:color w:val="4472C4" w:themeColor="accent1"/>
                <w:sz w:val="24"/>
                <w:szCs w:val="24"/>
              </w:rPr>
            </w:pPr>
            <w:r w:rsidRPr="00496733">
              <w:rPr>
                <w:b/>
                <w:bCs/>
                <w:color w:val="4472C4" w:themeColor="accent1"/>
                <w:sz w:val="24"/>
                <w:szCs w:val="24"/>
              </w:rPr>
              <w:t>Table 6: Overview of clinical trial changes</w:t>
            </w:r>
          </w:p>
        </w:tc>
      </w:tr>
      <w:tr w:rsidR="00673689" w14:paraId="766D4321" w14:textId="77777777" w:rsidTr="005047C4">
        <w:tc>
          <w:tcPr>
            <w:tcW w:w="2231" w:type="dxa"/>
          </w:tcPr>
          <w:p w14:paraId="32E1B67C" w14:textId="77777777" w:rsidR="00673689" w:rsidRPr="00E57E40" w:rsidRDefault="00673689" w:rsidP="005047C4">
            <w:pPr>
              <w:pStyle w:val="Default"/>
              <w:rPr>
                <w:sz w:val="20"/>
                <w:szCs w:val="20"/>
              </w:rPr>
            </w:pPr>
            <w:bookmarkStart w:id="10" w:name="_Hlk53729496"/>
          </w:p>
        </w:tc>
        <w:tc>
          <w:tcPr>
            <w:tcW w:w="2231" w:type="dxa"/>
          </w:tcPr>
          <w:p w14:paraId="182280AD" w14:textId="77777777" w:rsidR="00673689" w:rsidRDefault="00673689" w:rsidP="005047C4">
            <w:pPr>
              <w:rPr>
                <w:sz w:val="24"/>
                <w:szCs w:val="24"/>
              </w:rPr>
            </w:pPr>
            <w:r>
              <w:rPr>
                <w:sz w:val="24"/>
                <w:szCs w:val="24"/>
              </w:rPr>
              <w:t>Current fee</w:t>
            </w:r>
          </w:p>
        </w:tc>
        <w:tc>
          <w:tcPr>
            <w:tcW w:w="2232" w:type="dxa"/>
          </w:tcPr>
          <w:p w14:paraId="7EAF2737" w14:textId="77777777" w:rsidR="00673689" w:rsidRDefault="00673689" w:rsidP="005047C4">
            <w:pPr>
              <w:rPr>
                <w:sz w:val="24"/>
                <w:szCs w:val="24"/>
              </w:rPr>
            </w:pPr>
            <w:r>
              <w:rPr>
                <w:sz w:val="24"/>
                <w:szCs w:val="24"/>
              </w:rPr>
              <w:t>Proposed fee</w:t>
            </w:r>
          </w:p>
        </w:tc>
        <w:tc>
          <w:tcPr>
            <w:tcW w:w="2232" w:type="dxa"/>
          </w:tcPr>
          <w:p w14:paraId="208055EE" w14:textId="77777777" w:rsidR="00673689" w:rsidRDefault="00673689" w:rsidP="005047C4">
            <w:pPr>
              <w:rPr>
                <w:sz w:val="24"/>
                <w:szCs w:val="24"/>
              </w:rPr>
            </w:pPr>
            <w:r>
              <w:rPr>
                <w:sz w:val="24"/>
                <w:szCs w:val="24"/>
              </w:rPr>
              <w:t>Comments</w:t>
            </w:r>
          </w:p>
        </w:tc>
      </w:tr>
      <w:tr w:rsidR="00673689" w14:paraId="4ECEBC5C" w14:textId="77777777" w:rsidTr="005047C4">
        <w:tc>
          <w:tcPr>
            <w:tcW w:w="2231" w:type="dxa"/>
          </w:tcPr>
          <w:p w14:paraId="58B5479E" w14:textId="77777777" w:rsidR="00673689" w:rsidRPr="00512C7F" w:rsidRDefault="00673689" w:rsidP="005047C4">
            <w:pPr>
              <w:pStyle w:val="Default"/>
              <w:rPr>
                <w:rFonts w:asciiTheme="minorHAnsi" w:hAnsiTheme="minorHAnsi" w:cstheme="minorHAnsi"/>
                <w:b/>
              </w:rPr>
            </w:pPr>
            <w:r w:rsidRPr="00512C7F">
              <w:rPr>
                <w:rFonts w:asciiTheme="minorHAnsi" w:hAnsiTheme="minorHAnsi" w:cstheme="minorHAnsi"/>
                <w:b/>
              </w:rPr>
              <w:t xml:space="preserve">Application for consent to conduct a clinical trial </w:t>
            </w:r>
          </w:p>
        </w:tc>
        <w:tc>
          <w:tcPr>
            <w:tcW w:w="2231" w:type="dxa"/>
          </w:tcPr>
          <w:p w14:paraId="3D895157" w14:textId="77777777" w:rsidR="00673689" w:rsidRDefault="00673689" w:rsidP="005047C4">
            <w:pPr>
              <w:rPr>
                <w:sz w:val="24"/>
                <w:szCs w:val="24"/>
              </w:rPr>
            </w:pPr>
            <w:r>
              <w:rPr>
                <w:sz w:val="24"/>
                <w:szCs w:val="24"/>
              </w:rPr>
              <w:t>$7,500</w:t>
            </w:r>
          </w:p>
        </w:tc>
        <w:tc>
          <w:tcPr>
            <w:tcW w:w="2232" w:type="dxa"/>
          </w:tcPr>
          <w:p w14:paraId="58024162" w14:textId="77777777" w:rsidR="00673689" w:rsidRDefault="00673689" w:rsidP="005047C4">
            <w:pPr>
              <w:rPr>
                <w:sz w:val="24"/>
                <w:szCs w:val="24"/>
              </w:rPr>
            </w:pPr>
            <w:r>
              <w:rPr>
                <w:sz w:val="24"/>
                <w:szCs w:val="24"/>
              </w:rPr>
              <w:t>$7,500</w:t>
            </w:r>
          </w:p>
        </w:tc>
        <w:tc>
          <w:tcPr>
            <w:tcW w:w="2232" w:type="dxa"/>
          </w:tcPr>
          <w:p w14:paraId="69933114" w14:textId="77777777" w:rsidR="00673689" w:rsidRDefault="00673689" w:rsidP="005047C4">
            <w:pPr>
              <w:rPr>
                <w:sz w:val="24"/>
                <w:szCs w:val="24"/>
              </w:rPr>
            </w:pPr>
            <w:r>
              <w:rPr>
                <w:sz w:val="24"/>
                <w:szCs w:val="24"/>
              </w:rPr>
              <w:t>No change</w:t>
            </w:r>
          </w:p>
        </w:tc>
      </w:tr>
      <w:tr w:rsidR="00673689" w14:paraId="313202FF" w14:textId="77777777" w:rsidTr="005047C4">
        <w:tc>
          <w:tcPr>
            <w:tcW w:w="2231" w:type="dxa"/>
          </w:tcPr>
          <w:p w14:paraId="6C1CE511" w14:textId="77777777" w:rsidR="00673689" w:rsidRPr="00512C7F" w:rsidRDefault="00673689" w:rsidP="005047C4">
            <w:pPr>
              <w:pStyle w:val="Default"/>
              <w:rPr>
                <w:rFonts w:asciiTheme="minorHAnsi" w:hAnsiTheme="minorHAnsi" w:cstheme="minorHAnsi"/>
                <w:b/>
              </w:rPr>
            </w:pPr>
            <w:r w:rsidRPr="00512C7F">
              <w:rPr>
                <w:rFonts w:asciiTheme="minorHAnsi" w:hAnsiTheme="minorHAnsi" w:cstheme="minorHAnsi"/>
                <w:b/>
              </w:rPr>
              <w:t xml:space="preserve">Additional clinical trial for the same medicine, submitted at the same time </w:t>
            </w:r>
          </w:p>
        </w:tc>
        <w:tc>
          <w:tcPr>
            <w:tcW w:w="2231" w:type="dxa"/>
          </w:tcPr>
          <w:p w14:paraId="2B8CC09A" w14:textId="77777777" w:rsidR="00673689" w:rsidRDefault="00673689" w:rsidP="005047C4">
            <w:pPr>
              <w:rPr>
                <w:sz w:val="24"/>
                <w:szCs w:val="24"/>
              </w:rPr>
            </w:pPr>
            <w:r>
              <w:rPr>
                <w:sz w:val="24"/>
                <w:szCs w:val="24"/>
              </w:rPr>
              <w:t>$3,750</w:t>
            </w:r>
          </w:p>
        </w:tc>
        <w:tc>
          <w:tcPr>
            <w:tcW w:w="2232" w:type="dxa"/>
          </w:tcPr>
          <w:p w14:paraId="51C59E80" w14:textId="09E9D0F4" w:rsidR="00673689" w:rsidRDefault="00673689" w:rsidP="005047C4">
            <w:pPr>
              <w:rPr>
                <w:sz w:val="24"/>
                <w:szCs w:val="24"/>
              </w:rPr>
            </w:pPr>
            <w:r>
              <w:rPr>
                <w:sz w:val="24"/>
                <w:szCs w:val="24"/>
              </w:rPr>
              <w:t>$</w:t>
            </w:r>
            <w:r w:rsidR="00041236">
              <w:rPr>
                <w:sz w:val="24"/>
                <w:szCs w:val="24"/>
              </w:rPr>
              <w:t>3,750</w:t>
            </w:r>
          </w:p>
        </w:tc>
        <w:tc>
          <w:tcPr>
            <w:tcW w:w="2232" w:type="dxa"/>
          </w:tcPr>
          <w:p w14:paraId="255E6413" w14:textId="1FC174C9" w:rsidR="00673689" w:rsidRDefault="00041236" w:rsidP="005047C4">
            <w:pPr>
              <w:rPr>
                <w:sz w:val="24"/>
                <w:szCs w:val="24"/>
              </w:rPr>
            </w:pPr>
            <w:r>
              <w:rPr>
                <w:sz w:val="24"/>
                <w:szCs w:val="24"/>
              </w:rPr>
              <w:t>No change</w:t>
            </w:r>
          </w:p>
        </w:tc>
      </w:tr>
      <w:tr w:rsidR="00673689" w14:paraId="54CAA995" w14:textId="77777777" w:rsidTr="005047C4">
        <w:tc>
          <w:tcPr>
            <w:tcW w:w="2231" w:type="dxa"/>
          </w:tcPr>
          <w:p w14:paraId="66A9BF29" w14:textId="77777777" w:rsidR="00673689" w:rsidRPr="00512C7F" w:rsidRDefault="00673689" w:rsidP="005047C4">
            <w:pPr>
              <w:pStyle w:val="Default"/>
              <w:rPr>
                <w:rFonts w:asciiTheme="minorHAnsi" w:hAnsiTheme="minorHAnsi" w:cstheme="minorHAnsi"/>
                <w:b/>
              </w:rPr>
            </w:pPr>
            <w:r w:rsidRPr="00512C7F">
              <w:rPr>
                <w:rFonts w:asciiTheme="minorHAnsi" w:hAnsiTheme="minorHAnsi" w:cstheme="minorHAnsi"/>
                <w:b/>
                <w:lang w:eastAsia="en-NZ"/>
              </w:rPr>
              <w:t>Investigator</w:t>
            </w:r>
            <w:r>
              <w:rPr>
                <w:rFonts w:asciiTheme="minorHAnsi" w:hAnsiTheme="minorHAnsi" w:cstheme="minorHAnsi"/>
                <w:b/>
                <w:lang w:eastAsia="en-NZ"/>
              </w:rPr>
              <w:t>-l</w:t>
            </w:r>
            <w:r w:rsidRPr="00512C7F">
              <w:rPr>
                <w:rFonts w:asciiTheme="minorHAnsi" w:hAnsiTheme="minorHAnsi" w:cstheme="minorHAnsi"/>
                <w:b/>
                <w:lang w:eastAsia="en-NZ"/>
              </w:rPr>
              <w:t>ed Clinical Trial</w:t>
            </w:r>
          </w:p>
        </w:tc>
        <w:tc>
          <w:tcPr>
            <w:tcW w:w="2231" w:type="dxa"/>
          </w:tcPr>
          <w:p w14:paraId="19176F86" w14:textId="77777777" w:rsidR="00673689" w:rsidRDefault="00673689" w:rsidP="005047C4">
            <w:pPr>
              <w:rPr>
                <w:sz w:val="24"/>
                <w:szCs w:val="24"/>
              </w:rPr>
            </w:pPr>
            <w:r>
              <w:rPr>
                <w:sz w:val="24"/>
                <w:szCs w:val="24"/>
              </w:rPr>
              <w:t>$1,000</w:t>
            </w:r>
          </w:p>
        </w:tc>
        <w:tc>
          <w:tcPr>
            <w:tcW w:w="2232" w:type="dxa"/>
          </w:tcPr>
          <w:p w14:paraId="331E232D" w14:textId="08EE5D56" w:rsidR="00673689" w:rsidRDefault="00673689" w:rsidP="005047C4">
            <w:pPr>
              <w:rPr>
                <w:sz w:val="24"/>
                <w:szCs w:val="24"/>
              </w:rPr>
            </w:pPr>
            <w:r>
              <w:rPr>
                <w:sz w:val="24"/>
                <w:szCs w:val="24"/>
              </w:rPr>
              <w:t>$</w:t>
            </w:r>
            <w:r w:rsidR="00041236">
              <w:rPr>
                <w:sz w:val="24"/>
                <w:szCs w:val="24"/>
              </w:rPr>
              <w:t>1000</w:t>
            </w:r>
          </w:p>
        </w:tc>
        <w:tc>
          <w:tcPr>
            <w:tcW w:w="2232" w:type="dxa"/>
          </w:tcPr>
          <w:p w14:paraId="2638315E" w14:textId="086F9D2A" w:rsidR="00673689" w:rsidRDefault="00041236" w:rsidP="005047C4">
            <w:pPr>
              <w:rPr>
                <w:sz w:val="24"/>
                <w:szCs w:val="24"/>
              </w:rPr>
            </w:pPr>
            <w:r w:rsidRPr="00BE280C">
              <w:rPr>
                <w:sz w:val="24"/>
                <w:szCs w:val="24"/>
              </w:rPr>
              <w:t>No change</w:t>
            </w:r>
            <w:r w:rsidR="00781090" w:rsidRPr="00BE280C">
              <w:rPr>
                <w:sz w:val="24"/>
                <w:szCs w:val="24"/>
              </w:rPr>
              <w:t>,</w:t>
            </w:r>
            <w:r w:rsidRPr="00BE280C">
              <w:rPr>
                <w:sz w:val="24"/>
                <w:szCs w:val="24"/>
              </w:rPr>
              <w:t xml:space="preserve"> but f</w:t>
            </w:r>
            <w:r w:rsidR="00673689" w:rsidRPr="00BE280C">
              <w:rPr>
                <w:sz w:val="24"/>
                <w:szCs w:val="24"/>
              </w:rPr>
              <w:t xml:space="preserve">ee being charged </w:t>
            </w:r>
            <w:r w:rsidR="00781090" w:rsidRPr="00BE280C">
              <w:rPr>
                <w:sz w:val="24"/>
                <w:szCs w:val="24"/>
              </w:rPr>
              <w:t xml:space="preserve">previously not listed </w:t>
            </w:r>
            <w:r w:rsidR="00673689" w:rsidRPr="00BE280C">
              <w:rPr>
                <w:sz w:val="24"/>
                <w:szCs w:val="24"/>
              </w:rPr>
              <w:t>in schedule</w:t>
            </w:r>
            <w:r w:rsidR="00673689">
              <w:rPr>
                <w:sz w:val="24"/>
                <w:szCs w:val="24"/>
              </w:rPr>
              <w:t xml:space="preserve">. </w:t>
            </w:r>
          </w:p>
        </w:tc>
      </w:tr>
      <w:tr w:rsidR="00673689" w14:paraId="0DE6BA1D" w14:textId="77777777" w:rsidTr="005047C4">
        <w:tc>
          <w:tcPr>
            <w:tcW w:w="2231" w:type="dxa"/>
          </w:tcPr>
          <w:p w14:paraId="7DD88913" w14:textId="77777777" w:rsidR="00673689" w:rsidRPr="00512C7F" w:rsidRDefault="00673689" w:rsidP="005047C4">
            <w:pPr>
              <w:pStyle w:val="Default"/>
              <w:rPr>
                <w:rFonts w:asciiTheme="minorHAnsi" w:hAnsiTheme="minorHAnsi" w:cstheme="minorHAnsi"/>
                <w:b/>
                <w:lang w:eastAsia="en-NZ"/>
              </w:rPr>
            </w:pPr>
            <w:r w:rsidRPr="00512C7F">
              <w:rPr>
                <w:rFonts w:asciiTheme="minorHAnsi" w:hAnsiTheme="minorHAnsi" w:cstheme="minorHAnsi"/>
                <w:b/>
                <w:lang w:eastAsia="en-NZ"/>
              </w:rPr>
              <w:t>Clinical Trial Amendments (new site new investigator)</w:t>
            </w:r>
          </w:p>
        </w:tc>
        <w:tc>
          <w:tcPr>
            <w:tcW w:w="2231" w:type="dxa"/>
          </w:tcPr>
          <w:p w14:paraId="770F96D5" w14:textId="77777777" w:rsidR="00673689" w:rsidRPr="00722781" w:rsidRDefault="00673689" w:rsidP="005047C4">
            <w:pPr>
              <w:pStyle w:val="ListParagraph"/>
              <w:numPr>
                <w:ilvl w:val="0"/>
                <w:numId w:val="25"/>
              </w:numPr>
              <w:rPr>
                <w:sz w:val="24"/>
                <w:szCs w:val="24"/>
              </w:rPr>
            </w:pPr>
          </w:p>
        </w:tc>
        <w:tc>
          <w:tcPr>
            <w:tcW w:w="2232" w:type="dxa"/>
          </w:tcPr>
          <w:p w14:paraId="2C1A702D" w14:textId="77777777" w:rsidR="00673689" w:rsidRDefault="00673689" w:rsidP="005047C4">
            <w:pPr>
              <w:rPr>
                <w:sz w:val="24"/>
                <w:szCs w:val="24"/>
              </w:rPr>
            </w:pPr>
            <w:r>
              <w:rPr>
                <w:sz w:val="24"/>
                <w:szCs w:val="24"/>
              </w:rPr>
              <w:t>$415</w:t>
            </w:r>
          </w:p>
        </w:tc>
        <w:tc>
          <w:tcPr>
            <w:tcW w:w="2232" w:type="dxa"/>
          </w:tcPr>
          <w:p w14:paraId="0D4E3F80" w14:textId="77777777" w:rsidR="00673689" w:rsidRDefault="00673689" w:rsidP="005047C4">
            <w:pPr>
              <w:rPr>
                <w:sz w:val="24"/>
                <w:szCs w:val="24"/>
              </w:rPr>
            </w:pPr>
            <w:r>
              <w:rPr>
                <w:sz w:val="24"/>
                <w:szCs w:val="24"/>
              </w:rPr>
              <w:t>Administration fee being introduced.</w:t>
            </w:r>
          </w:p>
        </w:tc>
      </w:tr>
      <w:bookmarkEnd w:id="9"/>
      <w:bookmarkEnd w:id="10"/>
    </w:tbl>
    <w:p w14:paraId="677EAF3E" w14:textId="77777777" w:rsidR="00673689" w:rsidRDefault="00673689" w:rsidP="00673689">
      <w:pPr>
        <w:rPr>
          <w:b/>
          <w:color w:val="4472C4" w:themeColor="accent1"/>
          <w:sz w:val="24"/>
          <w:szCs w:val="24"/>
        </w:rPr>
      </w:pPr>
    </w:p>
    <w:p w14:paraId="0215CD05" w14:textId="0B0F0084" w:rsidR="00673689" w:rsidRPr="00512C7F" w:rsidRDefault="008F5185" w:rsidP="00673689">
      <w:pPr>
        <w:rPr>
          <w:b/>
          <w:color w:val="4472C4" w:themeColor="accent1"/>
          <w:sz w:val="28"/>
          <w:szCs w:val="28"/>
        </w:rPr>
      </w:pPr>
      <w:r>
        <w:rPr>
          <w:b/>
          <w:color w:val="4472C4" w:themeColor="accent1"/>
          <w:sz w:val="28"/>
          <w:szCs w:val="28"/>
        </w:rPr>
        <w:t>L</w:t>
      </w:r>
      <w:r w:rsidR="00673689" w:rsidRPr="00512C7F">
        <w:rPr>
          <w:b/>
          <w:color w:val="4472C4" w:themeColor="accent1"/>
          <w:sz w:val="28"/>
          <w:szCs w:val="28"/>
        </w:rPr>
        <w:t>icensing fees and other application fees</w:t>
      </w:r>
    </w:p>
    <w:p w14:paraId="1966F716" w14:textId="6540EA0F" w:rsidR="00673689" w:rsidRDefault="005F4212" w:rsidP="00673689">
      <w:pPr>
        <w:rPr>
          <w:sz w:val="24"/>
          <w:szCs w:val="24"/>
        </w:rPr>
      </w:pPr>
      <w:r>
        <w:rPr>
          <w:sz w:val="24"/>
          <w:szCs w:val="24"/>
        </w:rPr>
        <w:t xml:space="preserve">Licensing fees and other application fees, such as: </w:t>
      </w:r>
    </w:p>
    <w:p w14:paraId="1E21B84D" w14:textId="77777777" w:rsidR="00673689" w:rsidRPr="009A4137" w:rsidRDefault="00673689" w:rsidP="00673689">
      <w:pPr>
        <w:pStyle w:val="ListParagraph"/>
        <w:numPr>
          <w:ilvl w:val="0"/>
          <w:numId w:val="21"/>
        </w:numPr>
        <w:rPr>
          <w:sz w:val="24"/>
          <w:szCs w:val="24"/>
        </w:rPr>
      </w:pPr>
      <w:r w:rsidRPr="009A4137">
        <w:rPr>
          <w:sz w:val="24"/>
          <w:szCs w:val="24"/>
        </w:rPr>
        <w:t>Licensing fees, including manufacturing licences, pharmacy licences, wholesale licences</w:t>
      </w:r>
    </w:p>
    <w:p w14:paraId="0EA81A06" w14:textId="77777777" w:rsidR="00673689" w:rsidRPr="00A21068" w:rsidRDefault="00673689" w:rsidP="00673689">
      <w:pPr>
        <w:pStyle w:val="ListParagraph"/>
        <w:numPr>
          <w:ilvl w:val="0"/>
          <w:numId w:val="21"/>
        </w:numPr>
        <w:autoSpaceDE w:val="0"/>
        <w:autoSpaceDN w:val="0"/>
        <w:adjustRightInd w:val="0"/>
        <w:rPr>
          <w:rFonts w:cs="Arial"/>
          <w:color w:val="000000"/>
        </w:rPr>
      </w:pPr>
      <w:r w:rsidRPr="00CA1A9E">
        <w:rPr>
          <w:sz w:val="24"/>
          <w:szCs w:val="24"/>
        </w:rPr>
        <w:t xml:space="preserve">Other applications, such as Certificates of Pharmaceutical Product, </w:t>
      </w:r>
      <w:r w:rsidRPr="00CA1A9E">
        <w:rPr>
          <w:rFonts w:cstheme="minorHAnsi"/>
          <w:sz w:val="24"/>
          <w:szCs w:val="24"/>
        </w:rPr>
        <w:t>Dietary</w:t>
      </w:r>
      <w:r w:rsidRPr="0021380C">
        <w:rPr>
          <w:rFonts w:cstheme="minorHAnsi"/>
          <w:sz w:val="24"/>
          <w:szCs w:val="24"/>
        </w:rPr>
        <w:t xml:space="preserve"> Supplement </w:t>
      </w:r>
      <w:r>
        <w:rPr>
          <w:rFonts w:cstheme="minorHAnsi"/>
          <w:sz w:val="24"/>
          <w:szCs w:val="24"/>
        </w:rPr>
        <w:t>R</w:t>
      </w:r>
      <w:r w:rsidRPr="0021380C">
        <w:rPr>
          <w:rFonts w:cstheme="minorHAnsi"/>
          <w:sz w:val="24"/>
          <w:szCs w:val="24"/>
        </w:rPr>
        <w:t>egulatory</w:t>
      </w:r>
      <w:r>
        <w:rPr>
          <w:rFonts w:cstheme="minorHAnsi"/>
          <w:sz w:val="24"/>
          <w:szCs w:val="24"/>
        </w:rPr>
        <w:t xml:space="preserve"> S</w:t>
      </w:r>
      <w:r w:rsidRPr="0021380C">
        <w:rPr>
          <w:rFonts w:cstheme="minorHAnsi"/>
          <w:sz w:val="24"/>
          <w:szCs w:val="24"/>
        </w:rPr>
        <w:t xml:space="preserve">tatements for Foreign Governments, Medical </w:t>
      </w:r>
      <w:r>
        <w:rPr>
          <w:rFonts w:cstheme="minorHAnsi"/>
          <w:sz w:val="24"/>
          <w:szCs w:val="24"/>
        </w:rPr>
        <w:t>D</w:t>
      </w:r>
      <w:r w:rsidRPr="0021380C">
        <w:rPr>
          <w:rFonts w:cstheme="minorHAnsi"/>
          <w:sz w:val="24"/>
          <w:szCs w:val="24"/>
        </w:rPr>
        <w:t xml:space="preserve">evice </w:t>
      </w:r>
      <w:r>
        <w:rPr>
          <w:rFonts w:cstheme="minorHAnsi"/>
          <w:sz w:val="24"/>
          <w:szCs w:val="24"/>
        </w:rPr>
        <w:t>R</w:t>
      </w:r>
      <w:r w:rsidRPr="0021380C">
        <w:rPr>
          <w:rFonts w:cstheme="minorHAnsi"/>
          <w:sz w:val="24"/>
          <w:szCs w:val="24"/>
        </w:rPr>
        <w:t xml:space="preserve">egulatory </w:t>
      </w:r>
      <w:r>
        <w:rPr>
          <w:rFonts w:cstheme="minorHAnsi"/>
          <w:sz w:val="24"/>
          <w:szCs w:val="24"/>
        </w:rPr>
        <w:t>S</w:t>
      </w:r>
      <w:r w:rsidRPr="0021380C">
        <w:rPr>
          <w:rFonts w:cstheme="minorHAnsi"/>
          <w:sz w:val="24"/>
          <w:szCs w:val="24"/>
        </w:rPr>
        <w:t>tatements for Foreign Governments</w:t>
      </w:r>
    </w:p>
    <w:p w14:paraId="33690838" w14:textId="77777777" w:rsidR="005435E0" w:rsidRDefault="005F4212" w:rsidP="00673689">
      <w:pPr>
        <w:rPr>
          <w:sz w:val="24"/>
          <w:szCs w:val="24"/>
        </w:rPr>
      </w:pPr>
      <w:r>
        <w:rPr>
          <w:sz w:val="24"/>
          <w:szCs w:val="24"/>
        </w:rPr>
        <w:t xml:space="preserve">were assessed for cost recovery and CPI increases. No cost recovery changes were identified but </w:t>
      </w:r>
      <w:r w:rsidR="00A659A1">
        <w:rPr>
          <w:sz w:val="24"/>
          <w:szCs w:val="24"/>
        </w:rPr>
        <w:t xml:space="preserve">the </w:t>
      </w:r>
      <w:r>
        <w:rPr>
          <w:sz w:val="24"/>
          <w:szCs w:val="24"/>
        </w:rPr>
        <w:t xml:space="preserve">CPI </w:t>
      </w:r>
      <w:r w:rsidR="00781090" w:rsidRPr="00BE280C">
        <w:rPr>
          <w:sz w:val="24"/>
          <w:szCs w:val="24"/>
        </w:rPr>
        <w:t>increase</w:t>
      </w:r>
      <w:r w:rsidR="00781090">
        <w:rPr>
          <w:sz w:val="24"/>
          <w:szCs w:val="24"/>
        </w:rPr>
        <w:t xml:space="preserve"> </w:t>
      </w:r>
      <w:r>
        <w:rPr>
          <w:sz w:val="24"/>
          <w:szCs w:val="24"/>
        </w:rPr>
        <w:t xml:space="preserve">will apply. </w:t>
      </w:r>
      <w:bookmarkEnd w:id="7"/>
    </w:p>
    <w:p w14:paraId="5F6D0C8E" w14:textId="77777777" w:rsidR="005435E0" w:rsidRPr="00280017" w:rsidRDefault="005435E0" w:rsidP="005435E0">
      <w:pPr>
        <w:rPr>
          <w:sz w:val="24"/>
          <w:szCs w:val="24"/>
        </w:rPr>
      </w:pPr>
    </w:p>
    <w:p w14:paraId="758796F9" w14:textId="77777777" w:rsidR="005435E0" w:rsidRDefault="005435E0" w:rsidP="005435E0">
      <w:pPr>
        <w:pBdr>
          <w:top w:val="single" w:sz="4" w:space="1" w:color="auto"/>
          <w:left w:val="single" w:sz="4" w:space="4" w:color="auto"/>
          <w:bottom w:val="single" w:sz="4" w:space="1" w:color="auto"/>
          <w:right w:val="single" w:sz="4" w:space="4" w:color="auto"/>
        </w:pBdr>
        <w:rPr>
          <w:b/>
          <w:bCs/>
          <w:sz w:val="24"/>
          <w:szCs w:val="24"/>
        </w:rPr>
      </w:pPr>
      <w:r w:rsidRPr="00280017">
        <w:rPr>
          <w:b/>
          <w:bCs/>
          <w:sz w:val="24"/>
          <w:szCs w:val="24"/>
        </w:rPr>
        <w:t>Question</w:t>
      </w:r>
      <w:r>
        <w:rPr>
          <w:b/>
          <w:bCs/>
          <w:sz w:val="24"/>
          <w:szCs w:val="24"/>
        </w:rPr>
        <w:t xml:space="preserve"> 7: Do you agree with these proposals? If not, why not?</w:t>
      </w:r>
    </w:p>
    <w:p w14:paraId="7637867F" w14:textId="1956D654" w:rsidR="00673689" w:rsidRDefault="00673689" w:rsidP="00673689">
      <w:pPr>
        <w:rPr>
          <w:rFonts w:ascii="Segoe UI" w:hAnsi="Segoe UI" w:cs="Segoe UI"/>
          <w:b/>
          <w:i/>
          <w:color w:val="4472C4" w:themeColor="accent1"/>
          <w:sz w:val="36"/>
          <w:szCs w:val="36"/>
        </w:rPr>
      </w:pPr>
      <w:r>
        <w:rPr>
          <w:rFonts w:ascii="Segoe UI" w:hAnsi="Segoe UI" w:cs="Segoe UI"/>
          <w:b/>
          <w:i/>
          <w:color w:val="4472C4" w:themeColor="accent1"/>
          <w:sz w:val="36"/>
          <w:szCs w:val="36"/>
        </w:rPr>
        <w:br w:type="page"/>
      </w:r>
    </w:p>
    <w:p w14:paraId="074FA083" w14:textId="77777777" w:rsidR="00736114" w:rsidRDefault="00736114">
      <w:pPr>
        <w:rPr>
          <w:rFonts w:cs="Arial"/>
          <w:color w:val="000000"/>
        </w:rPr>
      </w:pPr>
    </w:p>
    <w:p w14:paraId="42DDD04C" w14:textId="75500412" w:rsidR="00AD225F" w:rsidRPr="00737F56" w:rsidRDefault="00AD225F" w:rsidP="00AD225F">
      <w:pPr>
        <w:rPr>
          <w:rFonts w:ascii="Segoe UI" w:hAnsi="Segoe UI" w:cs="Segoe UI"/>
          <w:b/>
          <w:color w:val="4472C4" w:themeColor="accent1"/>
          <w:sz w:val="32"/>
          <w:szCs w:val="32"/>
        </w:rPr>
      </w:pPr>
      <w:r>
        <w:rPr>
          <w:rFonts w:ascii="Segoe UI" w:hAnsi="Segoe UI" w:cs="Segoe UI"/>
          <w:b/>
          <w:color w:val="4472C4" w:themeColor="accent1"/>
          <w:sz w:val="32"/>
          <w:szCs w:val="32"/>
        </w:rPr>
        <w:t>Other</w:t>
      </w:r>
      <w:r w:rsidRPr="00737F56">
        <w:rPr>
          <w:rFonts w:ascii="Segoe UI" w:hAnsi="Segoe UI" w:cs="Segoe UI"/>
          <w:b/>
          <w:color w:val="4472C4" w:themeColor="accent1"/>
          <w:sz w:val="32"/>
          <w:szCs w:val="32"/>
        </w:rPr>
        <w:t xml:space="preserve"> </w:t>
      </w:r>
      <w:r w:rsidR="00022005">
        <w:rPr>
          <w:rFonts w:ascii="Segoe UI" w:hAnsi="Segoe UI" w:cs="Segoe UI"/>
          <w:b/>
          <w:color w:val="4472C4" w:themeColor="accent1"/>
          <w:sz w:val="32"/>
          <w:szCs w:val="32"/>
        </w:rPr>
        <w:t xml:space="preserve">proposed </w:t>
      </w:r>
      <w:r w:rsidRPr="00737F56">
        <w:rPr>
          <w:rFonts w:ascii="Segoe UI" w:hAnsi="Segoe UI" w:cs="Segoe UI"/>
          <w:b/>
          <w:color w:val="4472C4" w:themeColor="accent1"/>
          <w:sz w:val="32"/>
          <w:szCs w:val="32"/>
        </w:rPr>
        <w:t xml:space="preserve">changes </w:t>
      </w:r>
    </w:p>
    <w:p w14:paraId="528CD53D" w14:textId="1A1A02D9" w:rsidR="00AD225F" w:rsidRPr="00EF0CF5" w:rsidRDefault="00240A1A" w:rsidP="00AD225F">
      <w:pPr>
        <w:rPr>
          <w:rFonts w:ascii="Segoe UI" w:hAnsi="Segoe UI" w:cs="Segoe UI"/>
          <w:b/>
          <w:color w:val="4472C4" w:themeColor="accent1"/>
          <w:sz w:val="24"/>
          <w:szCs w:val="24"/>
        </w:rPr>
      </w:pPr>
      <w:r w:rsidRPr="00EF0CF5">
        <w:rPr>
          <w:rFonts w:ascii="Segoe UI" w:hAnsi="Segoe UI" w:cs="Segoe UI"/>
          <w:b/>
          <w:color w:val="4472C4" w:themeColor="accent1"/>
          <w:sz w:val="24"/>
          <w:szCs w:val="24"/>
        </w:rPr>
        <w:t>S</w:t>
      </w:r>
      <w:r>
        <w:rPr>
          <w:rFonts w:ascii="Segoe UI" w:hAnsi="Segoe UI" w:cs="Segoe UI"/>
          <w:b/>
          <w:color w:val="4472C4" w:themeColor="accent1"/>
          <w:sz w:val="24"/>
          <w:szCs w:val="24"/>
        </w:rPr>
        <w:t>elf-</w:t>
      </w:r>
      <w:r w:rsidRPr="00EF0CF5">
        <w:rPr>
          <w:rFonts w:ascii="Segoe UI" w:hAnsi="Segoe UI" w:cs="Segoe UI"/>
          <w:b/>
          <w:color w:val="4472C4" w:themeColor="accent1"/>
          <w:sz w:val="24"/>
          <w:szCs w:val="24"/>
        </w:rPr>
        <w:t>A</w:t>
      </w:r>
      <w:r>
        <w:rPr>
          <w:rFonts w:ascii="Segoe UI" w:hAnsi="Segoe UI" w:cs="Segoe UI"/>
          <w:b/>
          <w:color w:val="4472C4" w:themeColor="accent1"/>
          <w:sz w:val="24"/>
          <w:szCs w:val="24"/>
        </w:rPr>
        <w:t>ssessable</w:t>
      </w:r>
      <w:r w:rsidR="00AD225F">
        <w:rPr>
          <w:rFonts w:ascii="Segoe UI" w:hAnsi="Segoe UI" w:cs="Segoe UI"/>
          <w:b/>
          <w:color w:val="4472C4" w:themeColor="accent1"/>
          <w:sz w:val="24"/>
          <w:szCs w:val="24"/>
        </w:rPr>
        <w:t xml:space="preserve"> </w:t>
      </w:r>
      <w:r w:rsidR="00AD225F" w:rsidRPr="00EF0CF5">
        <w:rPr>
          <w:rFonts w:ascii="Segoe UI" w:hAnsi="Segoe UI" w:cs="Segoe UI"/>
          <w:b/>
          <w:color w:val="4472C4" w:themeColor="accent1"/>
          <w:sz w:val="24"/>
          <w:szCs w:val="24"/>
        </w:rPr>
        <w:t>C</w:t>
      </w:r>
      <w:r w:rsidR="00AD225F">
        <w:rPr>
          <w:rFonts w:ascii="Segoe UI" w:hAnsi="Segoe UI" w:cs="Segoe UI"/>
          <w:b/>
          <w:color w:val="4472C4" w:themeColor="accent1"/>
          <w:sz w:val="24"/>
          <w:szCs w:val="24"/>
        </w:rPr>
        <w:t xml:space="preserve">hange </w:t>
      </w:r>
      <w:r w:rsidR="00AD225F" w:rsidRPr="00EF0CF5">
        <w:rPr>
          <w:rFonts w:ascii="Segoe UI" w:hAnsi="Segoe UI" w:cs="Segoe UI"/>
          <w:b/>
          <w:color w:val="4472C4" w:themeColor="accent1"/>
          <w:sz w:val="24"/>
          <w:szCs w:val="24"/>
        </w:rPr>
        <w:t>N</w:t>
      </w:r>
      <w:r w:rsidR="00AD225F">
        <w:rPr>
          <w:rFonts w:ascii="Segoe UI" w:hAnsi="Segoe UI" w:cs="Segoe UI"/>
          <w:b/>
          <w:color w:val="4472C4" w:themeColor="accent1"/>
          <w:sz w:val="24"/>
          <w:szCs w:val="24"/>
        </w:rPr>
        <w:t>otifications (SACNs)</w:t>
      </w:r>
    </w:p>
    <w:p w14:paraId="7FDD78FF" w14:textId="36D4E9ED" w:rsidR="00AD225F" w:rsidRPr="00025B56" w:rsidRDefault="00AD225F" w:rsidP="00AD225F">
      <w:pPr>
        <w:rPr>
          <w:sz w:val="24"/>
          <w:szCs w:val="24"/>
        </w:rPr>
      </w:pPr>
      <w:r w:rsidRPr="00025B56">
        <w:rPr>
          <w:sz w:val="24"/>
          <w:szCs w:val="24"/>
        </w:rPr>
        <w:t xml:space="preserve">Currently SACNs submitted with a CMN are not charged any fees, whereas they incur a cost of $415 per change when submitted separately. It is </w:t>
      </w:r>
      <w:r w:rsidR="00F43090">
        <w:rPr>
          <w:sz w:val="24"/>
          <w:szCs w:val="24"/>
        </w:rPr>
        <w:t>proposed</w:t>
      </w:r>
      <w:r w:rsidRPr="00025B56">
        <w:rPr>
          <w:sz w:val="24"/>
          <w:szCs w:val="24"/>
        </w:rPr>
        <w:t xml:space="preserve"> that this be removed and all SACNs be charged the same </w:t>
      </w:r>
      <w:r w:rsidR="00F75AFE">
        <w:rPr>
          <w:sz w:val="24"/>
          <w:szCs w:val="24"/>
        </w:rPr>
        <w:t>administrative fee</w:t>
      </w:r>
      <w:r w:rsidRPr="00025B56">
        <w:rPr>
          <w:sz w:val="24"/>
          <w:szCs w:val="24"/>
        </w:rPr>
        <w:t>, regardless of how they are submitted</w:t>
      </w:r>
      <w:r w:rsidR="0017397D">
        <w:rPr>
          <w:sz w:val="24"/>
          <w:szCs w:val="24"/>
        </w:rPr>
        <w:t xml:space="preserve"> as they still require administrative action</w:t>
      </w:r>
      <w:r w:rsidRPr="00025B56">
        <w:rPr>
          <w:sz w:val="24"/>
          <w:szCs w:val="24"/>
        </w:rPr>
        <w:t xml:space="preserve">. </w:t>
      </w:r>
      <w:r w:rsidR="00EB6733">
        <w:rPr>
          <w:sz w:val="24"/>
          <w:szCs w:val="24"/>
        </w:rPr>
        <w:t xml:space="preserve">This change can be affected through </w:t>
      </w:r>
      <w:r w:rsidRPr="00025B56">
        <w:rPr>
          <w:sz w:val="24"/>
          <w:szCs w:val="24"/>
        </w:rPr>
        <w:t>a change in CMN forms and guidelines</w:t>
      </w:r>
      <w:r w:rsidR="00EB6733">
        <w:rPr>
          <w:sz w:val="24"/>
          <w:szCs w:val="24"/>
        </w:rPr>
        <w:t>, rather than requiring changes to the Regulations</w:t>
      </w:r>
      <w:r w:rsidRPr="00025B56">
        <w:rPr>
          <w:sz w:val="24"/>
          <w:szCs w:val="24"/>
        </w:rPr>
        <w:t>.</w:t>
      </w:r>
    </w:p>
    <w:p w14:paraId="20176424" w14:textId="77777777" w:rsidR="00AD225F" w:rsidRDefault="00AD225F" w:rsidP="00AD225F"/>
    <w:p w14:paraId="3C697BB1" w14:textId="77777777" w:rsidR="00AD225F" w:rsidRPr="00EF0CF5" w:rsidRDefault="00AD225F" w:rsidP="00AD225F">
      <w:pPr>
        <w:rPr>
          <w:rFonts w:ascii="Segoe UI" w:hAnsi="Segoe UI" w:cs="Segoe UI"/>
          <w:color w:val="4472C4" w:themeColor="accent1"/>
          <w:sz w:val="24"/>
          <w:szCs w:val="24"/>
        </w:rPr>
      </w:pPr>
      <w:r w:rsidRPr="00EF0CF5">
        <w:rPr>
          <w:rFonts w:ascii="Segoe UI" w:hAnsi="Segoe UI" w:cs="Segoe UI"/>
          <w:b/>
          <w:color w:val="4472C4" w:themeColor="accent1"/>
          <w:sz w:val="24"/>
          <w:szCs w:val="24"/>
        </w:rPr>
        <w:t>Additional fees for NMAs that include multiple names, strengths and dosage forms</w:t>
      </w:r>
    </w:p>
    <w:p w14:paraId="35BAFB23" w14:textId="5BB6FF52" w:rsidR="00AD225F" w:rsidRPr="00D3153E" w:rsidRDefault="00455BB2" w:rsidP="00AD225F">
      <w:pPr>
        <w:rPr>
          <w:sz w:val="24"/>
          <w:szCs w:val="24"/>
        </w:rPr>
      </w:pPr>
      <w:r>
        <w:rPr>
          <w:sz w:val="24"/>
          <w:szCs w:val="24"/>
        </w:rPr>
        <w:t>While the</w:t>
      </w:r>
      <w:r w:rsidR="00AD225F" w:rsidRPr="00D3153E">
        <w:rPr>
          <w:sz w:val="24"/>
          <w:szCs w:val="24"/>
        </w:rPr>
        <w:t xml:space="preserve"> </w:t>
      </w:r>
      <w:proofErr w:type="spellStart"/>
      <w:r w:rsidR="00AD225F" w:rsidRPr="00D3153E">
        <w:rPr>
          <w:sz w:val="24"/>
          <w:szCs w:val="24"/>
        </w:rPr>
        <w:t>Medsafe</w:t>
      </w:r>
      <w:proofErr w:type="spellEnd"/>
      <w:r w:rsidR="00AD225F" w:rsidRPr="00D3153E">
        <w:rPr>
          <w:sz w:val="24"/>
          <w:szCs w:val="24"/>
        </w:rPr>
        <w:t xml:space="preserve"> guidelines and schedule of fees</w:t>
      </w:r>
      <w:r>
        <w:rPr>
          <w:sz w:val="24"/>
          <w:szCs w:val="24"/>
        </w:rPr>
        <w:t xml:space="preserve"> indicate</w:t>
      </w:r>
      <w:r w:rsidRPr="00D3153E">
        <w:rPr>
          <w:sz w:val="24"/>
          <w:szCs w:val="24"/>
        </w:rPr>
        <w:t xml:space="preserve"> </w:t>
      </w:r>
      <w:r w:rsidR="00AD225F" w:rsidRPr="00D3153E">
        <w:rPr>
          <w:sz w:val="24"/>
          <w:szCs w:val="24"/>
        </w:rPr>
        <w:t>a single fee is charged for NMAs regardless of how many names, strengths and dosage forms are proposed</w:t>
      </w:r>
      <w:r>
        <w:rPr>
          <w:sz w:val="24"/>
          <w:szCs w:val="24"/>
        </w:rPr>
        <w:t xml:space="preserve">, </w:t>
      </w:r>
      <w:r w:rsidR="00AD225F" w:rsidRPr="00D3153E">
        <w:rPr>
          <w:sz w:val="24"/>
          <w:szCs w:val="24"/>
        </w:rPr>
        <w:t>in practice</w:t>
      </w:r>
      <w:r w:rsidR="00F43090">
        <w:rPr>
          <w:sz w:val="24"/>
          <w:szCs w:val="24"/>
        </w:rPr>
        <w:t>,</w:t>
      </w:r>
      <w:r w:rsidR="00AD225F" w:rsidRPr="00D3153E">
        <w:rPr>
          <w:sz w:val="24"/>
          <w:szCs w:val="24"/>
        </w:rPr>
        <w:t xml:space="preserve"> additional fees are typically applied to additional dosage forms. </w:t>
      </w:r>
    </w:p>
    <w:p w14:paraId="5F0ED3A5" w14:textId="62842B3E" w:rsidR="008D7DF9" w:rsidRDefault="00455BB2" w:rsidP="008D7DF9">
      <w:pPr>
        <w:rPr>
          <w:sz w:val="24"/>
          <w:szCs w:val="24"/>
        </w:rPr>
      </w:pPr>
      <w:r>
        <w:rPr>
          <w:sz w:val="24"/>
          <w:szCs w:val="24"/>
        </w:rPr>
        <w:t>It is proposed to f</w:t>
      </w:r>
      <w:r w:rsidR="008D7DF9">
        <w:rPr>
          <w:sz w:val="24"/>
          <w:szCs w:val="24"/>
        </w:rPr>
        <w:t>ormalise</w:t>
      </w:r>
      <w:r w:rsidR="008D7DF9" w:rsidRPr="00D3153E">
        <w:rPr>
          <w:sz w:val="24"/>
          <w:szCs w:val="24"/>
        </w:rPr>
        <w:t xml:space="preserve"> additive fees for NMAs for products with multiple names, strengths and/or dosage forms</w:t>
      </w:r>
      <w:r>
        <w:rPr>
          <w:sz w:val="24"/>
          <w:szCs w:val="24"/>
        </w:rPr>
        <w:t xml:space="preserve"> as these are regularly charged for and reflect the effort required. This also improves the transparency of the fees charged.</w:t>
      </w:r>
      <w:r w:rsidR="00CF5BD9">
        <w:rPr>
          <w:sz w:val="24"/>
          <w:szCs w:val="24"/>
        </w:rPr>
        <w:t xml:space="preserve"> This will be </w:t>
      </w:r>
      <w:proofErr w:type="gramStart"/>
      <w:r w:rsidR="00CF5BD9">
        <w:rPr>
          <w:sz w:val="24"/>
          <w:szCs w:val="24"/>
        </w:rPr>
        <w:t>effected</w:t>
      </w:r>
      <w:proofErr w:type="gramEnd"/>
      <w:r w:rsidR="00CF5BD9">
        <w:rPr>
          <w:sz w:val="24"/>
          <w:szCs w:val="24"/>
        </w:rPr>
        <w:t xml:space="preserve"> through an clarification of the Fees Schedule (see </w:t>
      </w:r>
      <w:r w:rsidR="00CF5BD9" w:rsidRPr="000F2CDC">
        <w:rPr>
          <w:sz w:val="24"/>
          <w:szCs w:val="24"/>
        </w:rPr>
        <w:t>Appendix</w:t>
      </w:r>
      <w:r w:rsidR="00CF5BD9">
        <w:rPr>
          <w:sz w:val="24"/>
          <w:szCs w:val="24"/>
        </w:rPr>
        <w:t xml:space="preserve"> </w:t>
      </w:r>
      <w:r w:rsidR="008D16EE">
        <w:rPr>
          <w:sz w:val="24"/>
          <w:szCs w:val="24"/>
        </w:rPr>
        <w:t>C</w:t>
      </w:r>
      <w:r w:rsidR="000F2CDC">
        <w:rPr>
          <w:sz w:val="24"/>
          <w:szCs w:val="24"/>
        </w:rPr>
        <w:t xml:space="preserve"> for a comparative fees schedule</w:t>
      </w:r>
      <w:r w:rsidR="00CF5BD9">
        <w:rPr>
          <w:sz w:val="24"/>
          <w:szCs w:val="24"/>
        </w:rPr>
        <w:t xml:space="preserve">). </w:t>
      </w:r>
    </w:p>
    <w:p w14:paraId="1C4C9356" w14:textId="3455F749" w:rsidR="00AD225F" w:rsidRDefault="00AD225F" w:rsidP="00AD225F">
      <w:pPr>
        <w:rPr>
          <w:sz w:val="24"/>
          <w:szCs w:val="24"/>
        </w:rPr>
      </w:pPr>
    </w:p>
    <w:p w14:paraId="60FC7B51" w14:textId="1D7C03DC" w:rsidR="0017397D" w:rsidRPr="0017397D" w:rsidRDefault="0017397D" w:rsidP="005435E0">
      <w:pPr>
        <w:pBdr>
          <w:top w:val="single" w:sz="4" w:space="1" w:color="auto"/>
          <w:left w:val="single" w:sz="4" w:space="4" w:color="auto"/>
          <w:bottom w:val="single" w:sz="4" w:space="1" w:color="auto"/>
          <w:right w:val="single" w:sz="4" w:space="4" w:color="auto"/>
        </w:pBdr>
        <w:rPr>
          <w:b/>
          <w:bCs/>
          <w:sz w:val="24"/>
          <w:szCs w:val="24"/>
        </w:rPr>
      </w:pPr>
      <w:r>
        <w:rPr>
          <w:b/>
          <w:bCs/>
          <w:sz w:val="24"/>
          <w:szCs w:val="24"/>
        </w:rPr>
        <w:t>Questio</w:t>
      </w:r>
      <w:r w:rsidR="00791533">
        <w:rPr>
          <w:b/>
          <w:bCs/>
          <w:sz w:val="24"/>
          <w:szCs w:val="24"/>
        </w:rPr>
        <w:t>n</w:t>
      </w:r>
      <w:r w:rsidR="005435E0">
        <w:rPr>
          <w:b/>
          <w:bCs/>
          <w:sz w:val="24"/>
          <w:szCs w:val="24"/>
        </w:rPr>
        <w:t xml:space="preserve"> 8</w:t>
      </w:r>
      <w:r>
        <w:rPr>
          <w:b/>
          <w:bCs/>
          <w:sz w:val="24"/>
          <w:szCs w:val="24"/>
        </w:rPr>
        <w:t xml:space="preserve">: do you agree with these </w:t>
      </w:r>
      <w:r w:rsidR="005435E0">
        <w:rPr>
          <w:b/>
          <w:bCs/>
          <w:sz w:val="24"/>
          <w:szCs w:val="24"/>
        </w:rPr>
        <w:t xml:space="preserve">other </w:t>
      </w:r>
      <w:r>
        <w:rPr>
          <w:b/>
          <w:bCs/>
          <w:sz w:val="24"/>
          <w:szCs w:val="24"/>
        </w:rPr>
        <w:t>proposals? If not, why not?</w:t>
      </w:r>
    </w:p>
    <w:p w14:paraId="1FC29FC8" w14:textId="72EC02A4" w:rsidR="00240A1A" w:rsidRDefault="00240A1A">
      <w:pPr>
        <w:rPr>
          <w:rFonts w:cs="Arial"/>
          <w:b/>
          <w:color w:val="4472C4" w:themeColor="accent1"/>
          <w:sz w:val="28"/>
          <w:szCs w:val="28"/>
        </w:rPr>
      </w:pPr>
      <w:r>
        <w:rPr>
          <w:rFonts w:cs="Arial"/>
          <w:b/>
          <w:color w:val="4472C4" w:themeColor="accent1"/>
          <w:sz w:val="28"/>
          <w:szCs w:val="28"/>
        </w:rPr>
        <w:br w:type="page"/>
      </w:r>
    </w:p>
    <w:p w14:paraId="632E362D" w14:textId="77777777" w:rsidR="00722781" w:rsidRPr="00F53C2A" w:rsidRDefault="00722781">
      <w:pPr>
        <w:rPr>
          <w:rFonts w:cs="Arial"/>
          <w:b/>
          <w:color w:val="4472C4" w:themeColor="accent1"/>
          <w:sz w:val="28"/>
          <w:szCs w:val="28"/>
        </w:rPr>
      </w:pPr>
    </w:p>
    <w:p w14:paraId="22E103DB" w14:textId="44CDE5C0" w:rsidR="004A6F85" w:rsidRDefault="004A6F85" w:rsidP="004A6F85">
      <w:pPr>
        <w:rPr>
          <w:rFonts w:ascii="Segoe UI" w:hAnsi="Segoe UI" w:cs="Segoe UI"/>
          <w:b/>
          <w:color w:val="4472C4" w:themeColor="accent1"/>
          <w:sz w:val="52"/>
          <w:szCs w:val="52"/>
        </w:rPr>
      </w:pPr>
      <w:r>
        <w:rPr>
          <w:rFonts w:ascii="Segoe UI" w:hAnsi="Segoe UI" w:cs="Segoe UI"/>
          <w:b/>
          <w:color w:val="4472C4" w:themeColor="accent1"/>
          <w:sz w:val="52"/>
          <w:szCs w:val="52"/>
        </w:rPr>
        <w:t>Options on how to apply the outcomes of the fees review</w:t>
      </w:r>
    </w:p>
    <w:p w14:paraId="723D434D" w14:textId="77777777" w:rsidR="00F75AFE" w:rsidRDefault="00F75AFE" w:rsidP="004A6F85">
      <w:pPr>
        <w:rPr>
          <w:sz w:val="24"/>
          <w:szCs w:val="24"/>
        </w:rPr>
      </w:pPr>
    </w:p>
    <w:p w14:paraId="2D5DA088" w14:textId="25CAE482" w:rsidR="004A6F85" w:rsidRDefault="004A6F85" w:rsidP="004A6F85">
      <w:pPr>
        <w:rPr>
          <w:sz w:val="24"/>
          <w:szCs w:val="24"/>
        </w:rPr>
      </w:pPr>
      <w:r w:rsidRPr="009523B6">
        <w:rPr>
          <w:sz w:val="24"/>
          <w:szCs w:val="24"/>
        </w:rPr>
        <w:t xml:space="preserve">Given the outcome of the fees review, three </w:t>
      </w:r>
      <w:r>
        <w:rPr>
          <w:sz w:val="24"/>
          <w:szCs w:val="24"/>
        </w:rPr>
        <w:t>options have been identified.</w:t>
      </w:r>
      <w:r w:rsidR="00E21620">
        <w:rPr>
          <w:sz w:val="24"/>
          <w:szCs w:val="24"/>
        </w:rPr>
        <w:t xml:space="preserve"> Each option has been assessed against each of the criteria</w:t>
      </w:r>
    </w:p>
    <w:p w14:paraId="5EB96880" w14:textId="0AFF736A" w:rsidR="00E921BA" w:rsidRDefault="00282122" w:rsidP="004A6F85">
      <w:pPr>
        <w:rPr>
          <w:rFonts w:ascii="Segoe UI" w:hAnsi="Segoe UI" w:cs="Segoe UI"/>
          <w:b/>
          <w:color w:val="4472C4" w:themeColor="accent1"/>
          <w:sz w:val="28"/>
          <w:szCs w:val="28"/>
        </w:rPr>
      </w:pPr>
      <w:r>
        <w:rPr>
          <w:rFonts w:ascii="Segoe UI" w:hAnsi="Segoe UI" w:cs="Segoe UI"/>
          <w:b/>
          <w:color w:val="4472C4" w:themeColor="accent1"/>
          <w:sz w:val="28"/>
          <w:szCs w:val="28"/>
        </w:rPr>
        <w:t>Option 1</w:t>
      </w:r>
    </w:p>
    <w:p w14:paraId="3EDDAB0F" w14:textId="3B068F70" w:rsidR="004A6F85" w:rsidRDefault="004A6F85" w:rsidP="004A6F85">
      <w:pPr>
        <w:rPr>
          <w:sz w:val="24"/>
          <w:szCs w:val="24"/>
        </w:rPr>
      </w:pPr>
      <w:r w:rsidRPr="00EF0CF5">
        <w:rPr>
          <w:b/>
          <w:i/>
          <w:sz w:val="24"/>
          <w:szCs w:val="24"/>
        </w:rPr>
        <w:t>Status quo</w:t>
      </w:r>
      <w:r w:rsidRPr="00EF0CF5">
        <w:rPr>
          <w:b/>
          <w:sz w:val="24"/>
          <w:szCs w:val="24"/>
        </w:rPr>
        <w:t>:</w:t>
      </w:r>
      <w:r>
        <w:rPr>
          <w:sz w:val="24"/>
          <w:szCs w:val="24"/>
        </w:rPr>
        <w:t xml:space="preserve"> </w:t>
      </w:r>
      <w:r w:rsidRPr="00791212">
        <w:rPr>
          <w:i/>
          <w:sz w:val="24"/>
          <w:szCs w:val="24"/>
        </w:rPr>
        <w:t>this option means that no changes to fees are implemented</w:t>
      </w:r>
      <w:r w:rsidR="00FD709A">
        <w:rPr>
          <w:i/>
          <w:sz w:val="24"/>
          <w:szCs w:val="24"/>
        </w:rPr>
        <w:t xml:space="preserve">. </w:t>
      </w:r>
    </w:p>
    <w:p w14:paraId="58F8291D" w14:textId="77777777" w:rsidR="004A6F85" w:rsidRDefault="004A6F85" w:rsidP="004A6F85">
      <w:pPr>
        <w:rPr>
          <w:sz w:val="24"/>
          <w:szCs w:val="24"/>
        </w:rPr>
      </w:pPr>
      <w:r>
        <w:rPr>
          <w:sz w:val="24"/>
          <w:szCs w:val="24"/>
        </w:rPr>
        <w:t xml:space="preserve">This option is not feasible due as this will lead to the continuing decline of the Memorandum Account and will lead to </w:t>
      </w:r>
      <w:proofErr w:type="spellStart"/>
      <w:r>
        <w:rPr>
          <w:sz w:val="24"/>
          <w:szCs w:val="24"/>
        </w:rPr>
        <w:t>Medsafe</w:t>
      </w:r>
      <w:proofErr w:type="spellEnd"/>
      <w:r>
        <w:rPr>
          <w:sz w:val="24"/>
          <w:szCs w:val="24"/>
        </w:rPr>
        <w:t xml:space="preserve"> needing to cut expenditure. One of the main expenses for </w:t>
      </w:r>
      <w:proofErr w:type="spellStart"/>
      <w:r>
        <w:rPr>
          <w:sz w:val="24"/>
          <w:szCs w:val="24"/>
        </w:rPr>
        <w:t>Medsafe</w:t>
      </w:r>
      <w:proofErr w:type="spellEnd"/>
      <w:r>
        <w:rPr>
          <w:sz w:val="24"/>
          <w:szCs w:val="24"/>
        </w:rPr>
        <w:t xml:space="preserve"> is staff, and we are committed to providing adequate service levels for clients of </w:t>
      </w:r>
      <w:proofErr w:type="spellStart"/>
      <w:r>
        <w:rPr>
          <w:sz w:val="24"/>
          <w:szCs w:val="24"/>
        </w:rPr>
        <w:t>Medsafe</w:t>
      </w:r>
      <w:proofErr w:type="spellEnd"/>
      <w:r>
        <w:rPr>
          <w:sz w:val="24"/>
          <w:szCs w:val="24"/>
        </w:rPr>
        <w:t xml:space="preserve"> by recruiting and maintaining appropriately skilled people. Reducing staff would impact severely on the service to </w:t>
      </w:r>
      <w:proofErr w:type="spellStart"/>
      <w:r>
        <w:rPr>
          <w:sz w:val="24"/>
          <w:szCs w:val="24"/>
        </w:rPr>
        <w:t>Medsafe</w:t>
      </w:r>
      <w:proofErr w:type="spellEnd"/>
      <w:r>
        <w:rPr>
          <w:sz w:val="24"/>
          <w:szCs w:val="24"/>
        </w:rPr>
        <w:t xml:space="preserve"> clients, and ultimately adversely affect healthcare professionals and the public. </w:t>
      </w:r>
    </w:p>
    <w:p w14:paraId="434E2AC8" w14:textId="77777777" w:rsidR="004A6F85" w:rsidRDefault="004A6F85" w:rsidP="004A6F85">
      <w:pPr>
        <w:rPr>
          <w:sz w:val="24"/>
          <w:szCs w:val="24"/>
        </w:rPr>
      </w:pPr>
      <w:r>
        <w:rPr>
          <w:sz w:val="24"/>
          <w:szCs w:val="24"/>
        </w:rPr>
        <w:t xml:space="preserve">While the improvement initiatives would continue to be progressed, staff availability to undertake this work would be compromised and the improvements may take an extended time to complete. There would be no replacement of obsolete technology as this requires investment. </w:t>
      </w:r>
    </w:p>
    <w:p w14:paraId="6BFF5A20" w14:textId="77777777" w:rsidR="00282122" w:rsidRDefault="00282122" w:rsidP="004A6F85">
      <w:pPr>
        <w:rPr>
          <w:b/>
          <w:sz w:val="24"/>
          <w:szCs w:val="24"/>
        </w:rPr>
      </w:pPr>
    </w:p>
    <w:p w14:paraId="3AE8B8AF" w14:textId="1D1B99E8" w:rsidR="00282122" w:rsidRDefault="00282122" w:rsidP="00282122">
      <w:pPr>
        <w:rPr>
          <w:rFonts w:ascii="Segoe UI" w:hAnsi="Segoe UI" w:cs="Segoe UI"/>
          <w:b/>
          <w:color w:val="4472C4" w:themeColor="accent1"/>
          <w:sz w:val="28"/>
          <w:szCs w:val="28"/>
        </w:rPr>
      </w:pPr>
      <w:r>
        <w:rPr>
          <w:rFonts w:ascii="Segoe UI" w:hAnsi="Segoe UI" w:cs="Segoe UI"/>
          <w:b/>
          <w:color w:val="4472C4" w:themeColor="accent1"/>
          <w:sz w:val="28"/>
          <w:szCs w:val="28"/>
        </w:rPr>
        <w:t>Option 2</w:t>
      </w:r>
    </w:p>
    <w:p w14:paraId="4F36E8A4" w14:textId="6A9B064F" w:rsidR="004A6F85" w:rsidRDefault="00FD709A" w:rsidP="004A6F85">
      <w:pPr>
        <w:rPr>
          <w:sz w:val="24"/>
          <w:szCs w:val="24"/>
        </w:rPr>
      </w:pPr>
      <w:r>
        <w:rPr>
          <w:b/>
          <w:i/>
          <w:sz w:val="24"/>
          <w:szCs w:val="24"/>
        </w:rPr>
        <w:t>Flat fee</w:t>
      </w:r>
      <w:r w:rsidR="004A6F85" w:rsidRPr="00EF0CF5">
        <w:rPr>
          <w:b/>
          <w:i/>
          <w:sz w:val="24"/>
          <w:szCs w:val="24"/>
        </w:rPr>
        <w:t xml:space="preserve"> </w:t>
      </w:r>
      <w:proofErr w:type="gramStart"/>
      <w:r w:rsidR="004A6F85" w:rsidRPr="00EF0CF5">
        <w:rPr>
          <w:b/>
          <w:i/>
          <w:sz w:val="24"/>
          <w:szCs w:val="24"/>
        </w:rPr>
        <w:t>increase</w:t>
      </w:r>
      <w:proofErr w:type="gramEnd"/>
      <w:r>
        <w:rPr>
          <w:b/>
          <w:i/>
          <w:sz w:val="24"/>
          <w:szCs w:val="24"/>
        </w:rPr>
        <w:t xml:space="preserve"> only</w:t>
      </w:r>
      <w:r w:rsidR="004A6F85">
        <w:rPr>
          <w:i/>
          <w:sz w:val="24"/>
          <w:szCs w:val="24"/>
        </w:rPr>
        <w:t xml:space="preserve">: </w:t>
      </w:r>
      <w:r w:rsidR="004A6F85" w:rsidRPr="00791212">
        <w:rPr>
          <w:i/>
          <w:sz w:val="24"/>
          <w:szCs w:val="24"/>
        </w:rPr>
        <w:t xml:space="preserve">this option </w:t>
      </w:r>
      <w:r>
        <w:rPr>
          <w:i/>
          <w:sz w:val="24"/>
          <w:szCs w:val="24"/>
        </w:rPr>
        <w:t xml:space="preserve">would apply the full required </w:t>
      </w:r>
      <w:r w:rsidR="004A6F85" w:rsidRPr="00791212">
        <w:rPr>
          <w:i/>
          <w:sz w:val="24"/>
          <w:szCs w:val="24"/>
        </w:rPr>
        <w:t>increase across all fees charged</w:t>
      </w:r>
      <w:r w:rsidR="004A6F85">
        <w:rPr>
          <w:sz w:val="24"/>
          <w:szCs w:val="24"/>
        </w:rPr>
        <w:t xml:space="preserve">. </w:t>
      </w:r>
    </w:p>
    <w:p w14:paraId="428417B9" w14:textId="77777777" w:rsidR="004073A5" w:rsidRDefault="004073A5" w:rsidP="004073A5">
      <w:pPr>
        <w:rPr>
          <w:sz w:val="24"/>
          <w:szCs w:val="24"/>
        </w:rPr>
      </w:pPr>
      <w:r>
        <w:rPr>
          <w:sz w:val="24"/>
          <w:szCs w:val="24"/>
        </w:rPr>
        <w:t xml:space="preserve">The flat fee increase is calculated as </w:t>
      </w:r>
      <w:r w:rsidRPr="008D7DF9">
        <w:rPr>
          <w:b/>
          <w:bCs/>
          <w:sz w:val="24"/>
          <w:szCs w:val="24"/>
        </w:rPr>
        <w:t>19%</w:t>
      </w:r>
      <w:r>
        <w:rPr>
          <w:sz w:val="24"/>
          <w:szCs w:val="24"/>
        </w:rPr>
        <w:t>.</w:t>
      </w:r>
    </w:p>
    <w:p w14:paraId="63CB3100" w14:textId="23CD2B11" w:rsidR="004073A5" w:rsidRDefault="004073A5" w:rsidP="004A6F85">
      <w:pPr>
        <w:rPr>
          <w:sz w:val="24"/>
          <w:szCs w:val="24"/>
        </w:rPr>
      </w:pPr>
      <w:r>
        <w:rPr>
          <w:sz w:val="24"/>
          <w:szCs w:val="24"/>
        </w:rPr>
        <w:t xml:space="preserve">Option 2 would provide a sustainable basis for </w:t>
      </w:r>
      <w:proofErr w:type="spellStart"/>
      <w:r>
        <w:rPr>
          <w:sz w:val="24"/>
          <w:szCs w:val="24"/>
        </w:rPr>
        <w:t>Medsafe</w:t>
      </w:r>
      <w:proofErr w:type="spellEnd"/>
      <w:r>
        <w:rPr>
          <w:sz w:val="24"/>
          <w:szCs w:val="24"/>
        </w:rPr>
        <w:t>, covering expenditure, providing for service improvements, and addressing the memorandum account balance.</w:t>
      </w:r>
    </w:p>
    <w:p w14:paraId="10F9EE64" w14:textId="428DC433" w:rsidR="004073A5" w:rsidRDefault="004073A5" w:rsidP="004A6F85">
      <w:pPr>
        <w:rPr>
          <w:sz w:val="24"/>
          <w:szCs w:val="24"/>
        </w:rPr>
      </w:pPr>
      <w:r>
        <w:rPr>
          <w:sz w:val="24"/>
          <w:szCs w:val="24"/>
        </w:rPr>
        <w:t>Against the status quo, there is a positive economic benefit in that the regulator can maintain and improve services that ultimately have a positive impact on the pharmaceutical industry, pharmacies and other fee payers, and on the New Zealand public  in being able to access safe and effective medicines.</w:t>
      </w:r>
    </w:p>
    <w:p w14:paraId="229441FE" w14:textId="0D0DE635" w:rsidR="004073A5" w:rsidRDefault="004073A5" w:rsidP="004A6F85">
      <w:pPr>
        <w:rPr>
          <w:sz w:val="24"/>
          <w:szCs w:val="24"/>
        </w:rPr>
      </w:pPr>
      <w:r>
        <w:rPr>
          <w:sz w:val="24"/>
          <w:szCs w:val="24"/>
        </w:rPr>
        <w:t xml:space="preserve">It meets the principles of efficiency, effectiveness, justifiability and simplicity, but does not meet the principles of transparency and equity. This option spreads the costs evenly over all fee payers, some of whom never make applications </w:t>
      </w:r>
      <w:r w:rsidR="00027FBC">
        <w:rPr>
          <w:sz w:val="24"/>
          <w:szCs w:val="24"/>
        </w:rPr>
        <w:t xml:space="preserve">in the areas where </w:t>
      </w:r>
      <w:r>
        <w:rPr>
          <w:sz w:val="24"/>
          <w:szCs w:val="24"/>
        </w:rPr>
        <w:t>cost recovery</w:t>
      </w:r>
      <w:r w:rsidR="00027FBC">
        <w:rPr>
          <w:sz w:val="24"/>
          <w:szCs w:val="24"/>
        </w:rPr>
        <w:t xml:space="preserve"> has fallen behind</w:t>
      </w:r>
      <w:r>
        <w:rPr>
          <w:sz w:val="24"/>
          <w:szCs w:val="24"/>
        </w:rPr>
        <w:t xml:space="preserve"> and would </w:t>
      </w:r>
      <w:r w:rsidR="00027FBC">
        <w:rPr>
          <w:sz w:val="24"/>
          <w:szCs w:val="24"/>
        </w:rPr>
        <w:t xml:space="preserve">therefore </w:t>
      </w:r>
      <w:r>
        <w:rPr>
          <w:sz w:val="24"/>
          <w:szCs w:val="24"/>
        </w:rPr>
        <w:t xml:space="preserve">not gain full benefits from the 19% increases in fees. </w:t>
      </w:r>
    </w:p>
    <w:p w14:paraId="53660CE3" w14:textId="79B7879A" w:rsidR="004073A5" w:rsidRDefault="004073A5" w:rsidP="004A6F85">
      <w:pPr>
        <w:rPr>
          <w:sz w:val="24"/>
          <w:szCs w:val="24"/>
        </w:rPr>
      </w:pPr>
      <w:r>
        <w:rPr>
          <w:sz w:val="24"/>
          <w:szCs w:val="24"/>
        </w:rPr>
        <w:lastRenderedPageBreak/>
        <w:t>There is no change to compliance costs for fee-payers as no change has been made to processes. However, by maintaining the EFT, the recent reduction in compliance costs (in terms of CD-ROMs, postage and time) will be maintained and future improvements would further reduce compliance costs (e.g. accepting e-CTD applications). In addition, staff should have more time to revise guidance to improve compliance requirements and reduce costs further.</w:t>
      </w:r>
    </w:p>
    <w:p w14:paraId="63CAA5F9" w14:textId="77777777" w:rsidR="00282122" w:rsidRDefault="00282122" w:rsidP="004A6F85">
      <w:pPr>
        <w:rPr>
          <w:sz w:val="24"/>
          <w:szCs w:val="24"/>
        </w:rPr>
      </w:pPr>
    </w:p>
    <w:p w14:paraId="3E31670D" w14:textId="4626FD70" w:rsidR="00282122" w:rsidRDefault="00282122" w:rsidP="00282122">
      <w:pPr>
        <w:rPr>
          <w:rFonts w:ascii="Segoe UI" w:hAnsi="Segoe UI" w:cs="Segoe UI"/>
          <w:b/>
          <w:color w:val="4472C4" w:themeColor="accent1"/>
          <w:sz w:val="28"/>
          <w:szCs w:val="28"/>
        </w:rPr>
      </w:pPr>
      <w:r>
        <w:rPr>
          <w:rFonts w:ascii="Segoe UI" w:hAnsi="Segoe UI" w:cs="Segoe UI"/>
          <w:b/>
          <w:color w:val="4472C4" w:themeColor="accent1"/>
          <w:sz w:val="28"/>
          <w:szCs w:val="28"/>
        </w:rPr>
        <w:t>Option 3</w:t>
      </w:r>
    </w:p>
    <w:p w14:paraId="19A09DD6" w14:textId="517B5E59" w:rsidR="004A6F85" w:rsidRPr="00715B7D" w:rsidRDefault="00EA644C" w:rsidP="004A6F85">
      <w:pPr>
        <w:rPr>
          <w:i/>
          <w:sz w:val="24"/>
          <w:szCs w:val="24"/>
        </w:rPr>
      </w:pPr>
      <w:r>
        <w:rPr>
          <w:b/>
          <w:i/>
          <w:sz w:val="24"/>
          <w:szCs w:val="24"/>
        </w:rPr>
        <w:t>Proposed c</w:t>
      </w:r>
      <w:r w:rsidR="004A6F85" w:rsidRPr="000002FB">
        <w:rPr>
          <w:b/>
          <w:i/>
          <w:sz w:val="24"/>
          <w:szCs w:val="24"/>
        </w:rPr>
        <w:t>ost recovery fees</w:t>
      </w:r>
      <w:r>
        <w:rPr>
          <w:b/>
          <w:i/>
          <w:sz w:val="24"/>
          <w:szCs w:val="24"/>
        </w:rPr>
        <w:t xml:space="preserve"> and the</w:t>
      </w:r>
      <w:r w:rsidR="004A6F85" w:rsidRPr="000002FB">
        <w:rPr>
          <w:b/>
          <w:i/>
          <w:sz w:val="24"/>
          <w:szCs w:val="24"/>
        </w:rPr>
        <w:t xml:space="preserve"> </w:t>
      </w:r>
      <w:r>
        <w:rPr>
          <w:b/>
          <w:i/>
          <w:sz w:val="24"/>
          <w:szCs w:val="24"/>
        </w:rPr>
        <w:t>CPI</w:t>
      </w:r>
      <w:r w:rsidR="004A6F85" w:rsidRPr="000002FB">
        <w:rPr>
          <w:b/>
          <w:i/>
          <w:sz w:val="24"/>
          <w:szCs w:val="24"/>
        </w:rPr>
        <w:t xml:space="preserve"> increase: </w:t>
      </w:r>
      <w:r w:rsidR="004A6F85" w:rsidRPr="00715B7D">
        <w:rPr>
          <w:i/>
          <w:sz w:val="24"/>
          <w:szCs w:val="24"/>
        </w:rPr>
        <w:t xml:space="preserve">this is a mixture of cost recovery and </w:t>
      </w:r>
      <w:r>
        <w:rPr>
          <w:i/>
          <w:sz w:val="24"/>
          <w:szCs w:val="24"/>
        </w:rPr>
        <w:t>the CPI</w:t>
      </w:r>
      <w:r w:rsidR="004A6F85" w:rsidRPr="00715B7D">
        <w:rPr>
          <w:i/>
          <w:sz w:val="24"/>
          <w:szCs w:val="24"/>
        </w:rPr>
        <w:t xml:space="preserve"> increase, </w:t>
      </w:r>
      <w:r>
        <w:rPr>
          <w:i/>
          <w:sz w:val="24"/>
          <w:szCs w:val="24"/>
        </w:rPr>
        <w:t>with the CPI increase affecting all applications but the cost recovery increases only affecting those set out in the proposals</w:t>
      </w:r>
      <w:r w:rsidR="004A6F85" w:rsidRPr="00715B7D">
        <w:rPr>
          <w:i/>
          <w:sz w:val="24"/>
          <w:szCs w:val="24"/>
        </w:rPr>
        <w:t>.</w:t>
      </w:r>
    </w:p>
    <w:p w14:paraId="15C08273" w14:textId="4CF42CED" w:rsidR="00320DC1" w:rsidRDefault="00320DC1" w:rsidP="00320DC1">
      <w:pPr>
        <w:rPr>
          <w:sz w:val="24"/>
          <w:szCs w:val="24"/>
        </w:rPr>
      </w:pPr>
      <w:r>
        <w:rPr>
          <w:sz w:val="24"/>
          <w:szCs w:val="24"/>
        </w:rPr>
        <w:t xml:space="preserve">The CPI increase on fees is calculated at 4.2% over a </w:t>
      </w:r>
      <w:r w:rsidR="00027FBC">
        <w:rPr>
          <w:sz w:val="24"/>
          <w:szCs w:val="24"/>
        </w:rPr>
        <w:t>three-year</w:t>
      </w:r>
      <w:r>
        <w:rPr>
          <w:sz w:val="24"/>
          <w:szCs w:val="24"/>
        </w:rPr>
        <w:t xml:space="preserve"> period and is applied to all fees, except clinical trial fees. Cost recovery adjustments are made to a select group fees where cost recovery has not been reviewed for some time</w:t>
      </w:r>
      <w:r w:rsidRPr="002E3F56">
        <w:rPr>
          <w:sz w:val="24"/>
          <w:szCs w:val="24"/>
        </w:rPr>
        <w:t>.</w:t>
      </w:r>
    </w:p>
    <w:p w14:paraId="182D8341" w14:textId="4C45782D" w:rsidR="007E12DD" w:rsidRDefault="007E12DD" w:rsidP="004A6F85">
      <w:pPr>
        <w:rPr>
          <w:sz w:val="24"/>
          <w:szCs w:val="24"/>
        </w:rPr>
      </w:pPr>
      <w:r>
        <w:rPr>
          <w:sz w:val="24"/>
          <w:szCs w:val="24"/>
        </w:rPr>
        <w:t xml:space="preserve">As with the flat fee option, Option 3 addresses the current financial situation of </w:t>
      </w:r>
      <w:proofErr w:type="spellStart"/>
      <w:r>
        <w:rPr>
          <w:sz w:val="24"/>
          <w:szCs w:val="24"/>
        </w:rPr>
        <w:t>Medsafe</w:t>
      </w:r>
      <w:proofErr w:type="spellEnd"/>
      <w:r>
        <w:rPr>
          <w:sz w:val="24"/>
          <w:szCs w:val="24"/>
        </w:rPr>
        <w:t>, and provides a positive economic and access impact for the New Zealand public.</w:t>
      </w:r>
      <w:r w:rsidR="00320DC1">
        <w:rPr>
          <w:sz w:val="24"/>
          <w:szCs w:val="24"/>
        </w:rPr>
        <w:t xml:space="preserve"> It also results in no change to compliance costs for fee </w:t>
      </w:r>
      <w:proofErr w:type="gramStart"/>
      <w:r w:rsidR="00320DC1">
        <w:rPr>
          <w:sz w:val="24"/>
          <w:szCs w:val="24"/>
        </w:rPr>
        <w:t>payers, and</w:t>
      </w:r>
      <w:proofErr w:type="gramEnd"/>
      <w:r w:rsidR="00320DC1">
        <w:rPr>
          <w:sz w:val="24"/>
          <w:szCs w:val="24"/>
        </w:rPr>
        <w:t xml:space="preserve"> maintains the recent reduction in compliance costs with the EFT.</w:t>
      </w:r>
    </w:p>
    <w:p w14:paraId="7F599407" w14:textId="77777777" w:rsidR="00320DC1" w:rsidRDefault="007E12DD" w:rsidP="004A6F85">
      <w:pPr>
        <w:rPr>
          <w:sz w:val="24"/>
          <w:szCs w:val="24"/>
        </w:rPr>
      </w:pPr>
      <w:r>
        <w:rPr>
          <w:sz w:val="24"/>
          <w:szCs w:val="24"/>
        </w:rPr>
        <w:t xml:space="preserve">Regarding the principles of cost recovery, Option 3 meets all the principles. </w:t>
      </w:r>
      <w:r w:rsidR="00320DC1">
        <w:rPr>
          <w:sz w:val="24"/>
          <w:szCs w:val="24"/>
        </w:rPr>
        <w:t xml:space="preserve">only those costs needed to continue </w:t>
      </w:r>
      <w:proofErr w:type="spellStart"/>
      <w:r w:rsidR="00320DC1">
        <w:rPr>
          <w:sz w:val="24"/>
          <w:szCs w:val="24"/>
        </w:rPr>
        <w:t>Medsafe’s</w:t>
      </w:r>
      <w:proofErr w:type="spellEnd"/>
      <w:r w:rsidR="00320DC1">
        <w:rPr>
          <w:sz w:val="24"/>
          <w:szCs w:val="24"/>
        </w:rPr>
        <w:t xml:space="preserve"> sustainability and improvements are effected (efficiency and justifiability), the cost model and </w:t>
      </w:r>
      <w:proofErr w:type="spellStart"/>
      <w:r w:rsidR="00320DC1">
        <w:rPr>
          <w:sz w:val="24"/>
          <w:szCs w:val="24"/>
        </w:rPr>
        <w:t>Medsafe’s</w:t>
      </w:r>
      <w:proofErr w:type="spellEnd"/>
      <w:r w:rsidR="00320DC1">
        <w:rPr>
          <w:sz w:val="24"/>
          <w:szCs w:val="24"/>
        </w:rPr>
        <w:t xml:space="preserve"> approach are reviewed in the PwC report (transparency), and an overcomplication of fees has been avoided by benchmark adjustments that follow a logic pattern (simplicity and consistency). </w:t>
      </w:r>
    </w:p>
    <w:p w14:paraId="569A2B2B" w14:textId="2A90CC7A" w:rsidR="007E12DD" w:rsidRDefault="007E12DD" w:rsidP="004A6F85">
      <w:pPr>
        <w:rPr>
          <w:sz w:val="24"/>
          <w:szCs w:val="24"/>
        </w:rPr>
      </w:pPr>
      <w:proofErr w:type="gramStart"/>
      <w:r>
        <w:rPr>
          <w:sz w:val="24"/>
          <w:szCs w:val="24"/>
        </w:rPr>
        <w:t>In particular, it</w:t>
      </w:r>
      <w:proofErr w:type="gramEnd"/>
      <w:r>
        <w:rPr>
          <w:sz w:val="24"/>
          <w:szCs w:val="24"/>
        </w:rPr>
        <w:t xml:space="preserve"> meets the transparency principle in that this option clearly shows where the additional fee has been applied and the cost recovery analysis shows why the fees have been applied. This option also meets the equity principle, where costs have been placed where they lie, in the areas where the most effort applies. This ensures fee-payers are only paying for the </w:t>
      </w:r>
      <w:proofErr w:type="spellStart"/>
      <w:r>
        <w:rPr>
          <w:sz w:val="24"/>
          <w:szCs w:val="24"/>
        </w:rPr>
        <w:t>Medsafe</w:t>
      </w:r>
      <w:proofErr w:type="spellEnd"/>
      <w:r>
        <w:rPr>
          <w:sz w:val="24"/>
          <w:szCs w:val="24"/>
        </w:rPr>
        <w:t xml:space="preserve"> effort that is required for their applications/licences. </w:t>
      </w:r>
    </w:p>
    <w:p w14:paraId="20A0441F" w14:textId="205450B6" w:rsidR="006817C8" w:rsidRPr="00ED306C" w:rsidRDefault="00CF5BD9" w:rsidP="004A6F85">
      <w:pPr>
        <w:rPr>
          <w:b/>
          <w:bCs/>
          <w:color w:val="4472C4" w:themeColor="accent1"/>
          <w:sz w:val="24"/>
          <w:szCs w:val="24"/>
        </w:rPr>
      </w:pPr>
      <w:r w:rsidRPr="00ED306C">
        <w:rPr>
          <w:b/>
          <w:bCs/>
          <w:color w:val="4472C4" w:themeColor="accent1"/>
          <w:sz w:val="24"/>
          <w:szCs w:val="24"/>
        </w:rPr>
        <w:t>Analysis</w:t>
      </w:r>
      <w:r w:rsidR="00183772">
        <w:rPr>
          <w:b/>
          <w:bCs/>
          <w:color w:val="4472C4" w:themeColor="accent1"/>
          <w:sz w:val="24"/>
          <w:szCs w:val="24"/>
        </w:rPr>
        <w:t xml:space="preserve"> of the options</w:t>
      </w:r>
    </w:p>
    <w:tbl>
      <w:tblPr>
        <w:tblStyle w:val="TableGrid"/>
        <w:tblW w:w="0" w:type="auto"/>
        <w:tblLook w:val="04A0" w:firstRow="1" w:lastRow="0" w:firstColumn="1" w:lastColumn="0" w:noHBand="0" w:noVBand="1"/>
      </w:tblPr>
      <w:tblGrid>
        <w:gridCol w:w="2254"/>
        <w:gridCol w:w="2254"/>
        <w:gridCol w:w="2254"/>
        <w:gridCol w:w="2254"/>
      </w:tblGrid>
      <w:tr w:rsidR="00496733" w:rsidRPr="00496733" w14:paraId="05556C3A" w14:textId="77777777" w:rsidTr="00B36E36">
        <w:tc>
          <w:tcPr>
            <w:tcW w:w="9016" w:type="dxa"/>
            <w:gridSpan w:val="4"/>
          </w:tcPr>
          <w:p w14:paraId="33E8CEE1" w14:textId="58ADA30A" w:rsidR="00183772" w:rsidRPr="00496733" w:rsidRDefault="00183772" w:rsidP="00B36E36">
            <w:pPr>
              <w:jc w:val="center"/>
              <w:rPr>
                <w:b/>
                <w:bCs/>
                <w:color w:val="4472C4" w:themeColor="accent1"/>
                <w:sz w:val="24"/>
                <w:szCs w:val="24"/>
              </w:rPr>
            </w:pPr>
            <w:r w:rsidRPr="00496733">
              <w:rPr>
                <w:b/>
                <w:bCs/>
                <w:color w:val="4472C4" w:themeColor="accent1"/>
                <w:sz w:val="24"/>
                <w:szCs w:val="24"/>
              </w:rPr>
              <w:t xml:space="preserve">Table </w:t>
            </w:r>
            <w:r w:rsidR="00B36E36" w:rsidRPr="00496733">
              <w:rPr>
                <w:b/>
                <w:bCs/>
                <w:color w:val="4472C4" w:themeColor="accent1"/>
                <w:sz w:val="24"/>
                <w:szCs w:val="24"/>
              </w:rPr>
              <w:t>7</w:t>
            </w:r>
            <w:r w:rsidR="00496733">
              <w:rPr>
                <w:b/>
                <w:bCs/>
                <w:color w:val="4472C4" w:themeColor="accent1"/>
                <w:sz w:val="24"/>
                <w:szCs w:val="24"/>
              </w:rPr>
              <w:t>:</w:t>
            </w:r>
            <w:r w:rsidRPr="00496733">
              <w:rPr>
                <w:b/>
                <w:bCs/>
                <w:color w:val="4472C4" w:themeColor="accent1"/>
                <w:sz w:val="24"/>
                <w:szCs w:val="24"/>
              </w:rPr>
              <w:t xml:space="preserve"> Options analysis against cost recovery principles</w:t>
            </w:r>
          </w:p>
        </w:tc>
      </w:tr>
      <w:tr w:rsidR="006817C8" w:rsidRPr="00320DC1" w14:paraId="09A06895" w14:textId="77777777" w:rsidTr="006817C8">
        <w:tc>
          <w:tcPr>
            <w:tcW w:w="2254" w:type="dxa"/>
          </w:tcPr>
          <w:p w14:paraId="3373A5C2" w14:textId="4510E64B" w:rsidR="006817C8" w:rsidRPr="00320DC1" w:rsidRDefault="006817C8" w:rsidP="004A6F85">
            <w:pPr>
              <w:rPr>
                <w:sz w:val="24"/>
                <w:szCs w:val="24"/>
              </w:rPr>
            </w:pPr>
            <w:r w:rsidRPr="00320DC1">
              <w:rPr>
                <w:sz w:val="24"/>
                <w:szCs w:val="24"/>
              </w:rPr>
              <w:t>Principle</w:t>
            </w:r>
          </w:p>
        </w:tc>
        <w:tc>
          <w:tcPr>
            <w:tcW w:w="2254" w:type="dxa"/>
          </w:tcPr>
          <w:p w14:paraId="76AAE435" w14:textId="5224717A" w:rsidR="006817C8" w:rsidRPr="00320DC1" w:rsidRDefault="006817C8" w:rsidP="004A6F85">
            <w:pPr>
              <w:rPr>
                <w:sz w:val="24"/>
                <w:szCs w:val="24"/>
              </w:rPr>
            </w:pPr>
            <w:r w:rsidRPr="00320DC1">
              <w:rPr>
                <w:sz w:val="24"/>
                <w:szCs w:val="24"/>
              </w:rPr>
              <w:t>Status Quo (Option 1)</w:t>
            </w:r>
          </w:p>
        </w:tc>
        <w:tc>
          <w:tcPr>
            <w:tcW w:w="2254" w:type="dxa"/>
          </w:tcPr>
          <w:p w14:paraId="1501B234" w14:textId="1D707C72" w:rsidR="006817C8" w:rsidRPr="00320DC1" w:rsidRDefault="006817C8" w:rsidP="004A6F85">
            <w:pPr>
              <w:rPr>
                <w:sz w:val="24"/>
                <w:szCs w:val="24"/>
              </w:rPr>
            </w:pPr>
            <w:r w:rsidRPr="00320DC1">
              <w:rPr>
                <w:sz w:val="24"/>
                <w:szCs w:val="24"/>
              </w:rPr>
              <w:t>Flat fee (Option 2)</w:t>
            </w:r>
          </w:p>
        </w:tc>
        <w:tc>
          <w:tcPr>
            <w:tcW w:w="2254" w:type="dxa"/>
          </w:tcPr>
          <w:p w14:paraId="7D1E2C8F" w14:textId="16BC31C7" w:rsidR="006817C8" w:rsidRPr="00320DC1" w:rsidRDefault="006817C8" w:rsidP="004A6F85">
            <w:pPr>
              <w:rPr>
                <w:sz w:val="24"/>
                <w:szCs w:val="24"/>
              </w:rPr>
            </w:pPr>
            <w:r w:rsidRPr="00320DC1">
              <w:rPr>
                <w:sz w:val="24"/>
                <w:szCs w:val="24"/>
              </w:rPr>
              <w:t>Cost recovery + CPI (Option 3)</w:t>
            </w:r>
          </w:p>
        </w:tc>
      </w:tr>
      <w:tr w:rsidR="006817C8" w14:paraId="3F3310D0" w14:textId="77777777" w:rsidTr="00ED306C">
        <w:tc>
          <w:tcPr>
            <w:tcW w:w="2254" w:type="dxa"/>
          </w:tcPr>
          <w:p w14:paraId="69D8CEB4" w14:textId="24428436" w:rsidR="006817C8" w:rsidRPr="00320DC1" w:rsidRDefault="006817C8" w:rsidP="004A6F85">
            <w:pPr>
              <w:rPr>
                <w:sz w:val="24"/>
                <w:szCs w:val="24"/>
              </w:rPr>
            </w:pPr>
            <w:r w:rsidRPr="00320DC1">
              <w:rPr>
                <w:sz w:val="24"/>
                <w:szCs w:val="24"/>
              </w:rPr>
              <w:t xml:space="preserve">Equity – fee payers pay </w:t>
            </w:r>
            <w:proofErr w:type="gramStart"/>
            <w:r w:rsidRPr="00320DC1">
              <w:rPr>
                <w:sz w:val="24"/>
                <w:szCs w:val="24"/>
              </w:rPr>
              <w:t>on the basis of</w:t>
            </w:r>
            <w:proofErr w:type="gramEnd"/>
            <w:r w:rsidRPr="00320DC1">
              <w:rPr>
                <w:sz w:val="24"/>
                <w:szCs w:val="24"/>
              </w:rPr>
              <w:t xml:space="preserve"> the effort of their application</w:t>
            </w:r>
          </w:p>
        </w:tc>
        <w:tc>
          <w:tcPr>
            <w:tcW w:w="2254" w:type="dxa"/>
            <w:vAlign w:val="center"/>
          </w:tcPr>
          <w:p w14:paraId="3D7EC088" w14:textId="260291F4" w:rsidR="006817C8" w:rsidRPr="00320DC1" w:rsidRDefault="008F6FAE" w:rsidP="00ED306C">
            <w:pPr>
              <w:jc w:val="center"/>
              <w:rPr>
                <w:sz w:val="32"/>
                <w:szCs w:val="32"/>
              </w:rPr>
            </w:pPr>
            <w:r w:rsidRPr="00320DC1">
              <w:rPr>
                <w:sz w:val="32"/>
                <w:szCs w:val="32"/>
              </w:rPr>
              <w:t>-</w:t>
            </w:r>
          </w:p>
        </w:tc>
        <w:tc>
          <w:tcPr>
            <w:tcW w:w="2254" w:type="dxa"/>
            <w:vAlign w:val="center"/>
          </w:tcPr>
          <w:p w14:paraId="42AD05E3" w14:textId="7F57DE00" w:rsidR="006817C8" w:rsidRPr="00320DC1" w:rsidRDefault="008F6FAE" w:rsidP="00ED306C">
            <w:pPr>
              <w:jc w:val="center"/>
              <w:rPr>
                <w:sz w:val="32"/>
                <w:szCs w:val="32"/>
              </w:rPr>
            </w:pPr>
            <w:r w:rsidRPr="00320DC1">
              <w:rPr>
                <w:sz w:val="32"/>
                <w:szCs w:val="32"/>
              </w:rPr>
              <w:t>-</w:t>
            </w:r>
          </w:p>
        </w:tc>
        <w:tc>
          <w:tcPr>
            <w:tcW w:w="2254" w:type="dxa"/>
            <w:vAlign w:val="center"/>
          </w:tcPr>
          <w:p w14:paraId="02C79F33" w14:textId="6E38B856" w:rsidR="006817C8" w:rsidRPr="00320DC1" w:rsidRDefault="008F6FAE" w:rsidP="00ED306C">
            <w:pPr>
              <w:jc w:val="center"/>
              <w:rPr>
                <w:sz w:val="32"/>
                <w:szCs w:val="32"/>
              </w:rPr>
            </w:pPr>
            <w:r w:rsidRPr="00320DC1">
              <w:rPr>
                <w:sz w:val="32"/>
                <w:szCs w:val="32"/>
              </w:rPr>
              <w:t>+</w:t>
            </w:r>
          </w:p>
        </w:tc>
      </w:tr>
      <w:tr w:rsidR="006817C8" w14:paraId="015F53E8" w14:textId="77777777" w:rsidTr="00ED306C">
        <w:tc>
          <w:tcPr>
            <w:tcW w:w="2254" w:type="dxa"/>
          </w:tcPr>
          <w:p w14:paraId="2518D8A1" w14:textId="74197D02" w:rsidR="006817C8" w:rsidRDefault="006817C8" w:rsidP="004A6F85">
            <w:pPr>
              <w:rPr>
                <w:sz w:val="24"/>
                <w:szCs w:val="24"/>
              </w:rPr>
            </w:pPr>
            <w:r>
              <w:rPr>
                <w:sz w:val="24"/>
                <w:szCs w:val="24"/>
              </w:rPr>
              <w:t>Efficiency</w:t>
            </w:r>
          </w:p>
        </w:tc>
        <w:tc>
          <w:tcPr>
            <w:tcW w:w="2254" w:type="dxa"/>
            <w:vAlign w:val="center"/>
          </w:tcPr>
          <w:p w14:paraId="453B5388" w14:textId="4BA5FF5A" w:rsidR="006817C8" w:rsidRPr="00ED306C" w:rsidRDefault="008F6FAE" w:rsidP="00ED306C">
            <w:pPr>
              <w:jc w:val="center"/>
              <w:rPr>
                <w:sz w:val="32"/>
                <w:szCs w:val="32"/>
              </w:rPr>
            </w:pPr>
            <w:r w:rsidRPr="00ED306C">
              <w:rPr>
                <w:sz w:val="32"/>
                <w:szCs w:val="32"/>
              </w:rPr>
              <w:t>-</w:t>
            </w:r>
          </w:p>
        </w:tc>
        <w:tc>
          <w:tcPr>
            <w:tcW w:w="2254" w:type="dxa"/>
            <w:vAlign w:val="center"/>
          </w:tcPr>
          <w:p w14:paraId="10006758" w14:textId="68EC9185" w:rsidR="006817C8" w:rsidRPr="00ED306C" w:rsidRDefault="008F6FAE" w:rsidP="00ED306C">
            <w:pPr>
              <w:jc w:val="center"/>
              <w:rPr>
                <w:sz w:val="32"/>
                <w:szCs w:val="32"/>
              </w:rPr>
            </w:pPr>
            <w:r w:rsidRPr="00ED306C">
              <w:rPr>
                <w:sz w:val="32"/>
                <w:szCs w:val="32"/>
              </w:rPr>
              <w:t>+</w:t>
            </w:r>
          </w:p>
        </w:tc>
        <w:tc>
          <w:tcPr>
            <w:tcW w:w="2254" w:type="dxa"/>
            <w:vAlign w:val="center"/>
          </w:tcPr>
          <w:p w14:paraId="7A8953C3" w14:textId="11049B9A" w:rsidR="006817C8" w:rsidRPr="00ED306C" w:rsidRDefault="008F6FAE" w:rsidP="00ED306C">
            <w:pPr>
              <w:jc w:val="center"/>
              <w:rPr>
                <w:sz w:val="32"/>
                <w:szCs w:val="32"/>
              </w:rPr>
            </w:pPr>
            <w:r w:rsidRPr="00ED306C">
              <w:rPr>
                <w:sz w:val="32"/>
                <w:szCs w:val="32"/>
              </w:rPr>
              <w:t>+</w:t>
            </w:r>
          </w:p>
        </w:tc>
      </w:tr>
      <w:tr w:rsidR="006817C8" w14:paraId="5DA9BCFC" w14:textId="77777777" w:rsidTr="00ED306C">
        <w:tc>
          <w:tcPr>
            <w:tcW w:w="2254" w:type="dxa"/>
          </w:tcPr>
          <w:p w14:paraId="4122ACB2" w14:textId="5A615EAD" w:rsidR="006817C8" w:rsidRDefault="006817C8" w:rsidP="004A6F85">
            <w:pPr>
              <w:rPr>
                <w:sz w:val="24"/>
                <w:szCs w:val="24"/>
              </w:rPr>
            </w:pPr>
            <w:r>
              <w:rPr>
                <w:sz w:val="24"/>
                <w:szCs w:val="24"/>
              </w:rPr>
              <w:t>Effectiveness</w:t>
            </w:r>
          </w:p>
        </w:tc>
        <w:tc>
          <w:tcPr>
            <w:tcW w:w="2254" w:type="dxa"/>
            <w:vAlign w:val="center"/>
          </w:tcPr>
          <w:p w14:paraId="6A47F218" w14:textId="3A420500" w:rsidR="006817C8" w:rsidRPr="00ED306C" w:rsidRDefault="008F6FAE" w:rsidP="00ED306C">
            <w:pPr>
              <w:jc w:val="center"/>
              <w:rPr>
                <w:sz w:val="32"/>
                <w:szCs w:val="32"/>
              </w:rPr>
            </w:pPr>
            <w:r w:rsidRPr="00ED306C">
              <w:rPr>
                <w:sz w:val="32"/>
                <w:szCs w:val="32"/>
              </w:rPr>
              <w:t>-</w:t>
            </w:r>
          </w:p>
        </w:tc>
        <w:tc>
          <w:tcPr>
            <w:tcW w:w="2254" w:type="dxa"/>
            <w:vAlign w:val="center"/>
          </w:tcPr>
          <w:p w14:paraId="651F6852" w14:textId="56978E55" w:rsidR="006817C8" w:rsidRPr="00ED306C" w:rsidRDefault="008F6FAE" w:rsidP="00ED306C">
            <w:pPr>
              <w:jc w:val="center"/>
              <w:rPr>
                <w:sz w:val="32"/>
                <w:szCs w:val="32"/>
              </w:rPr>
            </w:pPr>
            <w:r w:rsidRPr="00ED306C">
              <w:rPr>
                <w:sz w:val="32"/>
                <w:szCs w:val="32"/>
              </w:rPr>
              <w:t>+</w:t>
            </w:r>
          </w:p>
        </w:tc>
        <w:tc>
          <w:tcPr>
            <w:tcW w:w="2254" w:type="dxa"/>
            <w:vAlign w:val="center"/>
          </w:tcPr>
          <w:p w14:paraId="00F1F752" w14:textId="78D22D32" w:rsidR="006817C8" w:rsidRPr="00ED306C" w:rsidRDefault="008F6FAE" w:rsidP="00ED306C">
            <w:pPr>
              <w:jc w:val="center"/>
              <w:rPr>
                <w:sz w:val="32"/>
                <w:szCs w:val="32"/>
              </w:rPr>
            </w:pPr>
            <w:r w:rsidRPr="00ED306C">
              <w:rPr>
                <w:sz w:val="32"/>
                <w:szCs w:val="32"/>
              </w:rPr>
              <w:t>+</w:t>
            </w:r>
          </w:p>
        </w:tc>
      </w:tr>
      <w:tr w:rsidR="006817C8" w14:paraId="02CBE217" w14:textId="77777777" w:rsidTr="00ED306C">
        <w:tc>
          <w:tcPr>
            <w:tcW w:w="2254" w:type="dxa"/>
          </w:tcPr>
          <w:p w14:paraId="53C3F23A" w14:textId="303B06D9" w:rsidR="006817C8" w:rsidRDefault="00587F1D" w:rsidP="004A6F85">
            <w:pPr>
              <w:rPr>
                <w:sz w:val="24"/>
                <w:szCs w:val="24"/>
              </w:rPr>
            </w:pPr>
            <w:r>
              <w:rPr>
                <w:sz w:val="24"/>
                <w:szCs w:val="24"/>
              </w:rPr>
              <w:lastRenderedPageBreak/>
              <w:t>Justifiability</w:t>
            </w:r>
          </w:p>
        </w:tc>
        <w:tc>
          <w:tcPr>
            <w:tcW w:w="2254" w:type="dxa"/>
            <w:vAlign w:val="center"/>
          </w:tcPr>
          <w:p w14:paraId="1F3088D8" w14:textId="11C69AA8" w:rsidR="006817C8" w:rsidRPr="00ED306C" w:rsidRDefault="008F6FAE" w:rsidP="00ED306C">
            <w:pPr>
              <w:jc w:val="center"/>
              <w:rPr>
                <w:sz w:val="32"/>
                <w:szCs w:val="32"/>
              </w:rPr>
            </w:pPr>
            <w:r w:rsidRPr="00ED306C">
              <w:rPr>
                <w:sz w:val="32"/>
                <w:szCs w:val="32"/>
              </w:rPr>
              <w:t>-</w:t>
            </w:r>
          </w:p>
        </w:tc>
        <w:tc>
          <w:tcPr>
            <w:tcW w:w="2254" w:type="dxa"/>
            <w:vAlign w:val="center"/>
          </w:tcPr>
          <w:p w14:paraId="23FE7DEB" w14:textId="0F3C25C1" w:rsidR="006817C8" w:rsidRPr="00ED306C" w:rsidRDefault="008F6FAE" w:rsidP="00ED306C">
            <w:pPr>
              <w:jc w:val="center"/>
              <w:rPr>
                <w:sz w:val="32"/>
                <w:szCs w:val="32"/>
              </w:rPr>
            </w:pPr>
            <w:r w:rsidRPr="00ED306C">
              <w:rPr>
                <w:sz w:val="32"/>
                <w:szCs w:val="32"/>
              </w:rPr>
              <w:t>-</w:t>
            </w:r>
          </w:p>
        </w:tc>
        <w:tc>
          <w:tcPr>
            <w:tcW w:w="2254" w:type="dxa"/>
            <w:vAlign w:val="center"/>
          </w:tcPr>
          <w:p w14:paraId="753163BB" w14:textId="321CD798" w:rsidR="006817C8" w:rsidRPr="00ED306C" w:rsidRDefault="008F6FAE" w:rsidP="00ED306C">
            <w:pPr>
              <w:jc w:val="center"/>
              <w:rPr>
                <w:sz w:val="32"/>
                <w:szCs w:val="32"/>
              </w:rPr>
            </w:pPr>
            <w:r w:rsidRPr="00ED306C">
              <w:rPr>
                <w:sz w:val="32"/>
                <w:szCs w:val="32"/>
              </w:rPr>
              <w:t>+</w:t>
            </w:r>
          </w:p>
        </w:tc>
      </w:tr>
      <w:tr w:rsidR="006817C8" w14:paraId="6663545A" w14:textId="77777777" w:rsidTr="00ED306C">
        <w:tc>
          <w:tcPr>
            <w:tcW w:w="2254" w:type="dxa"/>
          </w:tcPr>
          <w:p w14:paraId="62AD4839" w14:textId="1D498FEB" w:rsidR="006817C8" w:rsidRDefault="006817C8" w:rsidP="004A6F85">
            <w:pPr>
              <w:rPr>
                <w:sz w:val="24"/>
                <w:szCs w:val="24"/>
              </w:rPr>
            </w:pPr>
            <w:r>
              <w:rPr>
                <w:sz w:val="24"/>
                <w:szCs w:val="24"/>
              </w:rPr>
              <w:t>Transparency</w:t>
            </w:r>
          </w:p>
        </w:tc>
        <w:tc>
          <w:tcPr>
            <w:tcW w:w="2254" w:type="dxa"/>
            <w:vAlign w:val="center"/>
          </w:tcPr>
          <w:p w14:paraId="2CB89192" w14:textId="0B27E7B7" w:rsidR="006817C8" w:rsidRPr="00ED306C" w:rsidRDefault="008F6FAE" w:rsidP="00ED306C">
            <w:pPr>
              <w:jc w:val="center"/>
              <w:rPr>
                <w:sz w:val="32"/>
                <w:szCs w:val="32"/>
              </w:rPr>
            </w:pPr>
            <w:r w:rsidRPr="00ED306C">
              <w:rPr>
                <w:sz w:val="32"/>
                <w:szCs w:val="32"/>
              </w:rPr>
              <w:t>-</w:t>
            </w:r>
          </w:p>
        </w:tc>
        <w:tc>
          <w:tcPr>
            <w:tcW w:w="2254" w:type="dxa"/>
            <w:vAlign w:val="center"/>
          </w:tcPr>
          <w:p w14:paraId="3FB556DF" w14:textId="11810C8C" w:rsidR="006817C8" w:rsidRPr="00ED306C" w:rsidRDefault="008F6FAE" w:rsidP="00ED306C">
            <w:pPr>
              <w:jc w:val="center"/>
              <w:rPr>
                <w:sz w:val="32"/>
                <w:szCs w:val="32"/>
              </w:rPr>
            </w:pPr>
            <w:r w:rsidRPr="00ED306C">
              <w:rPr>
                <w:sz w:val="32"/>
                <w:szCs w:val="32"/>
              </w:rPr>
              <w:t>-</w:t>
            </w:r>
          </w:p>
        </w:tc>
        <w:tc>
          <w:tcPr>
            <w:tcW w:w="2254" w:type="dxa"/>
            <w:vAlign w:val="center"/>
          </w:tcPr>
          <w:p w14:paraId="2AD271C5" w14:textId="1787A296" w:rsidR="006817C8" w:rsidRPr="00ED306C" w:rsidRDefault="008F6FAE" w:rsidP="00ED306C">
            <w:pPr>
              <w:jc w:val="center"/>
              <w:rPr>
                <w:sz w:val="32"/>
                <w:szCs w:val="32"/>
              </w:rPr>
            </w:pPr>
            <w:r w:rsidRPr="00ED306C">
              <w:rPr>
                <w:sz w:val="32"/>
                <w:szCs w:val="32"/>
              </w:rPr>
              <w:t>+</w:t>
            </w:r>
          </w:p>
        </w:tc>
      </w:tr>
      <w:tr w:rsidR="006817C8" w14:paraId="7979CC51" w14:textId="77777777" w:rsidTr="00ED306C">
        <w:tc>
          <w:tcPr>
            <w:tcW w:w="2254" w:type="dxa"/>
          </w:tcPr>
          <w:p w14:paraId="0BA7ECF8" w14:textId="574F3FAE" w:rsidR="006817C8" w:rsidRDefault="006817C8" w:rsidP="004A6F85">
            <w:pPr>
              <w:rPr>
                <w:sz w:val="24"/>
                <w:szCs w:val="24"/>
              </w:rPr>
            </w:pPr>
            <w:r>
              <w:rPr>
                <w:sz w:val="24"/>
                <w:szCs w:val="24"/>
              </w:rPr>
              <w:t>Simplicity and consistency</w:t>
            </w:r>
          </w:p>
        </w:tc>
        <w:tc>
          <w:tcPr>
            <w:tcW w:w="2254" w:type="dxa"/>
            <w:vAlign w:val="center"/>
          </w:tcPr>
          <w:p w14:paraId="443AABA1" w14:textId="14F1124D" w:rsidR="006817C8" w:rsidRPr="00ED306C" w:rsidRDefault="008F6FAE" w:rsidP="00ED306C">
            <w:pPr>
              <w:jc w:val="center"/>
              <w:rPr>
                <w:sz w:val="32"/>
                <w:szCs w:val="32"/>
              </w:rPr>
            </w:pPr>
            <w:r w:rsidRPr="00ED306C">
              <w:rPr>
                <w:sz w:val="32"/>
                <w:szCs w:val="32"/>
              </w:rPr>
              <w:t>+</w:t>
            </w:r>
          </w:p>
        </w:tc>
        <w:tc>
          <w:tcPr>
            <w:tcW w:w="2254" w:type="dxa"/>
            <w:vAlign w:val="center"/>
          </w:tcPr>
          <w:p w14:paraId="19D7088C" w14:textId="1ECB0983" w:rsidR="006817C8" w:rsidRPr="00ED306C" w:rsidRDefault="008F6FAE" w:rsidP="00ED306C">
            <w:pPr>
              <w:jc w:val="center"/>
              <w:rPr>
                <w:sz w:val="32"/>
                <w:szCs w:val="32"/>
              </w:rPr>
            </w:pPr>
            <w:r w:rsidRPr="00ED306C">
              <w:rPr>
                <w:sz w:val="32"/>
                <w:szCs w:val="32"/>
              </w:rPr>
              <w:t>+</w:t>
            </w:r>
          </w:p>
        </w:tc>
        <w:tc>
          <w:tcPr>
            <w:tcW w:w="2254" w:type="dxa"/>
            <w:vAlign w:val="center"/>
          </w:tcPr>
          <w:p w14:paraId="696F9A27" w14:textId="49750917" w:rsidR="006817C8" w:rsidRPr="00ED306C" w:rsidRDefault="008F6FAE" w:rsidP="00ED306C">
            <w:pPr>
              <w:jc w:val="center"/>
              <w:rPr>
                <w:sz w:val="32"/>
                <w:szCs w:val="32"/>
              </w:rPr>
            </w:pPr>
            <w:r w:rsidRPr="00ED306C">
              <w:rPr>
                <w:sz w:val="32"/>
                <w:szCs w:val="32"/>
              </w:rPr>
              <w:t>+</w:t>
            </w:r>
          </w:p>
        </w:tc>
      </w:tr>
    </w:tbl>
    <w:p w14:paraId="3332E4D1" w14:textId="4DFB57E8" w:rsidR="006817C8" w:rsidRPr="00ED306C" w:rsidRDefault="00320DC1">
      <w:pPr>
        <w:pStyle w:val="ListParagraph"/>
        <w:numPr>
          <w:ilvl w:val="0"/>
          <w:numId w:val="25"/>
        </w:numPr>
        <w:rPr>
          <w:sz w:val="24"/>
          <w:szCs w:val="24"/>
        </w:rPr>
      </w:pPr>
      <w:r>
        <w:rPr>
          <w:sz w:val="24"/>
          <w:szCs w:val="24"/>
        </w:rPr>
        <w:t xml:space="preserve">      </w:t>
      </w:r>
      <w:r w:rsidR="008F6FAE" w:rsidRPr="00ED306C">
        <w:rPr>
          <w:sz w:val="24"/>
          <w:szCs w:val="24"/>
        </w:rPr>
        <w:t>Does not meet the principle</w:t>
      </w:r>
    </w:p>
    <w:p w14:paraId="5292B724" w14:textId="6B28837F" w:rsidR="008F6FAE" w:rsidRPr="00ED306C" w:rsidRDefault="008F6FAE" w:rsidP="00ED306C">
      <w:pPr>
        <w:ind w:left="60"/>
        <w:rPr>
          <w:sz w:val="24"/>
          <w:szCs w:val="24"/>
        </w:rPr>
      </w:pPr>
      <w:r w:rsidRPr="00ED306C">
        <w:rPr>
          <w:sz w:val="32"/>
          <w:szCs w:val="32"/>
        </w:rPr>
        <w:t>+</w:t>
      </w:r>
      <w:r>
        <w:rPr>
          <w:sz w:val="24"/>
          <w:szCs w:val="24"/>
        </w:rPr>
        <w:tab/>
        <w:t>Meets the principle</w:t>
      </w:r>
    </w:p>
    <w:p w14:paraId="3DF523CC" w14:textId="77777777" w:rsidR="009915DC" w:rsidRDefault="009915DC" w:rsidP="004A6F85">
      <w:pPr>
        <w:rPr>
          <w:sz w:val="24"/>
          <w:szCs w:val="24"/>
        </w:rPr>
        <w:sectPr w:rsidR="009915DC" w:rsidSect="00FE20C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0"/>
          <w:cols w:space="708"/>
          <w:titlePg/>
          <w:docGrid w:linePitch="360"/>
        </w:sectPr>
      </w:pPr>
    </w:p>
    <w:p w14:paraId="6D451F02" w14:textId="057393AE" w:rsidR="006427EC" w:rsidRDefault="006427EC" w:rsidP="004A6F85">
      <w:pPr>
        <w:rPr>
          <w:sz w:val="24"/>
          <w:szCs w:val="24"/>
        </w:rPr>
      </w:pPr>
    </w:p>
    <w:tbl>
      <w:tblPr>
        <w:tblStyle w:val="TableGrid"/>
        <w:tblW w:w="14029" w:type="dxa"/>
        <w:tblLook w:val="04A0" w:firstRow="1" w:lastRow="0" w:firstColumn="1" w:lastColumn="0" w:noHBand="0" w:noVBand="1"/>
      </w:tblPr>
      <w:tblGrid>
        <w:gridCol w:w="2254"/>
        <w:gridCol w:w="3925"/>
        <w:gridCol w:w="3925"/>
        <w:gridCol w:w="3925"/>
      </w:tblGrid>
      <w:tr w:rsidR="002D2A3E" w:rsidRPr="002D2A3E" w14:paraId="4521B847" w14:textId="77777777" w:rsidTr="00B36E36">
        <w:tc>
          <w:tcPr>
            <w:tcW w:w="14029" w:type="dxa"/>
            <w:gridSpan w:val="4"/>
          </w:tcPr>
          <w:p w14:paraId="1379DD0B" w14:textId="5AD99DBF" w:rsidR="00183772" w:rsidRPr="002D2A3E" w:rsidRDefault="00183772" w:rsidP="00B36E36">
            <w:pPr>
              <w:jc w:val="center"/>
              <w:rPr>
                <w:b/>
                <w:bCs/>
                <w:color w:val="4472C4" w:themeColor="accent1"/>
                <w:sz w:val="24"/>
                <w:szCs w:val="24"/>
              </w:rPr>
            </w:pPr>
            <w:r w:rsidRPr="002D2A3E">
              <w:rPr>
                <w:b/>
                <w:bCs/>
                <w:color w:val="4472C4" w:themeColor="accent1"/>
                <w:sz w:val="24"/>
                <w:szCs w:val="24"/>
              </w:rPr>
              <w:t xml:space="preserve">Table </w:t>
            </w:r>
            <w:r w:rsidR="00B36E36">
              <w:rPr>
                <w:b/>
                <w:bCs/>
                <w:color w:val="4472C4" w:themeColor="accent1"/>
                <w:sz w:val="24"/>
                <w:szCs w:val="24"/>
              </w:rPr>
              <w:t>8</w:t>
            </w:r>
            <w:r w:rsidR="00496733">
              <w:rPr>
                <w:b/>
                <w:bCs/>
                <w:color w:val="4472C4" w:themeColor="accent1"/>
                <w:sz w:val="24"/>
                <w:szCs w:val="24"/>
              </w:rPr>
              <w:t>: O</w:t>
            </w:r>
            <w:r w:rsidRPr="002D2A3E">
              <w:rPr>
                <w:b/>
                <w:bCs/>
                <w:color w:val="4472C4" w:themeColor="accent1"/>
                <w:sz w:val="24"/>
                <w:szCs w:val="24"/>
              </w:rPr>
              <w:t xml:space="preserve">ptions analysis of impacts (direct and indirect) to fee payers and </w:t>
            </w:r>
            <w:proofErr w:type="spellStart"/>
            <w:r w:rsidRPr="002D2A3E">
              <w:rPr>
                <w:b/>
                <w:bCs/>
                <w:color w:val="4472C4" w:themeColor="accent1"/>
                <w:sz w:val="24"/>
                <w:szCs w:val="24"/>
              </w:rPr>
              <w:t>Medsafe</w:t>
            </w:r>
            <w:proofErr w:type="spellEnd"/>
          </w:p>
        </w:tc>
      </w:tr>
      <w:tr w:rsidR="006427EC" w:rsidRPr="002D2A3E" w14:paraId="4C92F6A7" w14:textId="77777777" w:rsidTr="00ED306C">
        <w:tc>
          <w:tcPr>
            <w:tcW w:w="2254" w:type="dxa"/>
          </w:tcPr>
          <w:p w14:paraId="57A06C72" w14:textId="05F28E43" w:rsidR="006427EC" w:rsidRPr="002D2A3E" w:rsidRDefault="006427EC" w:rsidP="006427EC">
            <w:pPr>
              <w:rPr>
                <w:b/>
                <w:bCs/>
                <w:sz w:val="24"/>
                <w:szCs w:val="24"/>
              </w:rPr>
            </w:pPr>
            <w:r w:rsidRPr="002D2A3E">
              <w:rPr>
                <w:b/>
                <w:bCs/>
                <w:sz w:val="24"/>
                <w:szCs w:val="24"/>
              </w:rPr>
              <w:t>Type of fee payer</w:t>
            </w:r>
          </w:p>
        </w:tc>
        <w:tc>
          <w:tcPr>
            <w:tcW w:w="3925" w:type="dxa"/>
          </w:tcPr>
          <w:p w14:paraId="406D3B10" w14:textId="4D774AA9" w:rsidR="006427EC" w:rsidRPr="002D2A3E" w:rsidRDefault="006427EC" w:rsidP="006427EC">
            <w:pPr>
              <w:rPr>
                <w:b/>
                <w:bCs/>
                <w:sz w:val="24"/>
                <w:szCs w:val="24"/>
              </w:rPr>
            </w:pPr>
            <w:r w:rsidRPr="002D2A3E">
              <w:rPr>
                <w:b/>
                <w:bCs/>
                <w:sz w:val="24"/>
                <w:szCs w:val="24"/>
              </w:rPr>
              <w:t>Status Quo (Option 1)</w:t>
            </w:r>
          </w:p>
        </w:tc>
        <w:tc>
          <w:tcPr>
            <w:tcW w:w="3925" w:type="dxa"/>
          </w:tcPr>
          <w:p w14:paraId="397FB300" w14:textId="7478130D" w:rsidR="006427EC" w:rsidRPr="002D2A3E" w:rsidRDefault="006427EC" w:rsidP="006427EC">
            <w:pPr>
              <w:rPr>
                <w:b/>
                <w:bCs/>
                <w:sz w:val="24"/>
                <w:szCs w:val="24"/>
              </w:rPr>
            </w:pPr>
            <w:r w:rsidRPr="002D2A3E">
              <w:rPr>
                <w:b/>
                <w:bCs/>
                <w:sz w:val="24"/>
                <w:szCs w:val="24"/>
              </w:rPr>
              <w:t>Flat fee (Option 2)</w:t>
            </w:r>
          </w:p>
        </w:tc>
        <w:tc>
          <w:tcPr>
            <w:tcW w:w="3925" w:type="dxa"/>
          </w:tcPr>
          <w:p w14:paraId="7302C6D6" w14:textId="3D7FDBE0" w:rsidR="006427EC" w:rsidRPr="002D2A3E" w:rsidRDefault="006427EC" w:rsidP="006427EC">
            <w:pPr>
              <w:rPr>
                <w:b/>
                <w:bCs/>
                <w:sz w:val="24"/>
                <w:szCs w:val="24"/>
              </w:rPr>
            </w:pPr>
            <w:r w:rsidRPr="002D2A3E">
              <w:rPr>
                <w:b/>
                <w:bCs/>
                <w:sz w:val="24"/>
                <w:szCs w:val="24"/>
              </w:rPr>
              <w:t>Cost recovery + CPI (Option 3)</w:t>
            </w:r>
          </w:p>
        </w:tc>
      </w:tr>
      <w:tr w:rsidR="006427EC" w14:paraId="12FD0F04" w14:textId="77777777" w:rsidTr="00ED306C">
        <w:tc>
          <w:tcPr>
            <w:tcW w:w="2254" w:type="dxa"/>
          </w:tcPr>
          <w:p w14:paraId="3D0D48B3" w14:textId="394E7617" w:rsidR="006427EC" w:rsidRDefault="006427EC" w:rsidP="006427EC">
            <w:pPr>
              <w:rPr>
                <w:sz w:val="24"/>
                <w:szCs w:val="24"/>
              </w:rPr>
            </w:pPr>
            <w:r>
              <w:rPr>
                <w:sz w:val="24"/>
                <w:szCs w:val="24"/>
              </w:rPr>
              <w:t>High risk medicines</w:t>
            </w:r>
          </w:p>
        </w:tc>
        <w:tc>
          <w:tcPr>
            <w:tcW w:w="3925" w:type="dxa"/>
          </w:tcPr>
          <w:p w14:paraId="0D54724D" w14:textId="2F5AC78B" w:rsidR="009915DC" w:rsidRPr="00ED306C" w:rsidRDefault="008F5185" w:rsidP="006427EC">
            <w:pPr>
              <w:rPr>
                <w:i/>
                <w:iCs/>
                <w:sz w:val="24"/>
                <w:szCs w:val="24"/>
              </w:rPr>
            </w:pPr>
            <w:r w:rsidRPr="00ED306C">
              <w:rPr>
                <w:i/>
                <w:iCs/>
                <w:sz w:val="24"/>
                <w:szCs w:val="24"/>
              </w:rPr>
              <w:t xml:space="preserve">Direct </w:t>
            </w:r>
            <w:r w:rsidR="00EE5763">
              <w:rPr>
                <w:i/>
                <w:iCs/>
                <w:sz w:val="24"/>
                <w:szCs w:val="24"/>
              </w:rPr>
              <w:t>impacts</w:t>
            </w:r>
            <w:r w:rsidRPr="00ED306C">
              <w:rPr>
                <w:i/>
                <w:iCs/>
                <w:sz w:val="24"/>
                <w:szCs w:val="24"/>
              </w:rPr>
              <w:t xml:space="preserve">: </w:t>
            </w:r>
          </w:p>
          <w:p w14:paraId="17E226F5" w14:textId="62BDAE84" w:rsidR="006427EC" w:rsidRDefault="002D2A3E" w:rsidP="006427EC">
            <w:pPr>
              <w:rPr>
                <w:sz w:val="24"/>
                <w:szCs w:val="24"/>
              </w:rPr>
            </w:pPr>
            <w:r>
              <w:rPr>
                <w:sz w:val="24"/>
                <w:szCs w:val="24"/>
              </w:rPr>
              <w:t>No change in financial impacts.</w:t>
            </w:r>
          </w:p>
          <w:p w14:paraId="7D9D4DFF" w14:textId="77777777" w:rsidR="008F6FAE" w:rsidRDefault="008F6FAE" w:rsidP="006427EC">
            <w:pPr>
              <w:rPr>
                <w:sz w:val="24"/>
                <w:szCs w:val="24"/>
              </w:rPr>
            </w:pPr>
          </w:p>
          <w:p w14:paraId="6680D86C" w14:textId="1FEE45DA" w:rsidR="008F5185" w:rsidRDefault="008F5185" w:rsidP="006427EC">
            <w:pPr>
              <w:rPr>
                <w:i/>
                <w:iCs/>
                <w:sz w:val="24"/>
                <w:szCs w:val="24"/>
              </w:rPr>
            </w:pPr>
            <w:r w:rsidRPr="00ED306C">
              <w:rPr>
                <w:i/>
                <w:iCs/>
                <w:sz w:val="24"/>
                <w:szCs w:val="24"/>
              </w:rPr>
              <w:t xml:space="preserve">Indirect </w:t>
            </w:r>
            <w:r w:rsidR="00EE5763">
              <w:rPr>
                <w:i/>
                <w:iCs/>
                <w:sz w:val="24"/>
                <w:szCs w:val="24"/>
              </w:rPr>
              <w:t>impacts</w:t>
            </w:r>
            <w:r w:rsidRPr="00ED306C">
              <w:rPr>
                <w:i/>
                <w:iCs/>
                <w:sz w:val="24"/>
                <w:szCs w:val="24"/>
              </w:rPr>
              <w:t xml:space="preserve">: </w:t>
            </w:r>
          </w:p>
          <w:p w14:paraId="41AAC14F" w14:textId="607F6208" w:rsidR="00915A3C" w:rsidRPr="00915A3C" w:rsidRDefault="00915A3C" w:rsidP="006427EC">
            <w:pPr>
              <w:rPr>
                <w:sz w:val="24"/>
                <w:szCs w:val="24"/>
              </w:rPr>
            </w:pPr>
            <w:r>
              <w:rPr>
                <w:sz w:val="24"/>
                <w:szCs w:val="24"/>
              </w:rPr>
              <w:t>Potential reduction in service levels</w:t>
            </w:r>
            <w:r w:rsidR="003C50EC">
              <w:rPr>
                <w:sz w:val="24"/>
                <w:szCs w:val="24"/>
              </w:rPr>
              <w:t xml:space="preserve"> and increased inefficiencies, leading to increased timelines</w:t>
            </w:r>
          </w:p>
        </w:tc>
        <w:tc>
          <w:tcPr>
            <w:tcW w:w="3925" w:type="dxa"/>
          </w:tcPr>
          <w:p w14:paraId="69607939" w14:textId="2DB49E7C" w:rsidR="009915DC" w:rsidRDefault="008F6FAE" w:rsidP="006427EC">
            <w:pPr>
              <w:rPr>
                <w:sz w:val="24"/>
                <w:szCs w:val="24"/>
              </w:rPr>
            </w:pPr>
            <w:r w:rsidRPr="00ED306C">
              <w:rPr>
                <w:i/>
                <w:iCs/>
                <w:sz w:val="24"/>
                <w:szCs w:val="24"/>
              </w:rPr>
              <w:t xml:space="preserve">Direct </w:t>
            </w:r>
            <w:r w:rsidR="00EE5763">
              <w:rPr>
                <w:i/>
                <w:iCs/>
                <w:sz w:val="24"/>
                <w:szCs w:val="24"/>
              </w:rPr>
              <w:t>impacts</w:t>
            </w:r>
            <w:r w:rsidRPr="00ED306C">
              <w:rPr>
                <w:i/>
                <w:iCs/>
                <w:sz w:val="24"/>
                <w:szCs w:val="24"/>
              </w:rPr>
              <w:t>:</w:t>
            </w:r>
            <w:r>
              <w:rPr>
                <w:sz w:val="24"/>
                <w:szCs w:val="24"/>
              </w:rPr>
              <w:t xml:space="preserve"> </w:t>
            </w:r>
          </w:p>
          <w:p w14:paraId="3F128AED" w14:textId="77777777" w:rsidR="006427EC" w:rsidRDefault="006427EC" w:rsidP="006427EC">
            <w:pPr>
              <w:rPr>
                <w:sz w:val="24"/>
                <w:szCs w:val="24"/>
              </w:rPr>
            </w:pPr>
            <w:r>
              <w:rPr>
                <w:sz w:val="24"/>
                <w:szCs w:val="24"/>
              </w:rPr>
              <w:t>Moderate financial impact</w:t>
            </w:r>
          </w:p>
          <w:p w14:paraId="5299C789" w14:textId="77777777" w:rsidR="009915DC" w:rsidRDefault="009915DC" w:rsidP="006427EC">
            <w:pPr>
              <w:rPr>
                <w:sz w:val="24"/>
                <w:szCs w:val="24"/>
              </w:rPr>
            </w:pPr>
          </w:p>
          <w:p w14:paraId="11D01AB8" w14:textId="3A4A7DD5" w:rsidR="009915DC" w:rsidRDefault="009915DC" w:rsidP="006427EC">
            <w:pPr>
              <w:rPr>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4E950DBF" w14:textId="77777777" w:rsidR="00EE5763" w:rsidRDefault="00EE5763" w:rsidP="006427EC">
            <w:pPr>
              <w:rPr>
                <w:sz w:val="24"/>
                <w:szCs w:val="24"/>
              </w:rPr>
            </w:pPr>
            <w:r>
              <w:rPr>
                <w:sz w:val="24"/>
                <w:szCs w:val="24"/>
              </w:rPr>
              <w:t xml:space="preserve">Improved efficiencies and better service levels. </w:t>
            </w:r>
          </w:p>
          <w:p w14:paraId="4EC6DC13" w14:textId="4B806BF2" w:rsidR="00EE5763" w:rsidRPr="00EE5763" w:rsidRDefault="00EE5763" w:rsidP="006427EC">
            <w:pPr>
              <w:rPr>
                <w:sz w:val="24"/>
                <w:szCs w:val="24"/>
              </w:rPr>
            </w:pPr>
            <w:r>
              <w:rPr>
                <w:sz w:val="24"/>
                <w:szCs w:val="24"/>
              </w:rPr>
              <w:t>Costs spread over all fee payers</w:t>
            </w:r>
          </w:p>
        </w:tc>
        <w:tc>
          <w:tcPr>
            <w:tcW w:w="3925" w:type="dxa"/>
          </w:tcPr>
          <w:p w14:paraId="5F7677A1" w14:textId="23454413" w:rsidR="009915DC" w:rsidRDefault="008F6FAE" w:rsidP="006427EC">
            <w:pPr>
              <w:rPr>
                <w:sz w:val="24"/>
                <w:szCs w:val="24"/>
              </w:rPr>
            </w:pPr>
            <w:r w:rsidRPr="00ED306C">
              <w:rPr>
                <w:i/>
                <w:iCs/>
                <w:sz w:val="24"/>
                <w:szCs w:val="24"/>
              </w:rPr>
              <w:t xml:space="preserve">Direct </w:t>
            </w:r>
            <w:r w:rsidR="00EE5763">
              <w:rPr>
                <w:i/>
                <w:iCs/>
                <w:sz w:val="24"/>
                <w:szCs w:val="24"/>
              </w:rPr>
              <w:t>impacts</w:t>
            </w:r>
            <w:r w:rsidRPr="00ED306C">
              <w:rPr>
                <w:i/>
                <w:iCs/>
                <w:sz w:val="24"/>
                <w:szCs w:val="24"/>
              </w:rPr>
              <w:t>:</w:t>
            </w:r>
            <w:r>
              <w:rPr>
                <w:sz w:val="24"/>
                <w:szCs w:val="24"/>
              </w:rPr>
              <w:t xml:space="preserve"> </w:t>
            </w:r>
          </w:p>
          <w:p w14:paraId="78AB8DBA" w14:textId="53606164" w:rsidR="008F6FAE" w:rsidRDefault="008F5185" w:rsidP="006427EC">
            <w:pPr>
              <w:rPr>
                <w:sz w:val="24"/>
                <w:szCs w:val="24"/>
              </w:rPr>
            </w:pPr>
            <w:r>
              <w:rPr>
                <w:sz w:val="24"/>
                <w:szCs w:val="24"/>
              </w:rPr>
              <w:t>High financial impact in certain areas</w:t>
            </w:r>
            <w:r w:rsidR="00EE5763">
              <w:rPr>
                <w:sz w:val="24"/>
                <w:szCs w:val="24"/>
              </w:rPr>
              <w:t>, but moderate to low in others</w:t>
            </w:r>
            <w:r>
              <w:rPr>
                <w:sz w:val="24"/>
                <w:szCs w:val="24"/>
              </w:rPr>
              <w:t xml:space="preserve">. </w:t>
            </w:r>
          </w:p>
          <w:p w14:paraId="23C86B97" w14:textId="77777777" w:rsidR="008F6FAE" w:rsidRDefault="008F6FAE" w:rsidP="006427EC">
            <w:pPr>
              <w:rPr>
                <w:sz w:val="24"/>
                <w:szCs w:val="24"/>
              </w:rPr>
            </w:pPr>
          </w:p>
          <w:p w14:paraId="17E94E69" w14:textId="4EF19CFB" w:rsidR="008F6FAE" w:rsidRPr="00ED306C" w:rsidRDefault="008F6FAE" w:rsidP="006427EC">
            <w:pPr>
              <w:rPr>
                <w:i/>
                <w:iCs/>
                <w:sz w:val="24"/>
                <w:szCs w:val="24"/>
              </w:rPr>
            </w:pPr>
            <w:r w:rsidRPr="00ED306C">
              <w:rPr>
                <w:i/>
                <w:iCs/>
                <w:sz w:val="24"/>
                <w:szCs w:val="24"/>
              </w:rPr>
              <w:t xml:space="preserve">Indirect </w:t>
            </w:r>
            <w:r w:rsidR="00EE5763">
              <w:rPr>
                <w:i/>
                <w:iCs/>
                <w:sz w:val="24"/>
                <w:szCs w:val="24"/>
              </w:rPr>
              <w:t>impacts</w:t>
            </w:r>
            <w:r w:rsidRPr="00ED306C">
              <w:rPr>
                <w:i/>
                <w:iCs/>
                <w:sz w:val="24"/>
                <w:szCs w:val="24"/>
              </w:rPr>
              <w:t>:</w:t>
            </w:r>
          </w:p>
          <w:p w14:paraId="3DF59FB7" w14:textId="7A5034EC" w:rsidR="006427EC" w:rsidRDefault="002D2A3E" w:rsidP="006427EC">
            <w:pPr>
              <w:rPr>
                <w:sz w:val="24"/>
                <w:szCs w:val="24"/>
              </w:rPr>
            </w:pPr>
            <w:r>
              <w:rPr>
                <w:sz w:val="24"/>
                <w:szCs w:val="24"/>
              </w:rPr>
              <w:t>More certainty of referrals</w:t>
            </w:r>
            <w:r w:rsidR="008F5185">
              <w:rPr>
                <w:sz w:val="24"/>
                <w:szCs w:val="24"/>
              </w:rPr>
              <w:t>. Will gain better service levels</w:t>
            </w:r>
          </w:p>
        </w:tc>
      </w:tr>
      <w:tr w:rsidR="006427EC" w14:paraId="6A8DAACE" w14:textId="77777777" w:rsidTr="00ED306C">
        <w:tc>
          <w:tcPr>
            <w:tcW w:w="2254" w:type="dxa"/>
          </w:tcPr>
          <w:p w14:paraId="1135D6A3" w14:textId="4A7C575C" w:rsidR="006427EC" w:rsidRDefault="009915DC" w:rsidP="006427EC">
            <w:pPr>
              <w:rPr>
                <w:sz w:val="24"/>
                <w:szCs w:val="24"/>
              </w:rPr>
            </w:pPr>
            <w:r>
              <w:rPr>
                <w:sz w:val="24"/>
                <w:szCs w:val="24"/>
              </w:rPr>
              <w:t>Intermediate risk</w:t>
            </w:r>
            <w:r w:rsidR="006427EC">
              <w:rPr>
                <w:sz w:val="24"/>
                <w:szCs w:val="24"/>
              </w:rPr>
              <w:t xml:space="preserve"> medicines</w:t>
            </w:r>
          </w:p>
        </w:tc>
        <w:tc>
          <w:tcPr>
            <w:tcW w:w="3925" w:type="dxa"/>
          </w:tcPr>
          <w:p w14:paraId="587C518C" w14:textId="383D4240" w:rsidR="009915DC" w:rsidRPr="00ED7567"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2FDBB8F6" w14:textId="29935143" w:rsidR="006427EC" w:rsidRDefault="006427EC" w:rsidP="006427EC">
            <w:pPr>
              <w:rPr>
                <w:sz w:val="24"/>
                <w:szCs w:val="24"/>
              </w:rPr>
            </w:pPr>
            <w:r>
              <w:rPr>
                <w:sz w:val="24"/>
                <w:szCs w:val="24"/>
              </w:rPr>
              <w:t xml:space="preserve">Low financial impact </w:t>
            </w:r>
          </w:p>
          <w:p w14:paraId="70870BF7" w14:textId="46302FE5" w:rsidR="009915DC" w:rsidRDefault="009915DC" w:rsidP="006427EC">
            <w:pPr>
              <w:rPr>
                <w:sz w:val="24"/>
                <w:szCs w:val="24"/>
              </w:rPr>
            </w:pPr>
          </w:p>
          <w:p w14:paraId="41AA48D2" w14:textId="67659C4D" w:rsidR="009915DC" w:rsidRDefault="009915DC" w:rsidP="006427EC">
            <w:pPr>
              <w:rPr>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5977D7F2" w14:textId="5CF9B017" w:rsidR="009915DC" w:rsidRDefault="003C50EC" w:rsidP="006427EC">
            <w:pPr>
              <w:rPr>
                <w:sz w:val="24"/>
                <w:szCs w:val="24"/>
              </w:rPr>
            </w:pPr>
            <w:r>
              <w:rPr>
                <w:sz w:val="24"/>
                <w:szCs w:val="24"/>
              </w:rPr>
              <w:t>Potential reduction in service levels and increased inefficiencies, leading to increased timelines</w:t>
            </w:r>
          </w:p>
        </w:tc>
        <w:tc>
          <w:tcPr>
            <w:tcW w:w="3925" w:type="dxa"/>
          </w:tcPr>
          <w:p w14:paraId="29538F66" w14:textId="2AFD9598" w:rsidR="009915DC" w:rsidRPr="00ED7567"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7A7BCEF4" w14:textId="212CA9A7" w:rsidR="006427EC" w:rsidRDefault="006427EC" w:rsidP="006427EC">
            <w:pPr>
              <w:rPr>
                <w:sz w:val="24"/>
                <w:szCs w:val="24"/>
              </w:rPr>
            </w:pPr>
            <w:r>
              <w:rPr>
                <w:sz w:val="24"/>
                <w:szCs w:val="24"/>
              </w:rPr>
              <w:t xml:space="preserve">High financial impact, not equitable. </w:t>
            </w:r>
          </w:p>
          <w:p w14:paraId="187AE504" w14:textId="77777777" w:rsidR="009915DC" w:rsidRDefault="009915DC" w:rsidP="006427EC">
            <w:pPr>
              <w:rPr>
                <w:sz w:val="24"/>
                <w:szCs w:val="24"/>
              </w:rPr>
            </w:pPr>
          </w:p>
          <w:p w14:paraId="5C3B0FC9" w14:textId="6332946E" w:rsidR="009915DC" w:rsidRDefault="009915DC" w:rsidP="006427EC">
            <w:pPr>
              <w:rPr>
                <w:i/>
                <w:iCs/>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65A4499C" w14:textId="26C2FB3A" w:rsidR="009915DC" w:rsidRDefault="00EE5763" w:rsidP="006427EC">
            <w:pPr>
              <w:rPr>
                <w:sz w:val="24"/>
                <w:szCs w:val="24"/>
              </w:rPr>
            </w:pPr>
            <w:r>
              <w:rPr>
                <w:sz w:val="24"/>
                <w:szCs w:val="24"/>
              </w:rPr>
              <w:t>Improved efficiencies and better service levels.</w:t>
            </w:r>
          </w:p>
        </w:tc>
        <w:tc>
          <w:tcPr>
            <w:tcW w:w="3925" w:type="dxa"/>
          </w:tcPr>
          <w:p w14:paraId="753768A5" w14:textId="79932F4A" w:rsidR="009915DC" w:rsidRPr="00ED7567"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0D0E8471" w14:textId="56779E2E" w:rsidR="006427EC" w:rsidRDefault="008F5185" w:rsidP="006427EC">
            <w:pPr>
              <w:rPr>
                <w:sz w:val="24"/>
                <w:szCs w:val="24"/>
              </w:rPr>
            </w:pPr>
            <w:r>
              <w:rPr>
                <w:sz w:val="24"/>
                <w:szCs w:val="24"/>
              </w:rPr>
              <w:t xml:space="preserve">Moderate to </w:t>
            </w:r>
            <w:r w:rsidR="00320DC1">
              <w:rPr>
                <w:sz w:val="24"/>
                <w:szCs w:val="24"/>
              </w:rPr>
              <w:t>low</w:t>
            </w:r>
            <w:r>
              <w:rPr>
                <w:sz w:val="24"/>
                <w:szCs w:val="24"/>
              </w:rPr>
              <w:t xml:space="preserve"> financial impact. Equitable. </w:t>
            </w:r>
          </w:p>
          <w:p w14:paraId="4D017F47" w14:textId="77777777" w:rsidR="009915DC" w:rsidRDefault="009915DC" w:rsidP="006427EC">
            <w:pPr>
              <w:rPr>
                <w:sz w:val="24"/>
                <w:szCs w:val="24"/>
              </w:rPr>
            </w:pPr>
          </w:p>
          <w:p w14:paraId="72F9DFE3" w14:textId="36E1CFB4" w:rsidR="009915DC" w:rsidRDefault="009915DC" w:rsidP="006427EC">
            <w:pPr>
              <w:rPr>
                <w:i/>
                <w:iCs/>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6AA8D8AF" w14:textId="1762B5BA" w:rsidR="009915DC" w:rsidRDefault="003E2E09" w:rsidP="006427EC">
            <w:pPr>
              <w:rPr>
                <w:sz w:val="24"/>
                <w:szCs w:val="24"/>
              </w:rPr>
            </w:pPr>
            <w:r>
              <w:rPr>
                <w:sz w:val="24"/>
                <w:szCs w:val="24"/>
              </w:rPr>
              <w:t>Improved efficiencies and better service levels</w:t>
            </w:r>
          </w:p>
        </w:tc>
      </w:tr>
      <w:tr w:rsidR="006427EC" w14:paraId="20335FF0" w14:textId="77777777" w:rsidTr="00ED306C">
        <w:tc>
          <w:tcPr>
            <w:tcW w:w="2254" w:type="dxa"/>
          </w:tcPr>
          <w:p w14:paraId="57DE9CFE" w14:textId="79A7349E" w:rsidR="006427EC" w:rsidRDefault="006427EC" w:rsidP="006427EC">
            <w:pPr>
              <w:rPr>
                <w:sz w:val="24"/>
                <w:szCs w:val="24"/>
              </w:rPr>
            </w:pPr>
            <w:r>
              <w:rPr>
                <w:sz w:val="24"/>
                <w:szCs w:val="24"/>
              </w:rPr>
              <w:t>Low risk medicines</w:t>
            </w:r>
          </w:p>
        </w:tc>
        <w:tc>
          <w:tcPr>
            <w:tcW w:w="3925" w:type="dxa"/>
          </w:tcPr>
          <w:p w14:paraId="07E2F812" w14:textId="1F208111" w:rsidR="009915DC" w:rsidRPr="00ED7567"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477C8C75" w14:textId="388E37E8" w:rsidR="006427EC" w:rsidRDefault="006427EC" w:rsidP="006427EC">
            <w:pPr>
              <w:rPr>
                <w:sz w:val="24"/>
                <w:szCs w:val="24"/>
              </w:rPr>
            </w:pPr>
            <w:r>
              <w:rPr>
                <w:sz w:val="24"/>
                <w:szCs w:val="24"/>
              </w:rPr>
              <w:t xml:space="preserve">Low financial impact </w:t>
            </w:r>
          </w:p>
          <w:p w14:paraId="7D8E01E4" w14:textId="77777777" w:rsidR="009915DC" w:rsidRDefault="009915DC" w:rsidP="006427EC">
            <w:pPr>
              <w:rPr>
                <w:sz w:val="24"/>
                <w:szCs w:val="24"/>
              </w:rPr>
            </w:pPr>
          </w:p>
          <w:p w14:paraId="404C9461" w14:textId="634A5323" w:rsidR="009915DC" w:rsidRDefault="009915DC" w:rsidP="006427EC">
            <w:pPr>
              <w:rPr>
                <w:i/>
                <w:iCs/>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1239954B" w14:textId="219233A4" w:rsidR="009915DC" w:rsidRDefault="003C50EC" w:rsidP="006427EC">
            <w:pPr>
              <w:rPr>
                <w:sz w:val="24"/>
                <w:szCs w:val="24"/>
              </w:rPr>
            </w:pPr>
            <w:r>
              <w:rPr>
                <w:sz w:val="24"/>
                <w:szCs w:val="24"/>
              </w:rPr>
              <w:t>Potential reduction in service levels and increased inefficiencies, leading to increased timelines. Inequities remain</w:t>
            </w:r>
          </w:p>
        </w:tc>
        <w:tc>
          <w:tcPr>
            <w:tcW w:w="3925" w:type="dxa"/>
          </w:tcPr>
          <w:p w14:paraId="05B11320" w14:textId="65EEEDD4" w:rsidR="009915DC" w:rsidRPr="00ED7567"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15CB86B3" w14:textId="7A8F4062" w:rsidR="006427EC" w:rsidRDefault="006427EC" w:rsidP="006427EC">
            <w:pPr>
              <w:rPr>
                <w:sz w:val="24"/>
                <w:szCs w:val="24"/>
              </w:rPr>
            </w:pPr>
            <w:r>
              <w:rPr>
                <w:sz w:val="24"/>
                <w:szCs w:val="24"/>
              </w:rPr>
              <w:t xml:space="preserve">High financial impact, not equitable. </w:t>
            </w:r>
          </w:p>
          <w:p w14:paraId="3108744B" w14:textId="77777777" w:rsidR="009915DC" w:rsidRDefault="009915DC" w:rsidP="006427EC">
            <w:pPr>
              <w:rPr>
                <w:sz w:val="24"/>
                <w:szCs w:val="24"/>
              </w:rPr>
            </w:pPr>
          </w:p>
          <w:p w14:paraId="028121A4" w14:textId="5CD7E22A" w:rsidR="009915DC" w:rsidRDefault="009915DC" w:rsidP="006427EC">
            <w:pPr>
              <w:rPr>
                <w:i/>
                <w:iCs/>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462109A1" w14:textId="4411D117" w:rsidR="009915DC" w:rsidRDefault="003E2E09" w:rsidP="006427EC">
            <w:pPr>
              <w:rPr>
                <w:sz w:val="24"/>
                <w:szCs w:val="24"/>
              </w:rPr>
            </w:pPr>
            <w:r>
              <w:rPr>
                <w:sz w:val="24"/>
                <w:szCs w:val="24"/>
              </w:rPr>
              <w:t>Improved efficiencies and better service levels</w:t>
            </w:r>
          </w:p>
        </w:tc>
        <w:tc>
          <w:tcPr>
            <w:tcW w:w="3925" w:type="dxa"/>
          </w:tcPr>
          <w:p w14:paraId="69B680B8" w14:textId="31C2E6E1" w:rsidR="009915DC" w:rsidRPr="00ED7567"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073AC67C" w14:textId="6C88A91A" w:rsidR="006427EC" w:rsidRDefault="00320DC1" w:rsidP="006427EC">
            <w:pPr>
              <w:rPr>
                <w:sz w:val="24"/>
                <w:szCs w:val="24"/>
              </w:rPr>
            </w:pPr>
            <w:r>
              <w:rPr>
                <w:sz w:val="24"/>
                <w:szCs w:val="24"/>
              </w:rPr>
              <w:t>Low</w:t>
            </w:r>
            <w:r w:rsidR="008F5185">
              <w:rPr>
                <w:sz w:val="24"/>
                <w:szCs w:val="24"/>
              </w:rPr>
              <w:t xml:space="preserve"> financial impact. Equitable. </w:t>
            </w:r>
          </w:p>
          <w:p w14:paraId="66FA1368" w14:textId="77777777" w:rsidR="009915DC" w:rsidRDefault="009915DC" w:rsidP="006427EC">
            <w:pPr>
              <w:rPr>
                <w:sz w:val="24"/>
                <w:szCs w:val="24"/>
              </w:rPr>
            </w:pPr>
          </w:p>
          <w:p w14:paraId="6E14258A" w14:textId="72C1B572" w:rsidR="009915DC" w:rsidRDefault="009915DC" w:rsidP="006427EC">
            <w:pPr>
              <w:rPr>
                <w:i/>
                <w:iCs/>
                <w:sz w:val="24"/>
                <w:szCs w:val="24"/>
              </w:rPr>
            </w:pPr>
            <w:r w:rsidRPr="00ED7567">
              <w:rPr>
                <w:i/>
                <w:iCs/>
                <w:sz w:val="24"/>
                <w:szCs w:val="24"/>
              </w:rPr>
              <w:t xml:space="preserve">Indirect </w:t>
            </w:r>
            <w:r w:rsidR="00EE5763">
              <w:rPr>
                <w:i/>
                <w:iCs/>
                <w:sz w:val="24"/>
                <w:szCs w:val="24"/>
              </w:rPr>
              <w:t>impacts</w:t>
            </w:r>
            <w:r w:rsidRPr="00ED7567">
              <w:rPr>
                <w:i/>
                <w:iCs/>
                <w:sz w:val="24"/>
                <w:szCs w:val="24"/>
              </w:rPr>
              <w:t>:</w:t>
            </w:r>
          </w:p>
          <w:p w14:paraId="7C7B45D8" w14:textId="4E3814C9" w:rsidR="009915DC" w:rsidRDefault="003E2E09" w:rsidP="006427EC">
            <w:pPr>
              <w:rPr>
                <w:sz w:val="24"/>
                <w:szCs w:val="24"/>
              </w:rPr>
            </w:pPr>
            <w:r>
              <w:rPr>
                <w:sz w:val="24"/>
                <w:szCs w:val="24"/>
              </w:rPr>
              <w:t>Improved efficiencies and better service levels</w:t>
            </w:r>
          </w:p>
        </w:tc>
      </w:tr>
      <w:tr w:rsidR="006427EC" w14:paraId="28A29C68" w14:textId="77777777" w:rsidTr="00ED306C">
        <w:tc>
          <w:tcPr>
            <w:tcW w:w="2254" w:type="dxa"/>
          </w:tcPr>
          <w:p w14:paraId="6DF44663" w14:textId="26161719" w:rsidR="006427EC" w:rsidRDefault="006427EC" w:rsidP="006427EC">
            <w:pPr>
              <w:rPr>
                <w:sz w:val="24"/>
                <w:szCs w:val="24"/>
              </w:rPr>
            </w:pPr>
            <w:r>
              <w:rPr>
                <w:sz w:val="24"/>
                <w:szCs w:val="24"/>
              </w:rPr>
              <w:t>Clinical trials</w:t>
            </w:r>
          </w:p>
        </w:tc>
        <w:tc>
          <w:tcPr>
            <w:tcW w:w="3925" w:type="dxa"/>
          </w:tcPr>
          <w:p w14:paraId="4F3D39C0" w14:textId="677B09CE" w:rsidR="006427EC" w:rsidRDefault="006427EC" w:rsidP="006427EC">
            <w:pPr>
              <w:rPr>
                <w:sz w:val="24"/>
                <w:szCs w:val="24"/>
              </w:rPr>
            </w:pPr>
            <w:r>
              <w:rPr>
                <w:sz w:val="24"/>
                <w:szCs w:val="24"/>
              </w:rPr>
              <w:t>No impact</w:t>
            </w:r>
          </w:p>
        </w:tc>
        <w:tc>
          <w:tcPr>
            <w:tcW w:w="3925" w:type="dxa"/>
          </w:tcPr>
          <w:p w14:paraId="7ADD6944" w14:textId="75934DA4" w:rsidR="006427EC" w:rsidRDefault="008F5185" w:rsidP="006427EC">
            <w:pPr>
              <w:rPr>
                <w:sz w:val="24"/>
                <w:szCs w:val="24"/>
              </w:rPr>
            </w:pPr>
            <w:r>
              <w:rPr>
                <w:sz w:val="24"/>
                <w:szCs w:val="24"/>
              </w:rPr>
              <w:t>No impact</w:t>
            </w:r>
          </w:p>
        </w:tc>
        <w:tc>
          <w:tcPr>
            <w:tcW w:w="3925" w:type="dxa"/>
          </w:tcPr>
          <w:p w14:paraId="1B1C52D6" w14:textId="6A509BC9" w:rsidR="006427EC" w:rsidRDefault="008F5185" w:rsidP="006427EC">
            <w:pPr>
              <w:rPr>
                <w:sz w:val="24"/>
                <w:szCs w:val="24"/>
              </w:rPr>
            </w:pPr>
            <w:r>
              <w:rPr>
                <w:sz w:val="24"/>
                <w:szCs w:val="24"/>
              </w:rPr>
              <w:t>No impact</w:t>
            </w:r>
          </w:p>
        </w:tc>
      </w:tr>
      <w:tr w:rsidR="006427EC" w14:paraId="1DA11BEF" w14:textId="77777777" w:rsidTr="00ED306C">
        <w:tc>
          <w:tcPr>
            <w:tcW w:w="2254" w:type="dxa"/>
          </w:tcPr>
          <w:p w14:paraId="2CCB9E56" w14:textId="6DE50166" w:rsidR="006427EC" w:rsidRDefault="006427EC" w:rsidP="006427EC">
            <w:pPr>
              <w:rPr>
                <w:sz w:val="24"/>
                <w:szCs w:val="24"/>
              </w:rPr>
            </w:pPr>
            <w:r>
              <w:rPr>
                <w:sz w:val="24"/>
                <w:szCs w:val="24"/>
              </w:rPr>
              <w:t>Licences</w:t>
            </w:r>
            <w:r w:rsidR="009915DC">
              <w:rPr>
                <w:sz w:val="24"/>
                <w:szCs w:val="24"/>
              </w:rPr>
              <w:t xml:space="preserve"> and other application fees</w:t>
            </w:r>
          </w:p>
        </w:tc>
        <w:tc>
          <w:tcPr>
            <w:tcW w:w="3925" w:type="dxa"/>
          </w:tcPr>
          <w:p w14:paraId="1974F993" w14:textId="12A36BD6" w:rsidR="009915DC" w:rsidRDefault="009915DC" w:rsidP="009915DC">
            <w:pPr>
              <w:rPr>
                <w:i/>
                <w:iCs/>
                <w:sz w:val="24"/>
                <w:szCs w:val="24"/>
              </w:rPr>
            </w:pPr>
            <w:r w:rsidRPr="00ED7567">
              <w:rPr>
                <w:i/>
                <w:iCs/>
                <w:sz w:val="24"/>
                <w:szCs w:val="24"/>
              </w:rPr>
              <w:t xml:space="preserve">Direct </w:t>
            </w:r>
            <w:r w:rsidR="00EE5763">
              <w:rPr>
                <w:i/>
                <w:iCs/>
                <w:sz w:val="24"/>
                <w:szCs w:val="24"/>
              </w:rPr>
              <w:t>impacts</w:t>
            </w:r>
            <w:r w:rsidRPr="00ED7567">
              <w:rPr>
                <w:i/>
                <w:iCs/>
                <w:sz w:val="24"/>
                <w:szCs w:val="24"/>
              </w:rPr>
              <w:t xml:space="preserve">: </w:t>
            </w:r>
          </w:p>
          <w:p w14:paraId="00325B54" w14:textId="55E9F3C3" w:rsidR="006427EC" w:rsidRDefault="006427EC" w:rsidP="006427EC">
            <w:pPr>
              <w:rPr>
                <w:sz w:val="24"/>
                <w:szCs w:val="24"/>
              </w:rPr>
            </w:pPr>
            <w:r>
              <w:rPr>
                <w:sz w:val="24"/>
                <w:szCs w:val="24"/>
              </w:rPr>
              <w:t xml:space="preserve">Low financial impact </w:t>
            </w:r>
          </w:p>
          <w:p w14:paraId="6F9766EF" w14:textId="77777777" w:rsidR="009915DC" w:rsidRDefault="009915DC" w:rsidP="006427EC">
            <w:pPr>
              <w:rPr>
                <w:sz w:val="24"/>
                <w:szCs w:val="24"/>
              </w:rPr>
            </w:pPr>
          </w:p>
          <w:p w14:paraId="021C3E52" w14:textId="3FB6498E" w:rsidR="009915DC" w:rsidRDefault="009915DC" w:rsidP="006427EC">
            <w:pPr>
              <w:rPr>
                <w:i/>
                <w:iCs/>
                <w:sz w:val="24"/>
                <w:szCs w:val="24"/>
              </w:rPr>
            </w:pPr>
            <w:r w:rsidRPr="00ED7567">
              <w:rPr>
                <w:i/>
                <w:iCs/>
                <w:sz w:val="24"/>
                <w:szCs w:val="24"/>
              </w:rPr>
              <w:lastRenderedPageBreak/>
              <w:t xml:space="preserve">Indirect </w:t>
            </w:r>
            <w:r w:rsidR="00EE5763">
              <w:rPr>
                <w:i/>
                <w:iCs/>
                <w:sz w:val="24"/>
                <w:szCs w:val="24"/>
              </w:rPr>
              <w:t>impacts</w:t>
            </w:r>
            <w:r w:rsidRPr="00ED7567">
              <w:rPr>
                <w:i/>
                <w:iCs/>
                <w:sz w:val="24"/>
                <w:szCs w:val="24"/>
              </w:rPr>
              <w:t>:</w:t>
            </w:r>
          </w:p>
          <w:p w14:paraId="1A862661" w14:textId="02D80A5A" w:rsidR="009915DC" w:rsidRDefault="00EE5763" w:rsidP="006427EC">
            <w:pPr>
              <w:rPr>
                <w:sz w:val="24"/>
                <w:szCs w:val="24"/>
              </w:rPr>
            </w:pPr>
            <w:r>
              <w:rPr>
                <w:sz w:val="24"/>
                <w:szCs w:val="24"/>
              </w:rPr>
              <w:t>Potential reduction in service levels and increased inefficiencies, leading to increased timelines</w:t>
            </w:r>
          </w:p>
        </w:tc>
        <w:tc>
          <w:tcPr>
            <w:tcW w:w="3925" w:type="dxa"/>
          </w:tcPr>
          <w:p w14:paraId="37973101" w14:textId="1892D397" w:rsidR="009915DC" w:rsidRPr="00ED7567" w:rsidRDefault="009915DC" w:rsidP="009915DC">
            <w:pPr>
              <w:rPr>
                <w:i/>
                <w:iCs/>
                <w:sz w:val="24"/>
                <w:szCs w:val="24"/>
              </w:rPr>
            </w:pPr>
            <w:r w:rsidRPr="00ED7567">
              <w:rPr>
                <w:i/>
                <w:iCs/>
                <w:sz w:val="24"/>
                <w:szCs w:val="24"/>
              </w:rPr>
              <w:lastRenderedPageBreak/>
              <w:t xml:space="preserve">Direct </w:t>
            </w:r>
            <w:r w:rsidR="00EE5763">
              <w:rPr>
                <w:i/>
                <w:iCs/>
                <w:sz w:val="24"/>
                <w:szCs w:val="24"/>
              </w:rPr>
              <w:t>impacts</w:t>
            </w:r>
            <w:r w:rsidRPr="00ED7567">
              <w:rPr>
                <w:i/>
                <w:iCs/>
                <w:sz w:val="24"/>
                <w:szCs w:val="24"/>
              </w:rPr>
              <w:t xml:space="preserve">: </w:t>
            </w:r>
          </w:p>
          <w:p w14:paraId="6A21F69A" w14:textId="40E257B8" w:rsidR="006427EC" w:rsidRDefault="008F5185" w:rsidP="006427EC">
            <w:pPr>
              <w:rPr>
                <w:sz w:val="24"/>
                <w:szCs w:val="24"/>
              </w:rPr>
            </w:pPr>
            <w:r>
              <w:rPr>
                <w:sz w:val="24"/>
                <w:szCs w:val="24"/>
              </w:rPr>
              <w:t xml:space="preserve">High financial impact. Not equitable. </w:t>
            </w:r>
          </w:p>
          <w:p w14:paraId="42A79666" w14:textId="77777777" w:rsidR="009915DC" w:rsidRDefault="009915DC" w:rsidP="006427EC">
            <w:pPr>
              <w:rPr>
                <w:sz w:val="24"/>
                <w:szCs w:val="24"/>
              </w:rPr>
            </w:pPr>
          </w:p>
          <w:p w14:paraId="794B99F3" w14:textId="56DCB65D" w:rsidR="009915DC" w:rsidRDefault="009915DC" w:rsidP="006427EC">
            <w:pPr>
              <w:rPr>
                <w:i/>
                <w:iCs/>
                <w:sz w:val="24"/>
                <w:szCs w:val="24"/>
              </w:rPr>
            </w:pPr>
            <w:r w:rsidRPr="00ED7567">
              <w:rPr>
                <w:i/>
                <w:iCs/>
                <w:sz w:val="24"/>
                <w:szCs w:val="24"/>
              </w:rPr>
              <w:lastRenderedPageBreak/>
              <w:t xml:space="preserve">Indirect </w:t>
            </w:r>
            <w:r w:rsidR="00EE5763">
              <w:rPr>
                <w:i/>
                <w:iCs/>
                <w:sz w:val="24"/>
                <w:szCs w:val="24"/>
              </w:rPr>
              <w:t>impacts</w:t>
            </w:r>
            <w:r w:rsidRPr="00ED7567">
              <w:rPr>
                <w:i/>
                <w:iCs/>
                <w:sz w:val="24"/>
                <w:szCs w:val="24"/>
              </w:rPr>
              <w:t>:</w:t>
            </w:r>
          </w:p>
          <w:p w14:paraId="277B289D" w14:textId="464BFBB2" w:rsidR="009915DC" w:rsidRDefault="003E2E09" w:rsidP="006427EC">
            <w:pPr>
              <w:rPr>
                <w:sz w:val="24"/>
                <w:szCs w:val="24"/>
              </w:rPr>
            </w:pPr>
            <w:r>
              <w:rPr>
                <w:sz w:val="24"/>
                <w:szCs w:val="24"/>
              </w:rPr>
              <w:t>Improved efficiencies and better service levels</w:t>
            </w:r>
          </w:p>
        </w:tc>
        <w:tc>
          <w:tcPr>
            <w:tcW w:w="3925" w:type="dxa"/>
          </w:tcPr>
          <w:p w14:paraId="3E3FBA78" w14:textId="5FE579B2" w:rsidR="009915DC" w:rsidRPr="00ED7567" w:rsidRDefault="009915DC" w:rsidP="009915DC">
            <w:pPr>
              <w:rPr>
                <w:i/>
                <w:iCs/>
                <w:sz w:val="24"/>
                <w:szCs w:val="24"/>
              </w:rPr>
            </w:pPr>
            <w:r w:rsidRPr="00ED7567">
              <w:rPr>
                <w:i/>
                <w:iCs/>
                <w:sz w:val="24"/>
                <w:szCs w:val="24"/>
              </w:rPr>
              <w:lastRenderedPageBreak/>
              <w:t xml:space="preserve">Direct </w:t>
            </w:r>
            <w:r w:rsidR="00EE5763">
              <w:rPr>
                <w:i/>
                <w:iCs/>
                <w:sz w:val="24"/>
                <w:szCs w:val="24"/>
              </w:rPr>
              <w:t>impacts</w:t>
            </w:r>
            <w:r w:rsidRPr="00ED7567">
              <w:rPr>
                <w:i/>
                <w:iCs/>
                <w:sz w:val="24"/>
                <w:szCs w:val="24"/>
              </w:rPr>
              <w:t xml:space="preserve">: </w:t>
            </w:r>
          </w:p>
          <w:p w14:paraId="1162BD44" w14:textId="0CC99D82" w:rsidR="006427EC" w:rsidRDefault="00320DC1" w:rsidP="006427EC">
            <w:pPr>
              <w:rPr>
                <w:sz w:val="24"/>
                <w:szCs w:val="24"/>
              </w:rPr>
            </w:pPr>
            <w:r>
              <w:rPr>
                <w:sz w:val="24"/>
                <w:szCs w:val="24"/>
              </w:rPr>
              <w:t>Low</w:t>
            </w:r>
            <w:r w:rsidR="008F5185">
              <w:rPr>
                <w:sz w:val="24"/>
                <w:szCs w:val="24"/>
              </w:rPr>
              <w:t xml:space="preserve"> financial impact. Equitable. </w:t>
            </w:r>
          </w:p>
          <w:p w14:paraId="6591434C" w14:textId="77777777" w:rsidR="009915DC" w:rsidRDefault="009915DC" w:rsidP="006427EC">
            <w:pPr>
              <w:rPr>
                <w:sz w:val="24"/>
                <w:szCs w:val="24"/>
              </w:rPr>
            </w:pPr>
          </w:p>
          <w:p w14:paraId="7506846D" w14:textId="57981F38" w:rsidR="009915DC" w:rsidRDefault="009915DC" w:rsidP="006427EC">
            <w:pPr>
              <w:rPr>
                <w:i/>
                <w:iCs/>
                <w:sz w:val="24"/>
                <w:szCs w:val="24"/>
              </w:rPr>
            </w:pPr>
            <w:r w:rsidRPr="00ED7567">
              <w:rPr>
                <w:i/>
                <w:iCs/>
                <w:sz w:val="24"/>
                <w:szCs w:val="24"/>
              </w:rPr>
              <w:lastRenderedPageBreak/>
              <w:t xml:space="preserve">Indirect </w:t>
            </w:r>
            <w:r w:rsidR="00EE5763">
              <w:rPr>
                <w:i/>
                <w:iCs/>
                <w:sz w:val="24"/>
                <w:szCs w:val="24"/>
              </w:rPr>
              <w:t>impacts</w:t>
            </w:r>
            <w:r w:rsidRPr="00ED7567">
              <w:rPr>
                <w:i/>
                <w:iCs/>
                <w:sz w:val="24"/>
                <w:szCs w:val="24"/>
              </w:rPr>
              <w:t>:</w:t>
            </w:r>
          </w:p>
          <w:p w14:paraId="3AD1CC8D" w14:textId="63C199C5" w:rsidR="009915DC" w:rsidRDefault="003E2E09" w:rsidP="006427EC">
            <w:pPr>
              <w:rPr>
                <w:sz w:val="24"/>
                <w:szCs w:val="24"/>
              </w:rPr>
            </w:pPr>
            <w:r>
              <w:rPr>
                <w:sz w:val="24"/>
                <w:szCs w:val="24"/>
              </w:rPr>
              <w:t>Improved efficiencies and better service levels</w:t>
            </w:r>
          </w:p>
        </w:tc>
      </w:tr>
    </w:tbl>
    <w:p w14:paraId="75F6BE99" w14:textId="658C3A44" w:rsidR="008F6FAE" w:rsidRDefault="008F6FAE" w:rsidP="004A6F85">
      <w:pPr>
        <w:rPr>
          <w:sz w:val="24"/>
          <w:szCs w:val="24"/>
        </w:rPr>
      </w:pPr>
    </w:p>
    <w:p w14:paraId="2811C27F" w14:textId="77777777" w:rsidR="009915DC" w:rsidRDefault="009915DC" w:rsidP="004A6F85">
      <w:pPr>
        <w:rPr>
          <w:sz w:val="24"/>
          <w:szCs w:val="24"/>
        </w:rPr>
        <w:sectPr w:rsidR="009915DC" w:rsidSect="00ED306C">
          <w:pgSz w:w="16838" w:h="11906" w:orient="landscape"/>
          <w:pgMar w:top="1440" w:right="1440" w:bottom="1440" w:left="1440" w:header="708" w:footer="708" w:gutter="0"/>
          <w:cols w:space="708"/>
          <w:docGrid w:linePitch="360"/>
        </w:sectPr>
      </w:pPr>
    </w:p>
    <w:p w14:paraId="78F18BC7" w14:textId="006B1BAF" w:rsidR="006817C8" w:rsidRDefault="006817C8" w:rsidP="004A6F85">
      <w:pPr>
        <w:rPr>
          <w:sz w:val="24"/>
          <w:szCs w:val="24"/>
        </w:rPr>
      </w:pPr>
    </w:p>
    <w:p w14:paraId="72E0A66D" w14:textId="698D00A0" w:rsidR="00E21620" w:rsidRDefault="00183772" w:rsidP="005435E0">
      <w:pPr>
        <w:pBdr>
          <w:top w:val="single" w:sz="4" w:space="1" w:color="auto"/>
          <w:left w:val="single" w:sz="4" w:space="4" w:color="auto"/>
          <w:bottom w:val="single" w:sz="4" w:space="1" w:color="auto"/>
          <w:right w:val="single" w:sz="4" w:space="4" w:color="auto"/>
        </w:pBdr>
        <w:rPr>
          <w:b/>
          <w:sz w:val="24"/>
          <w:szCs w:val="24"/>
        </w:rPr>
      </w:pPr>
      <w:r w:rsidRPr="005435E0">
        <w:rPr>
          <w:b/>
          <w:bCs/>
          <w:sz w:val="24"/>
          <w:szCs w:val="24"/>
        </w:rPr>
        <w:t>Question</w:t>
      </w:r>
      <w:r w:rsidR="005435E0">
        <w:rPr>
          <w:b/>
          <w:bCs/>
          <w:sz w:val="24"/>
          <w:szCs w:val="24"/>
        </w:rPr>
        <w:t xml:space="preserve"> 9</w:t>
      </w:r>
      <w:r w:rsidRPr="005435E0">
        <w:rPr>
          <w:b/>
          <w:bCs/>
          <w:sz w:val="24"/>
          <w:szCs w:val="24"/>
        </w:rPr>
        <w:t>:</w:t>
      </w:r>
      <w:r w:rsidR="005435E0">
        <w:rPr>
          <w:b/>
          <w:bCs/>
          <w:sz w:val="24"/>
          <w:szCs w:val="24"/>
        </w:rPr>
        <w:t xml:space="preserve"> </w:t>
      </w:r>
      <w:r w:rsidR="00E21620">
        <w:rPr>
          <w:b/>
          <w:sz w:val="24"/>
          <w:szCs w:val="24"/>
        </w:rPr>
        <w:t>Do you agree with the status quo? If not, how would you describe the status quo?</w:t>
      </w:r>
    </w:p>
    <w:p w14:paraId="2F5D9052" w14:textId="6F75110E" w:rsidR="00E21620" w:rsidRDefault="005435E0" w:rsidP="005435E0">
      <w:pPr>
        <w:pBdr>
          <w:top w:val="single" w:sz="4" w:space="1" w:color="auto"/>
          <w:left w:val="single" w:sz="4" w:space="4" w:color="auto"/>
          <w:bottom w:val="single" w:sz="4" w:space="1" w:color="auto"/>
          <w:right w:val="single" w:sz="4" w:space="4" w:color="auto"/>
        </w:pBdr>
        <w:rPr>
          <w:b/>
          <w:sz w:val="24"/>
          <w:szCs w:val="24"/>
        </w:rPr>
      </w:pPr>
      <w:r w:rsidRPr="005435E0">
        <w:rPr>
          <w:b/>
          <w:bCs/>
          <w:sz w:val="24"/>
          <w:szCs w:val="24"/>
        </w:rPr>
        <w:t>Question</w:t>
      </w:r>
      <w:r>
        <w:rPr>
          <w:b/>
          <w:bCs/>
          <w:sz w:val="24"/>
          <w:szCs w:val="24"/>
        </w:rPr>
        <w:t xml:space="preserve"> 10:</w:t>
      </w:r>
      <w:r>
        <w:rPr>
          <w:b/>
          <w:sz w:val="24"/>
          <w:szCs w:val="24"/>
        </w:rPr>
        <w:t xml:space="preserve"> </w:t>
      </w:r>
      <w:r w:rsidR="00E21620">
        <w:rPr>
          <w:b/>
          <w:sz w:val="24"/>
          <w:szCs w:val="24"/>
        </w:rPr>
        <w:t>Would you support retaining the status quo?</w:t>
      </w:r>
    </w:p>
    <w:p w14:paraId="4CF477CC" w14:textId="57B341AC" w:rsidR="00E21620" w:rsidRDefault="005435E0" w:rsidP="005435E0">
      <w:pPr>
        <w:pBdr>
          <w:top w:val="single" w:sz="4" w:space="1" w:color="auto"/>
          <w:left w:val="single" w:sz="4" w:space="4" w:color="auto"/>
          <w:bottom w:val="single" w:sz="4" w:space="1" w:color="auto"/>
          <w:right w:val="single" w:sz="4" w:space="4" w:color="auto"/>
        </w:pBdr>
        <w:rPr>
          <w:b/>
          <w:sz w:val="24"/>
          <w:szCs w:val="24"/>
        </w:rPr>
      </w:pPr>
      <w:r w:rsidRPr="005435E0">
        <w:rPr>
          <w:b/>
          <w:bCs/>
          <w:sz w:val="24"/>
          <w:szCs w:val="24"/>
        </w:rPr>
        <w:t>Question</w:t>
      </w:r>
      <w:r>
        <w:rPr>
          <w:b/>
          <w:sz w:val="24"/>
          <w:szCs w:val="24"/>
        </w:rPr>
        <w:t xml:space="preserve"> 11: </w:t>
      </w:r>
      <w:r w:rsidR="00E21620">
        <w:rPr>
          <w:b/>
          <w:sz w:val="24"/>
          <w:szCs w:val="24"/>
        </w:rPr>
        <w:t>Do you agree with the flat fee only increase? If not, why not?</w:t>
      </w:r>
    </w:p>
    <w:p w14:paraId="626EB592" w14:textId="0E52D811" w:rsidR="00E921BA" w:rsidRDefault="005435E0" w:rsidP="005435E0">
      <w:pPr>
        <w:pBdr>
          <w:top w:val="single" w:sz="4" w:space="1" w:color="auto"/>
          <w:left w:val="single" w:sz="4" w:space="4" w:color="auto"/>
          <w:bottom w:val="single" w:sz="4" w:space="1" w:color="auto"/>
          <w:right w:val="single" w:sz="4" w:space="4" w:color="auto"/>
        </w:pBdr>
        <w:rPr>
          <w:b/>
          <w:sz w:val="24"/>
          <w:szCs w:val="24"/>
        </w:rPr>
      </w:pPr>
      <w:r w:rsidRPr="005435E0">
        <w:rPr>
          <w:b/>
          <w:bCs/>
          <w:sz w:val="24"/>
          <w:szCs w:val="24"/>
        </w:rPr>
        <w:t>Question</w:t>
      </w:r>
      <w:r>
        <w:rPr>
          <w:b/>
          <w:sz w:val="24"/>
          <w:szCs w:val="24"/>
        </w:rPr>
        <w:t xml:space="preserve"> 12: </w:t>
      </w:r>
      <w:r w:rsidR="00E921BA">
        <w:rPr>
          <w:b/>
          <w:sz w:val="24"/>
          <w:szCs w:val="24"/>
        </w:rPr>
        <w:t xml:space="preserve">Do you agree with </w:t>
      </w:r>
      <w:r w:rsidR="0032731A">
        <w:rPr>
          <w:b/>
          <w:sz w:val="24"/>
          <w:szCs w:val="24"/>
        </w:rPr>
        <w:t>the</w:t>
      </w:r>
      <w:r w:rsidR="00E921BA">
        <w:rPr>
          <w:b/>
          <w:sz w:val="24"/>
          <w:szCs w:val="24"/>
        </w:rPr>
        <w:t xml:space="preserve"> mix of targeted cost recovery </w:t>
      </w:r>
      <w:r w:rsidR="00EA644C">
        <w:rPr>
          <w:b/>
          <w:sz w:val="24"/>
          <w:szCs w:val="24"/>
        </w:rPr>
        <w:t>and CPI</w:t>
      </w:r>
      <w:r w:rsidR="00E921BA">
        <w:rPr>
          <w:b/>
          <w:sz w:val="24"/>
          <w:szCs w:val="24"/>
        </w:rPr>
        <w:t xml:space="preserve"> increase? If not, why not?</w:t>
      </w:r>
    </w:p>
    <w:p w14:paraId="75812D2D" w14:textId="410C4373" w:rsidR="004A6F85" w:rsidRDefault="005435E0" w:rsidP="005435E0">
      <w:pPr>
        <w:pBdr>
          <w:top w:val="single" w:sz="4" w:space="1" w:color="auto"/>
          <w:left w:val="single" w:sz="4" w:space="4" w:color="auto"/>
          <w:bottom w:val="single" w:sz="4" w:space="1" w:color="auto"/>
          <w:right w:val="single" w:sz="4" w:space="4" w:color="auto"/>
        </w:pBdr>
        <w:rPr>
          <w:b/>
          <w:sz w:val="24"/>
          <w:szCs w:val="24"/>
        </w:rPr>
      </w:pPr>
      <w:r w:rsidRPr="005435E0">
        <w:rPr>
          <w:b/>
          <w:bCs/>
          <w:sz w:val="24"/>
          <w:szCs w:val="24"/>
        </w:rPr>
        <w:t>Question</w:t>
      </w:r>
      <w:r>
        <w:rPr>
          <w:b/>
          <w:bCs/>
          <w:sz w:val="24"/>
          <w:szCs w:val="24"/>
        </w:rPr>
        <w:t xml:space="preserve"> 13:</w:t>
      </w:r>
      <w:r>
        <w:rPr>
          <w:b/>
          <w:sz w:val="24"/>
          <w:szCs w:val="24"/>
        </w:rPr>
        <w:t xml:space="preserve"> </w:t>
      </w:r>
      <w:r w:rsidR="004A6F85">
        <w:rPr>
          <w:b/>
          <w:sz w:val="24"/>
          <w:szCs w:val="24"/>
        </w:rPr>
        <w:t>Are these all the potential options?</w:t>
      </w:r>
    </w:p>
    <w:p w14:paraId="76099121" w14:textId="1F129D45" w:rsidR="00025B56" w:rsidRDefault="005435E0" w:rsidP="005435E0">
      <w:pPr>
        <w:pBdr>
          <w:top w:val="single" w:sz="4" w:space="1" w:color="auto"/>
          <w:left w:val="single" w:sz="4" w:space="4" w:color="auto"/>
          <w:bottom w:val="single" w:sz="4" w:space="1" w:color="auto"/>
          <w:right w:val="single" w:sz="4" w:space="4" w:color="auto"/>
        </w:pBdr>
        <w:rPr>
          <w:b/>
          <w:sz w:val="24"/>
          <w:szCs w:val="24"/>
        </w:rPr>
      </w:pPr>
      <w:r w:rsidRPr="005435E0">
        <w:rPr>
          <w:b/>
          <w:bCs/>
          <w:sz w:val="24"/>
          <w:szCs w:val="24"/>
        </w:rPr>
        <w:t>Question</w:t>
      </w:r>
      <w:r>
        <w:rPr>
          <w:b/>
          <w:bCs/>
          <w:sz w:val="24"/>
          <w:szCs w:val="24"/>
        </w:rPr>
        <w:t xml:space="preserve"> 14:</w:t>
      </w:r>
      <w:r>
        <w:rPr>
          <w:b/>
          <w:sz w:val="24"/>
          <w:szCs w:val="24"/>
        </w:rPr>
        <w:t xml:space="preserve"> </w:t>
      </w:r>
      <w:r w:rsidR="00183772">
        <w:rPr>
          <w:b/>
          <w:sz w:val="24"/>
          <w:szCs w:val="24"/>
        </w:rPr>
        <w:t>Do you agree with the impacts stated</w:t>
      </w:r>
      <w:r w:rsidR="00025B56">
        <w:rPr>
          <w:b/>
          <w:sz w:val="24"/>
          <w:szCs w:val="24"/>
        </w:rPr>
        <w:t>?</w:t>
      </w:r>
    </w:p>
    <w:p w14:paraId="77AF15D3" w14:textId="58831A84" w:rsidR="004A6F85" w:rsidRDefault="004A6F85" w:rsidP="004A6F85">
      <w:pPr>
        <w:rPr>
          <w:b/>
          <w:sz w:val="24"/>
          <w:szCs w:val="24"/>
        </w:rPr>
      </w:pPr>
    </w:p>
    <w:p w14:paraId="4AB824D6" w14:textId="1FA7F90E" w:rsidR="009523B6" w:rsidRPr="004A6F85" w:rsidRDefault="009523B6" w:rsidP="009523B6">
      <w:pPr>
        <w:rPr>
          <w:sz w:val="24"/>
          <w:szCs w:val="24"/>
        </w:rPr>
      </w:pPr>
      <w:r>
        <w:rPr>
          <w:rFonts w:ascii="Segoe UI" w:hAnsi="Segoe UI" w:cs="Segoe UI"/>
          <w:b/>
          <w:color w:val="4472C4" w:themeColor="accent1"/>
          <w:sz w:val="32"/>
          <w:szCs w:val="32"/>
        </w:rPr>
        <w:br w:type="page"/>
      </w:r>
    </w:p>
    <w:p w14:paraId="23919160" w14:textId="77777777" w:rsidR="00E50D7F" w:rsidRPr="00E50D7F" w:rsidRDefault="00E50D7F" w:rsidP="00E50D7F">
      <w:pPr>
        <w:rPr>
          <w:b/>
          <w:color w:val="4472C4" w:themeColor="accent1"/>
          <w:sz w:val="36"/>
          <w:szCs w:val="36"/>
        </w:rPr>
      </w:pPr>
      <w:r w:rsidRPr="00E50D7F">
        <w:rPr>
          <w:b/>
          <w:color w:val="4472C4" w:themeColor="accent1"/>
          <w:sz w:val="36"/>
          <w:szCs w:val="36"/>
        </w:rPr>
        <w:lastRenderedPageBreak/>
        <w:t>Next Steps</w:t>
      </w:r>
    </w:p>
    <w:p w14:paraId="2282E05A" w14:textId="48540110" w:rsidR="00E50D7F" w:rsidRDefault="00E50D7F" w:rsidP="00E50D7F">
      <w:pPr>
        <w:rPr>
          <w:sz w:val="24"/>
          <w:szCs w:val="24"/>
        </w:rPr>
      </w:pPr>
      <w:r w:rsidRPr="00E921BA">
        <w:rPr>
          <w:sz w:val="24"/>
          <w:szCs w:val="24"/>
        </w:rPr>
        <w:t>Changes as a result of the consultation will be applied to the proposals, options and the implementation</w:t>
      </w:r>
      <w:r w:rsidR="00587F1D">
        <w:rPr>
          <w:sz w:val="24"/>
          <w:szCs w:val="24"/>
        </w:rPr>
        <w:t>, and a summary of submissions will be published</w:t>
      </w:r>
      <w:r w:rsidRPr="00E921BA">
        <w:rPr>
          <w:sz w:val="24"/>
          <w:szCs w:val="24"/>
        </w:rPr>
        <w:t xml:space="preserve">. It is likely that the </w:t>
      </w:r>
      <w:r>
        <w:rPr>
          <w:sz w:val="24"/>
          <w:szCs w:val="24"/>
        </w:rPr>
        <w:t xml:space="preserve">final </w:t>
      </w:r>
      <w:r w:rsidRPr="00E921BA">
        <w:rPr>
          <w:sz w:val="24"/>
          <w:szCs w:val="24"/>
        </w:rPr>
        <w:t xml:space="preserve">proposals in the fees review will require amendment to the Medicines Regulations 1984 to change the limits specified in Regulation 61 and Schedule 5A. </w:t>
      </w:r>
      <w:r>
        <w:rPr>
          <w:sz w:val="24"/>
          <w:szCs w:val="24"/>
        </w:rPr>
        <w:t>These maximums would apply to the following fees:</w:t>
      </w:r>
    </w:p>
    <w:p w14:paraId="6A7DD540" w14:textId="07F41B03" w:rsidR="00032B37" w:rsidRDefault="00032B37" w:rsidP="00032B37">
      <w:pPr>
        <w:pStyle w:val="ListParagraph"/>
        <w:numPr>
          <w:ilvl w:val="0"/>
          <w:numId w:val="32"/>
        </w:numPr>
        <w:rPr>
          <w:sz w:val="24"/>
          <w:szCs w:val="24"/>
        </w:rPr>
      </w:pPr>
      <w:r>
        <w:rPr>
          <w:sz w:val="24"/>
          <w:szCs w:val="24"/>
        </w:rPr>
        <w:t>Reg 61(4): all NMAs except NCEs</w:t>
      </w:r>
    </w:p>
    <w:p w14:paraId="1B65248C" w14:textId="3ABCEB3A" w:rsidR="00032B37" w:rsidRDefault="00032B37" w:rsidP="00032B37">
      <w:pPr>
        <w:pStyle w:val="ListParagraph"/>
        <w:numPr>
          <w:ilvl w:val="0"/>
          <w:numId w:val="32"/>
        </w:numPr>
        <w:rPr>
          <w:sz w:val="24"/>
          <w:szCs w:val="24"/>
        </w:rPr>
      </w:pPr>
      <w:r>
        <w:rPr>
          <w:sz w:val="24"/>
          <w:szCs w:val="24"/>
        </w:rPr>
        <w:t xml:space="preserve">Reg 61(6): provisional consents </w:t>
      </w:r>
    </w:p>
    <w:p w14:paraId="131CBB69" w14:textId="77777777" w:rsidR="00587F1D" w:rsidRDefault="0099769D" w:rsidP="00E50D7F">
      <w:pPr>
        <w:rPr>
          <w:sz w:val="24"/>
          <w:szCs w:val="24"/>
        </w:rPr>
      </w:pPr>
      <w:r>
        <w:rPr>
          <w:sz w:val="24"/>
          <w:szCs w:val="24"/>
        </w:rPr>
        <w:t>Any change to the Regulations will require Cabinet agreement</w:t>
      </w:r>
      <w:r w:rsidR="00587F1D">
        <w:rPr>
          <w:sz w:val="24"/>
          <w:szCs w:val="24"/>
        </w:rPr>
        <w:t xml:space="preserve">, and to </w:t>
      </w:r>
      <w:proofErr w:type="spellStart"/>
      <w:r w:rsidR="00587F1D">
        <w:rPr>
          <w:sz w:val="24"/>
          <w:szCs w:val="24"/>
        </w:rPr>
        <w:t>Medsafe</w:t>
      </w:r>
      <w:proofErr w:type="spellEnd"/>
      <w:r w:rsidR="00587F1D">
        <w:rPr>
          <w:sz w:val="24"/>
          <w:szCs w:val="24"/>
        </w:rPr>
        <w:t xml:space="preserve"> process, policies, guidelines, application forms and the Fees Schedule. </w:t>
      </w:r>
    </w:p>
    <w:p w14:paraId="62E49AD4" w14:textId="38F09ED5" w:rsidR="00E50D7F" w:rsidRDefault="00587F1D" w:rsidP="00E50D7F">
      <w:pPr>
        <w:rPr>
          <w:sz w:val="24"/>
          <w:szCs w:val="24"/>
        </w:rPr>
      </w:pPr>
      <w:proofErr w:type="spellStart"/>
      <w:r>
        <w:rPr>
          <w:sz w:val="24"/>
          <w:szCs w:val="24"/>
        </w:rPr>
        <w:t>Medsafe</w:t>
      </w:r>
      <w:proofErr w:type="spellEnd"/>
      <w:r>
        <w:rPr>
          <w:sz w:val="24"/>
          <w:szCs w:val="24"/>
        </w:rPr>
        <w:t xml:space="preserve"> will also ensure that any changes arising from the CMN Form A consultation is reflected in the</w:t>
      </w:r>
      <w:r w:rsidR="00CF5BD9">
        <w:rPr>
          <w:sz w:val="24"/>
          <w:szCs w:val="24"/>
        </w:rPr>
        <w:t xml:space="preserve"> Fees Schedule.</w:t>
      </w:r>
    </w:p>
    <w:p w14:paraId="75CE4D36" w14:textId="77777777" w:rsidR="00D21EC0" w:rsidRPr="00EF0CF5" w:rsidRDefault="00D21EC0">
      <w:pPr>
        <w:rPr>
          <w:rFonts w:ascii="Segoe UI" w:hAnsi="Segoe UI" w:cs="Segoe UI"/>
          <w:b/>
          <w:color w:val="4472C4" w:themeColor="accent1"/>
          <w:sz w:val="32"/>
          <w:szCs w:val="32"/>
        </w:rPr>
      </w:pPr>
      <w:r w:rsidRPr="00EF0CF5">
        <w:rPr>
          <w:rFonts w:ascii="Segoe UI" w:hAnsi="Segoe UI" w:cs="Segoe UI"/>
          <w:b/>
          <w:color w:val="4472C4" w:themeColor="accent1"/>
          <w:sz w:val="32"/>
          <w:szCs w:val="32"/>
        </w:rPr>
        <w:t>Implementation</w:t>
      </w:r>
    </w:p>
    <w:p w14:paraId="06750416" w14:textId="560D953C" w:rsidR="00D21EC0" w:rsidRPr="00E921BA" w:rsidRDefault="0099769D">
      <w:pPr>
        <w:rPr>
          <w:sz w:val="24"/>
          <w:szCs w:val="24"/>
        </w:rPr>
      </w:pPr>
      <w:r>
        <w:rPr>
          <w:sz w:val="24"/>
          <w:szCs w:val="24"/>
        </w:rPr>
        <w:t xml:space="preserve">Any change to the Regulations will be clearly signalled to industry. </w:t>
      </w:r>
      <w:proofErr w:type="spellStart"/>
      <w:r w:rsidR="00D21EC0" w:rsidRPr="00E921BA">
        <w:rPr>
          <w:sz w:val="24"/>
          <w:szCs w:val="24"/>
        </w:rPr>
        <w:t>Medsafe</w:t>
      </w:r>
      <w:proofErr w:type="spellEnd"/>
      <w:r w:rsidR="00D21EC0" w:rsidRPr="00E921BA">
        <w:rPr>
          <w:sz w:val="24"/>
          <w:szCs w:val="24"/>
        </w:rPr>
        <w:t xml:space="preserve"> acknowledges that any change in fees can be disruptive to those the change affects, particularly when the budget cycles are not aligned. Many companies set their budgets for a Jan</w:t>
      </w:r>
      <w:r w:rsidR="00CA67D7" w:rsidRPr="00E921BA">
        <w:rPr>
          <w:sz w:val="24"/>
          <w:szCs w:val="24"/>
        </w:rPr>
        <w:t xml:space="preserve">uary </w:t>
      </w:r>
      <w:r w:rsidR="00D21EC0" w:rsidRPr="00E921BA">
        <w:rPr>
          <w:sz w:val="24"/>
          <w:szCs w:val="24"/>
        </w:rPr>
        <w:t>-</w:t>
      </w:r>
      <w:r w:rsidR="00CA67D7" w:rsidRPr="00E921BA">
        <w:rPr>
          <w:sz w:val="24"/>
          <w:szCs w:val="24"/>
        </w:rPr>
        <w:t xml:space="preserve"> </w:t>
      </w:r>
      <w:r w:rsidR="00D21EC0" w:rsidRPr="00E921BA">
        <w:rPr>
          <w:sz w:val="24"/>
          <w:szCs w:val="24"/>
        </w:rPr>
        <w:t>Dec</w:t>
      </w:r>
      <w:r w:rsidR="00CA67D7" w:rsidRPr="00E921BA">
        <w:rPr>
          <w:sz w:val="24"/>
          <w:szCs w:val="24"/>
        </w:rPr>
        <w:t>ember</w:t>
      </w:r>
      <w:r w:rsidR="00D21EC0" w:rsidRPr="00E921BA">
        <w:rPr>
          <w:sz w:val="24"/>
          <w:szCs w:val="24"/>
        </w:rPr>
        <w:t xml:space="preserve"> period and </w:t>
      </w:r>
      <w:proofErr w:type="spellStart"/>
      <w:r w:rsidR="00D21EC0" w:rsidRPr="00E921BA">
        <w:rPr>
          <w:sz w:val="24"/>
          <w:szCs w:val="24"/>
        </w:rPr>
        <w:t>Medsafe</w:t>
      </w:r>
      <w:proofErr w:type="spellEnd"/>
      <w:r w:rsidR="00D21EC0" w:rsidRPr="00E921BA">
        <w:rPr>
          <w:sz w:val="24"/>
          <w:szCs w:val="24"/>
        </w:rPr>
        <w:t xml:space="preserve"> introducing new fees at </w:t>
      </w:r>
      <w:r w:rsidR="00E975DA">
        <w:rPr>
          <w:sz w:val="24"/>
          <w:szCs w:val="24"/>
        </w:rPr>
        <w:t>other times</w:t>
      </w:r>
      <w:r w:rsidR="00D21EC0" w:rsidRPr="00E921BA">
        <w:rPr>
          <w:sz w:val="24"/>
          <w:szCs w:val="24"/>
        </w:rPr>
        <w:t xml:space="preserve"> can mean that some applications, licences or inspections might have to be deferred.</w:t>
      </w:r>
    </w:p>
    <w:p w14:paraId="522A86F3" w14:textId="18CE6C7F" w:rsidR="00D21EC0" w:rsidRPr="00E921BA" w:rsidRDefault="00D21EC0">
      <w:pPr>
        <w:rPr>
          <w:sz w:val="24"/>
          <w:szCs w:val="24"/>
        </w:rPr>
      </w:pPr>
      <w:r w:rsidRPr="00E921BA">
        <w:rPr>
          <w:sz w:val="24"/>
          <w:szCs w:val="24"/>
        </w:rPr>
        <w:t>At the last fee review in 2018, a</w:t>
      </w:r>
      <w:r w:rsidR="00F10BD4" w:rsidRPr="00E921BA">
        <w:rPr>
          <w:sz w:val="24"/>
          <w:szCs w:val="24"/>
        </w:rPr>
        <w:t>t</w:t>
      </w:r>
      <w:r w:rsidRPr="00E921BA">
        <w:rPr>
          <w:sz w:val="24"/>
          <w:szCs w:val="24"/>
        </w:rPr>
        <w:t xml:space="preserve"> </w:t>
      </w:r>
      <w:r w:rsidR="00866A26" w:rsidRPr="00E921BA">
        <w:rPr>
          <w:sz w:val="24"/>
          <w:szCs w:val="24"/>
        </w:rPr>
        <w:t xml:space="preserve">the </w:t>
      </w:r>
      <w:r w:rsidRPr="00E921BA">
        <w:rPr>
          <w:sz w:val="24"/>
          <w:szCs w:val="24"/>
        </w:rPr>
        <w:t xml:space="preserve">suggestion from industry, </w:t>
      </w:r>
      <w:proofErr w:type="spellStart"/>
      <w:r w:rsidR="00CA67D7" w:rsidRPr="00E921BA">
        <w:rPr>
          <w:sz w:val="24"/>
          <w:szCs w:val="24"/>
        </w:rPr>
        <w:t>Medsafe</w:t>
      </w:r>
      <w:proofErr w:type="spellEnd"/>
      <w:r w:rsidR="00CA67D7" w:rsidRPr="00E921BA">
        <w:rPr>
          <w:sz w:val="24"/>
          <w:szCs w:val="24"/>
        </w:rPr>
        <w:t xml:space="preserve"> </w:t>
      </w:r>
      <w:r w:rsidRPr="00E921BA">
        <w:rPr>
          <w:sz w:val="24"/>
          <w:szCs w:val="24"/>
        </w:rPr>
        <w:t xml:space="preserve">implemented a split fee payment where some of the fee is paid at the time of application and the remainder is paid early in the </w:t>
      </w:r>
      <w:r w:rsidR="00F10BD4" w:rsidRPr="00E921BA">
        <w:rPr>
          <w:sz w:val="24"/>
          <w:szCs w:val="24"/>
        </w:rPr>
        <w:t>N</w:t>
      </w:r>
      <w:r w:rsidRPr="00E921BA">
        <w:rPr>
          <w:sz w:val="24"/>
          <w:szCs w:val="24"/>
        </w:rPr>
        <w:t xml:space="preserve">ew </w:t>
      </w:r>
      <w:r w:rsidR="00F10BD4" w:rsidRPr="00E921BA">
        <w:rPr>
          <w:sz w:val="24"/>
          <w:szCs w:val="24"/>
        </w:rPr>
        <w:t>Y</w:t>
      </w:r>
      <w:r w:rsidRPr="00E921BA">
        <w:rPr>
          <w:sz w:val="24"/>
          <w:szCs w:val="24"/>
        </w:rPr>
        <w:t xml:space="preserve">ear when budgets have been set. It is proposed that this is implemented again </w:t>
      </w:r>
      <w:r w:rsidR="008D7DF9">
        <w:rPr>
          <w:sz w:val="24"/>
          <w:szCs w:val="24"/>
        </w:rPr>
        <w:t xml:space="preserve">if budget cycles do not align, </w:t>
      </w:r>
      <w:r w:rsidRPr="00E921BA">
        <w:rPr>
          <w:sz w:val="24"/>
          <w:szCs w:val="24"/>
        </w:rPr>
        <w:t>as companies used this successfully</w:t>
      </w:r>
      <w:r w:rsidR="000B363E">
        <w:rPr>
          <w:sz w:val="24"/>
          <w:szCs w:val="24"/>
        </w:rPr>
        <w:t xml:space="preserve">, </w:t>
      </w:r>
      <w:r w:rsidR="00027FBC">
        <w:rPr>
          <w:sz w:val="24"/>
          <w:szCs w:val="24"/>
        </w:rPr>
        <w:t xml:space="preserve">although </w:t>
      </w:r>
      <w:r w:rsidR="000B363E">
        <w:rPr>
          <w:sz w:val="24"/>
          <w:szCs w:val="24"/>
        </w:rPr>
        <w:t>uptake was minimal</w:t>
      </w:r>
      <w:r w:rsidRPr="00E921BA">
        <w:rPr>
          <w:sz w:val="24"/>
          <w:szCs w:val="24"/>
        </w:rPr>
        <w:t>.</w:t>
      </w:r>
      <w:r w:rsidR="00F10BD4" w:rsidRPr="00E921BA">
        <w:rPr>
          <w:sz w:val="24"/>
          <w:szCs w:val="24"/>
        </w:rPr>
        <w:t xml:space="preserve"> It is </w:t>
      </w:r>
      <w:r w:rsidR="008D7DF9">
        <w:rPr>
          <w:sz w:val="24"/>
          <w:szCs w:val="24"/>
        </w:rPr>
        <w:t>expect</w:t>
      </w:r>
      <w:r w:rsidR="00F10BD4" w:rsidRPr="00E921BA">
        <w:rPr>
          <w:sz w:val="24"/>
          <w:szCs w:val="24"/>
        </w:rPr>
        <w:t>ed that any changes in fee</w:t>
      </w:r>
      <w:r w:rsidR="00E921BA">
        <w:rPr>
          <w:sz w:val="24"/>
          <w:szCs w:val="24"/>
        </w:rPr>
        <w:t>s</w:t>
      </w:r>
      <w:r w:rsidR="00F10BD4" w:rsidRPr="00E921BA">
        <w:rPr>
          <w:sz w:val="24"/>
          <w:szCs w:val="24"/>
        </w:rPr>
        <w:t xml:space="preserve"> will be indicated to industry early enough for their budget setting rounds.</w:t>
      </w:r>
    </w:p>
    <w:p w14:paraId="4487F2A4" w14:textId="4B50854C" w:rsidR="00D21EC0" w:rsidRPr="00E921BA" w:rsidRDefault="00F10BD4">
      <w:pPr>
        <w:rPr>
          <w:sz w:val="24"/>
          <w:szCs w:val="24"/>
        </w:rPr>
      </w:pPr>
      <w:r w:rsidRPr="00E921BA">
        <w:rPr>
          <w:sz w:val="24"/>
          <w:szCs w:val="24"/>
        </w:rPr>
        <w:t>For changes to fee structure, a new schedule of fees, guidance and application forms will be published</w:t>
      </w:r>
      <w:r w:rsidR="00E921BA">
        <w:rPr>
          <w:sz w:val="24"/>
          <w:szCs w:val="24"/>
        </w:rPr>
        <w:t>.</w:t>
      </w:r>
      <w:r w:rsidRPr="00E921BA">
        <w:rPr>
          <w:sz w:val="24"/>
          <w:szCs w:val="24"/>
        </w:rPr>
        <w:t xml:space="preserve"> </w:t>
      </w:r>
    </w:p>
    <w:p w14:paraId="24A30912" w14:textId="52EFE113" w:rsidR="00216A1C" w:rsidRPr="005435E0" w:rsidRDefault="00EA644C" w:rsidP="005435E0">
      <w:pPr>
        <w:pBdr>
          <w:top w:val="single" w:sz="4" w:space="1" w:color="auto"/>
          <w:left w:val="single" w:sz="4" w:space="4" w:color="auto"/>
          <w:bottom w:val="single" w:sz="4" w:space="1" w:color="auto"/>
          <w:right w:val="single" w:sz="4" w:space="4" w:color="auto"/>
        </w:pBdr>
        <w:rPr>
          <w:b/>
          <w:bCs/>
          <w:sz w:val="24"/>
          <w:szCs w:val="24"/>
        </w:rPr>
      </w:pPr>
      <w:r w:rsidRPr="005435E0">
        <w:rPr>
          <w:b/>
          <w:bCs/>
          <w:sz w:val="24"/>
          <w:szCs w:val="24"/>
        </w:rPr>
        <w:t>Question</w:t>
      </w:r>
      <w:r w:rsidR="005435E0">
        <w:rPr>
          <w:b/>
          <w:bCs/>
          <w:sz w:val="24"/>
          <w:szCs w:val="24"/>
        </w:rPr>
        <w:t xml:space="preserve"> 15</w:t>
      </w:r>
      <w:r w:rsidRPr="005435E0">
        <w:rPr>
          <w:b/>
          <w:bCs/>
          <w:sz w:val="24"/>
          <w:szCs w:val="24"/>
        </w:rPr>
        <w:t xml:space="preserve">: </w:t>
      </w:r>
      <w:r w:rsidR="002B0ABE" w:rsidRPr="005435E0">
        <w:rPr>
          <w:b/>
          <w:bCs/>
          <w:sz w:val="24"/>
          <w:szCs w:val="24"/>
        </w:rPr>
        <w:t xml:space="preserve">Should </w:t>
      </w:r>
      <w:proofErr w:type="spellStart"/>
      <w:r w:rsidR="002B0ABE" w:rsidRPr="005435E0">
        <w:rPr>
          <w:b/>
          <w:bCs/>
          <w:sz w:val="24"/>
          <w:szCs w:val="24"/>
        </w:rPr>
        <w:t>Medsafe</w:t>
      </w:r>
      <w:proofErr w:type="spellEnd"/>
      <w:r w:rsidR="002B0ABE" w:rsidRPr="005435E0">
        <w:rPr>
          <w:b/>
          <w:bCs/>
          <w:sz w:val="24"/>
          <w:szCs w:val="24"/>
        </w:rPr>
        <w:t xml:space="preserve"> offer the split fee payment again? </w:t>
      </w:r>
    </w:p>
    <w:p w14:paraId="750AF4E3" w14:textId="77777777" w:rsidR="00C66565" w:rsidRDefault="00C66565">
      <w:pPr>
        <w:rPr>
          <w:b/>
          <w:color w:val="4472C4" w:themeColor="accent1"/>
          <w:sz w:val="44"/>
          <w:szCs w:val="44"/>
        </w:rPr>
      </w:pPr>
      <w:r>
        <w:rPr>
          <w:b/>
          <w:color w:val="4472C4" w:themeColor="accent1"/>
          <w:sz w:val="44"/>
          <w:szCs w:val="44"/>
        </w:rPr>
        <w:br w:type="page"/>
      </w:r>
    </w:p>
    <w:p w14:paraId="36503C74" w14:textId="142F48DD" w:rsidR="00584F92" w:rsidRDefault="00216A1C">
      <w:pPr>
        <w:rPr>
          <w:b/>
          <w:color w:val="4472C4" w:themeColor="accent1"/>
          <w:sz w:val="44"/>
          <w:szCs w:val="44"/>
        </w:rPr>
      </w:pPr>
      <w:r w:rsidRPr="00216A1C">
        <w:rPr>
          <w:b/>
          <w:color w:val="4472C4" w:themeColor="accent1"/>
          <w:sz w:val="44"/>
          <w:szCs w:val="44"/>
        </w:rPr>
        <w:lastRenderedPageBreak/>
        <w:t>Monitoring</w:t>
      </w:r>
      <w:r w:rsidR="008C0A62">
        <w:rPr>
          <w:b/>
          <w:color w:val="4472C4" w:themeColor="accent1"/>
          <w:sz w:val="44"/>
          <w:szCs w:val="44"/>
        </w:rPr>
        <w:t>,</w:t>
      </w:r>
      <w:r w:rsidRPr="00216A1C">
        <w:rPr>
          <w:b/>
          <w:color w:val="4472C4" w:themeColor="accent1"/>
          <w:sz w:val="44"/>
          <w:szCs w:val="44"/>
        </w:rPr>
        <w:t xml:space="preserve"> evaluation</w:t>
      </w:r>
      <w:r w:rsidR="008C0A62">
        <w:rPr>
          <w:b/>
          <w:color w:val="4472C4" w:themeColor="accent1"/>
          <w:sz w:val="44"/>
          <w:szCs w:val="44"/>
        </w:rPr>
        <w:t xml:space="preserve"> and review</w:t>
      </w:r>
    </w:p>
    <w:p w14:paraId="11079A73" w14:textId="4224FC8F" w:rsidR="003B494E" w:rsidRPr="002B0ABE" w:rsidRDefault="003B494E" w:rsidP="008D7DF9">
      <w:pPr>
        <w:rPr>
          <w:sz w:val="24"/>
          <w:szCs w:val="24"/>
        </w:rPr>
      </w:pPr>
      <w:r w:rsidRPr="002B0ABE">
        <w:rPr>
          <w:sz w:val="24"/>
          <w:szCs w:val="24"/>
        </w:rPr>
        <w:t xml:space="preserve">When fee changes take effect, </w:t>
      </w:r>
      <w:proofErr w:type="spellStart"/>
      <w:r w:rsidRPr="002B0ABE">
        <w:rPr>
          <w:sz w:val="24"/>
          <w:szCs w:val="24"/>
        </w:rPr>
        <w:t>Medsafe</w:t>
      </w:r>
      <w:proofErr w:type="spellEnd"/>
      <w:r w:rsidRPr="002B0ABE">
        <w:rPr>
          <w:sz w:val="24"/>
          <w:szCs w:val="24"/>
        </w:rPr>
        <w:t xml:space="preserve"> will monitor the effectiveness and efficiency of those changes against the objectives. This will include the movement of the memorandum account and </w:t>
      </w:r>
      <w:r w:rsidRPr="008846A3">
        <w:rPr>
          <w:sz w:val="24"/>
          <w:szCs w:val="24"/>
        </w:rPr>
        <w:t>volume trends</w:t>
      </w:r>
      <w:r w:rsidRPr="002B0ABE">
        <w:rPr>
          <w:sz w:val="24"/>
          <w:szCs w:val="24"/>
        </w:rPr>
        <w:t xml:space="preserve">, and evaluation and licence issuing times. This will occur on an ongoing basis alongside the monthly reporting of </w:t>
      </w:r>
      <w:r w:rsidR="008D7DF9">
        <w:rPr>
          <w:sz w:val="24"/>
          <w:szCs w:val="24"/>
        </w:rPr>
        <w:t>key performance indicator</w:t>
      </w:r>
      <w:r w:rsidRPr="002B0ABE">
        <w:rPr>
          <w:sz w:val="24"/>
          <w:szCs w:val="24"/>
        </w:rPr>
        <w:t xml:space="preserve">s and annual reporting to stakeholders that </w:t>
      </w:r>
      <w:proofErr w:type="spellStart"/>
      <w:r w:rsidRPr="002B0ABE">
        <w:rPr>
          <w:sz w:val="24"/>
          <w:szCs w:val="24"/>
        </w:rPr>
        <w:t>Medsafe</w:t>
      </w:r>
      <w:proofErr w:type="spellEnd"/>
      <w:r w:rsidRPr="002B0ABE">
        <w:rPr>
          <w:sz w:val="24"/>
          <w:szCs w:val="24"/>
        </w:rPr>
        <w:t xml:space="preserve"> undertakes</w:t>
      </w:r>
      <w:r w:rsidR="008D7DF9">
        <w:rPr>
          <w:rStyle w:val="FootnoteReference"/>
          <w:sz w:val="24"/>
          <w:szCs w:val="24"/>
        </w:rPr>
        <w:footnoteReference w:id="6"/>
      </w:r>
      <w:r w:rsidR="008D7DF9">
        <w:rPr>
          <w:sz w:val="24"/>
          <w:szCs w:val="24"/>
        </w:rPr>
        <w:t>.</w:t>
      </w:r>
    </w:p>
    <w:p w14:paraId="1E347F2B" w14:textId="58461640" w:rsidR="003B494E" w:rsidRPr="002B0ABE" w:rsidRDefault="003B494E" w:rsidP="002B0ABE">
      <w:pPr>
        <w:rPr>
          <w:sz w:val="24"/>
          <w:szCs w:val="24"/>
        </w:rPr>
      </w:pPr>
      <w:proofErr w:type="spellStart"/>
      <w:r w:rsidRPr="002B0ABE">
        <w:rPr>
          <w:sz w:val="24"/>
          <w:szCs w:val="24"/>
        </w:rPr>
        <w:t>Medsafe</w:t>
      </w:r>
      <w:proofErr w:type="spellEnd"/>
      <w:r w:rsidRPr="002B0ABE">
        <w:rPr>
          <w:sz w:val="24"/>
          <w:szCs w:val="24"/>
        </w:rPr>
        <w:t xml:space="preserve"> intends to review the fees and the cost recovery regime every three years. This review will include:</w:t>
      </w:r>
    </w:p>
    <w:p w14:paraId="5EFF5E0D" w14:textId="77777777" w:rsidR="003B494E" w:rsidRPr="003B494E" w:rsidRDefault="003B494E" w:rsidP="003B494E">
      <w:pPr>
        <w:pStyle w:val="Bullet-list"/>
        <w:numPr>
          <w:ilvl w:val="0"/>
          <w:numId w:val="29"/>
        </w:numPr>
        <w:rPr>
          <w:rFonts w:asciiTheme="minorHAnsi" w:hAnsiTheme="minorHAnsi" w:cstheme="minorHAnsi"/>
          <w:sz w:val="24"/>
          <w:szCs w:val="24"/>
        </w:rPr>
      </w:pPr>
      <w:r w:rsidRPr="003B494E">
        <w:rPr>
          <w:rFonts w:asciiTheme="minorHAnsi" w:hAnsiTheme="minorHAnsi" w:cstheme="minorHAnsi"/>
          <w:sz w:val="24"/>
          <w:szCs w:val="24"/>
        </w:rPr>
        <w:t>Impacts on the volumes of applications and licences as a result of the change in fees</w:t>
      </w:r>
    </w:p>
    <w:p w14:paraId="05C7F2DE" w14:textId="6EBB2BDD" w:rsidR="003B494E" w:rsidRDefault="003B494E" w:rsidP="003B494E">
      <w:pPr>
        <w:pStyle w:val="Bullet-list"/>
        <w:numPr>
          <w:ilvl w:val="0"/>
          <w:numId w:val="29"/>
        </w:numPr>
        <w:rPr>
          <w:rFonts w:asciiTheme="minorHAnsi" w:hAnsiTheme="minorHAnsi" w:cstheme="minorHAnsi"/>
          <w:sz w:val="24"/>
          <w:szCs w:val="24"/>
        </w:rPr>
      </w:pPr>
      <w:r w:rsidRPr="003B494E">
        <w:rPr>
          <w:rFonts w:asciiTheme="minorHAnsi" w:hAnsiTheme="minorHAnsi" w:cstheme="minorHAnsi"/>
          <w:sz w:val="24"/>
          <w:szCs w:val="24"/>
        </w:rPr>
        <w:t>Impacts on the memorandum account trend</w:t>
      </w:r>
    </w:p>
    <w:p w14:paraId="1D8EA2E4" w14:textId="62F4B5F9" w:rsidR="00EA644C" w:rsidRDefault="00EA644C" w:rsidP="003B494E">
      <w:pPr>
        <w:pStyle w:val="Bullet-list"/>
        <w:numPr>
          <w:ilvl w:val="0"/>
          <w:numId w:val="29"/>
        </w:numPr>
        <w:rPr>
          <w:rFonts w:asciiTheme="minorHAnsi" w:hAnsiTheme="minorHAnsi" w:cstheme="minorHAnsi"/>
          <w:sz w:val="24"/>
          <w:szCs w:val="24"/>
        </w:rPr>
      </w:pPr>
      <w:r>
        <w:rPr>
          <w:rFonts w:asciiTheme="minorHAnsi" w:hAnsiTheme="minorHAnsi" w:cstheme="minorHAnsi"/>
          <w:sz w:val="24"/>
          <w:szCs w:val="24"/>
        </w:rPr>
        <w:t>CPI adjustments</w:t>
      </w:r>
    </w:p>
    <w:p w14:paraId="60F5F928" w14:textId="010F665B" w:rsidR="008D7DF9" w:rsidRPr="003B494E" w:rsidRDefault="008D7DF9" w:rsidP="003B494E">
      <w:pPr>
        <w:pStyle w:val="Bullet-list"/>
        <w:numPr>
          <w:ilvl w:val="0"/>
          <w:numId w:val="29"/>
        </w:numPr>
        <w:rPr>
          <w:rFonts w:asciiTheme="minorHAnsi" w:hAnsiTheme="minorHAnsi" w:cstheme="minorHAnsi"/>
          <w:sz w:val="24"/>
          <w:szCs w:val="24"/>
        </w:rPr>
      </w:pPr>
      <w:r>
        <w:rPr>
          <w:rFonts w:asciiTheme="minorHAnsi" w:hAnsiTheme="minorHAnsi" w:cstheme="minorHAnsi"/>
          <w:sz w:val="24"/>
          <w:szCs w:val="24"/>
        </w:rPr>
        <w:t>Improvements</w:t>
      </w:r>
    </w:p>
    <w:p w14:paraId="08AE0D83" w14:textId="77777777" w:rsidR="003B494E" w:rsidRDefault="003B494E"/>
    <w:p w14:paraId="2E7459AB" w14:textId="38073CA3" w:rsidR="00BE4997" w:rsidRDefault="00BE4997">
      <w:r>
        <w:br w:type="page"/>
      </w:r>
    </w:p>
    <w:p w14:paraId="656242F9" w14:textId="5B83BD37" w:rsidR="00EF0CF5" w:rsidRDefault="00EF0CF5" w:rsidP="00330E66">
      <w:pPr>
        <w:rPr>
          <w:rFonts w:ascii="Segoe UI" w:hAnsi="Segoe UI" w:cs="Segoe UI"/>
          <w:b/>
          <w:color w:val="4472C4" w:themeColor="accent1"/>
          <w:sz w:val="32"/>
          <w:szCs w:val="32"/>
        </w:rPr>
      </w:pPr>
      <w:r>
        <w:rPr>
          <w:rFonts w:ascii="Segoe UI" w:hAnsi="Segoe UI" w:cs="Segoe UI"/>
          <w:b/>
          <w:color w:val="4472C4" w:themeColor="accent1"/>
          <w:sz w:val="32"/>
          <w:szCs w:val="32"/>
        </w:rPr>
        <w:lastRenderedPageBreak/>
        <w:t>Appendices</w:t>
      </w:r>
    </w:p>
    <w:p w14:paraId="67FEC038" w14:textId="4061A7EB" w:rsidR="00EC7010" w:rsidRDefault="00EC7010" w:rsidP="00330E66">
      <w:pPr>
        <w:rPr>
          <w:rFonts w:ascii="Segoe UI" w:hAnsi="Segoe UI" w:cs="Segoe UI"/>
          <w:b/>
          <w:color w:val="4472C4" w:themeColor="accent1"/>
          <w:sz w:val="24"/>
          <w:szCs w:val="24"/>
        </w:rPr>
      </w:pPr>
      <w:r w:rsidRPr="000F2CDC">
        <w:rPr>
          <w:rFonts w:ascii="Segoe UI" w:hAnsi="Segoe UI" w:cs="Segoe UI"/>
          <w:b/>
          <w:color w:val="4472C4" w:themeColor="accent1"/>
          <w:sz w:val="24"/>
          <w:szCs w:val="24"/>
        </w:rPr>
        <w:t>Appendix</w:t>
      </w:r>
      <w:r w:rsidRPr="00EC7010">
        <w:rPr>
          <w:rFonts w:ascii="Segoe UI" w:hAnsi="Segoe UI" w:cs="Segoe UI"/>
          <w:b/>
          <w:color w:val="4472C4" w:themeColor="accent1"/>
          <w:sz w:val="24"/>
          <w:szCs w:val="24"/>
        </w:rPr>
        <w:t xml:space="preserve"> A:</w:t>
      </w:r>
      <w:r>
        <w:rPr>
          <w:rFonts w:ascii="Segoe UI" w:hAnsi="Segoe UI" w:cs="Segoe UI"/>
          <w:b/>
          <w:color w:val="4472C4" w:themeColor="accent1"/>
          <w:sz w:val="24"/>
          <w:szCs w:val="24"/>
        </w:rPr>
        <w:t xml:space="preserve"> </w:t>
      </w:r>
      <w:proofErr w:type="spellStart"/>
      <w:r>
        <w:rPr>
          <w:rFonts w:ascii="Segoe UI" w:hAnsi="Segoe UI" w:cs="Segoe UI"/>
          <w:b/>
          <w:color w:val="4472C4" w:themeColor="accent1"/>
          <w:sz w:val="24"/>
          <w:szCs w:val="24"/>
        </w:rPr>
        <w:t>Pricewaterhouse</w:t>
      </w:r>
      <w:proofErr w:type="spellEnd"/>
      <w:r>
        <w:rPr>
          <w:rFonts w:ascii="Segoe UI" w:hAnsi="Segoe UI" w:cs="Segoe UI"/>
          <w:b/>
          <w:color w:val="4472C4" w:themeColor="accent1"/>
          <w:sz w:val="24"/>
          <w:szCs w:val="24"/>
        </w:rPr>
        <w:t xml:space="preserve"> Coopers Report</w:t>
      </w:r>
    </w:p>
    <w:p w14:paraId="7D73BB28" w14:textId="5BDFF719" w:rsidR="00C66565" w:rsidRDefault="00C66565" w:rsidP="00330E66">
      <w:pPr>
        <w:rPr>
          <w:rFonts w:ascii="Segoe UI" w:hAnsi="Segoe UI" w:cs="Segoe UI"/>
          <w:b/>
          <w:color w:val="4472C4" w:themeColor="accent1"/>
          <w:sz w:val="24"/>
          <w:szCs w:val="24"/>
        </w:rPr>
      </w:pPr>
    </w:p>
    <w:p w14:paraId="3A1766CE" w14:textId="2ECFB5D1" w:rsidR="00C66565" w:rsidRDefault="00C66565">
      <w:pPr>
        <w:rPr>
          <w:rFonts w:ascii="Segoe UI" w:hAnsi="Segoe UI" w:cs="Segoe UI"/>
          <w:b/>
          <w:color w:val="4472C4" w:themeColor="accent1"/>
          <w:sz w:val="24"/>
          <w:szCs w:val="24"/>
        </w:rPr>
      </w:pPr>
      <w:r>
        <w:rPr>
          <w:rFonts w:ascii="Segoe UI" w:hAnsi="Segoe UI" w:cs="Segoe UI"/>
          <w:b/>
          <w:color w:val="4472C4" w:themeColor="accent1"/>
          <w:sz w:val="24"/>
          <w:szCs w:val="24"/>
        </w:rPr>
        <w:br w:type="page"/>
      </w:r>
    </w:p>
    <w:p w14:paraId="072D60A8" w14:textId="2AFD8929" w:rsidR="00330E66" w:rsidRPr="00EF0CF5" w:rsidRDefault="00EF0CF5" w:rsidP="00330E66">
      <w:pPr>
        <w:rPr>
          <w:rFonts w:ascii="Segoe UI" w:hAnsi="Segoe UI" w:cs="Segoe UI"/>
          <w:color w:val="4472C4" w:themeColor="accent1"/>
          <w:sz w:val="24"/>
          <w:szCs w:val="24"/>
        </w:rPr>
      </w:pPr>
      <w:r w:rsidRPr="000F2CDC">
        <w:rPr>
          <w:rFonts w:ascii="Segoe UI" w:hAnsi="Segoe UI" w:cs="Segoe UI"/>
          <w:b/>
          <w:color w:val="4472C4" w:themeColor="accent1"/>
          <w:sz w:val="24"/>
          <w:szCs w:val="24"/>
        </w:rPr>
        <w:lastRenderedPageBreak/>
        <w:t>Appendix</w:t>
      </w:r>
      <w:r>
        <w:rPr>
          <w:rFonts w:ascii="Segoe UI" w:hAnsi="Segoe UI" w:cs="Segoe UI"/>
          <w:b/>
          <w:color w:val="4472C4" w:themeColor="accent1"/>
          <w:sz w:val="24"/>
          <w:szCs w:val="24"/>
        </w:rPr>
        <w:t xml:space="preserve"> </w:t>
      </w:r>
      <w:r w:rsidR="00EC7010">
        <w:rPr>
          <w:rFonts w:ascii="Segoe UI" w:hAnsi="Segoe UI" w:cs="Segoe UI"/>
          <w:b/>
          <w:color w:val="4472C4" w:themeColor="accent1"/>
          <w:sz w:val="24"/>
          <w:szCs w:val="24"/>
        </w:rPr>
        <w:t>B</w:t>
      </w:r>
      <w:r>
        <w:rPr>
          <w:rFonts w:ascii="Segoe UI" w:hAnsi="Segoe UI" w:cs="Segoe UI"/>
          <w:b/>
          <w:color w:val="4472C4" w:themeColor="accent1"/>
          <w:sz w:val="24"/>
          <w:szCs w:val="24"/>
        </w:rPr>
        <w:t xml:space="preserve">: </w:t>
      </w:r>
      <w:r w:rsidR="00330E66" w:rsidRPr="00EF0CF5">
        <w:rPr>
          <w:rFonts w:ascii="Segoe UI" w:hAnsi="Segoe UI" w:cs="Segoe UI"/>
          <w:b/>
          <w:color w:val="4472C4" w:themeColor="accent1"/>
          <w:sz w:val="24"/>
          <w:szCs w:val="24"/>
        </w:rPr>
        <w:t>Application volumes</w:t>
      </w:r>
      <w:r>
        <w:rPr>
          <w:rFonts w:ascii="Segoe UI" w:hAnsi="Segoe UI" w:cs="Segoe UI"/>
          <w:b/>
          <w:color w:val="4472C4" w:themeColor="accent1"/>
          <w:sz w:val="24"/>
          <w:szCs w:val="24"/>
        </w:rPr>
        <w:t xml:space="preserve"> used in the Fees Review</w:t>
      </w:r>
    </w:p>
    <w:p w14:paraId="72E1C7EC" w14:textId="77777777" w:rsidR="00330E66" w:rsidRDefault="00330E66" w:rsidP="00330E66"/>
    <w:tbl>
      <w:tblPr>
        <w:tblStyle w:val="TableGrid"/>
        <w:tblW w:w="0" w:type="auto"/>
        <w:tblLayout w:type="fixed"/>
        <w:tblLook w:val="04A0" w:firstRow="1" w:lastRow="0" w:firstColumn="1" w:lastColumn="0" w:noHBand="0" w:noVBand="1"/>
      </w:tblPr>
      <w:tblGrid>
        <w:gridCol w:w="1980"/>
        <w:gridCol w:w="1005"/>
        <w:gridCol w:w="1005"/>
        <w:gridCol w:w="1005"/>
        <w:gridCol w:w="1005"/>
        <w:gridCol w:w="1005"/>
        <w:gridCol w:w="1005"/>
        <w:gridCol w:w="1006"/>
      </w:tblGrid>
      <w:tr w:rsidR="00330E66" w:rsidRPr="00B36E36" w14:paraId="046DA033" w14:textId="77777777" w:rsidTr="00873DE4">
        <w:trPr>
          <w:trHeight w:val="454"/>
        </w:trPr>
        <w:tc>
          <w:tcPr>
            <w:tcW w:w="9016" w:type="dxa"/>
            <w:gridSpan w:val="8"/>
            <w:vAlign w:val="center"/>
          </w:tcPr>
          <w:p w14:paraId="5ABFA018" w14:textId="2AA35D37" w:rsidR="00330E66" w:rsidRPr="00B36E36" w:rsidRDefault="00330E66" w:rsidP="00873DE4">
            <w:pPr>
              <w:jc w:val="center"/>
              <w:rPr>
                <w:rFonts w:ascii="Arial" w:hAnsi="Arial" w:cs="Arial"/>
                <w:b/>
                <w:color w:val="4472C4" w:themeColor="accent1"/>
                <w:sz w:val="20"/>
                <w:szCs w:val="20"/>
              </w:rPr>
            </w:pPr>
            <w:r w:rsidRPr="00B36E36">
              <w:rPr>
                <w:rFonts w:ascii="Arial" w:hAnsi="Arial" w:cs="Arial"/>
                <w:b/>
                <w:color w:val="4472C4" w:themeColor="accent1"/>
                <w:sz w:val="20"/>
                <w:szCs w:val="20"/>
              </w:rPr>
              <w:t>Application by volumes, by fee type</w:t>
            </w:r>
          </w:p>
        </w:tc>
      </w:tr>
      <w:tr w:rsidR="00330E66" w:rsidRPr="00E57E40" w14:paraId="6E60EB2D" w14:textId="77777777" w:rsidTr="00873DE4">
        <w:tc>
          <w:tcPr>
            <w:tcW w:w="1980" w:type="dxa"/>
          </w:tcPr>
          <w:p w14:paraId="7CA77215" w14:textId="77777777" w:rsidR="00330E66" w:rsidRPr="00E57E40" w:rsidRDefault="00330E66" w:rsidP="00873DE4">
            <w:pPr>
              <w:rPr>
                <w:rFonts w:ascii="Arial" w:hAnsi="Arial" w:cs="Arial"/>
                <w:sz w:val="20"/>
                <w:szCs w:val="20"/>
              </w:rPr>
            </w:pPr>
          </w:p>
        </w:tc>
        <w:tc>
          <w:tcPr>
            <w:tcW w:w="1005" w:type="dxa"/>
            <w:vAlign w:val="center"/>
          </w:tcPr>
          <w:p w14:paraId="3ED07A41"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2015</w:t>
            </w:r>
          </w:p>
        </w:tc>
        <w:tc>
          <w:tcPr>
            <w:tcW w:w="1005" w:type="dxa"/>
            <w:vAlign w:val="center"/>
          </w:tcPr>
          <w:p w14:paraId="5EEED55F"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2016</w:t>
            </w:r>
          </w:p>
        </w:tc>
        <w:tc>
          <w:tcPr>
            <w:tcW w:w="1005" w:type="dxa"/>
            <w:vAlign w:val="center"/>
          </w:tcPr>
          <w:p w14:paraId="0B7C7B7A"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2017</w:t>
            </w:r>
          </w:p>
        </w:tc>
        <w:tc>
          <w:tcPr>
            <w:tcW w:w="1005" w:type="dxa"/>
            <w:vAlign w:val="center"/>
          </w:tcPr>
          <w:p w14:paraId="4199A241"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2018</w:t>
            </w:r>
          </w:p>
        </w:tc>
        <w:tc>
          <w:tcPr>
            <w:tcW w:w="1005" w:type="dxa"/>
            <w:vAlign w:val="center"/>
          </w:tcPr>
          <w:p w14:paraId="3DF27486"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2019</w:t>
            </w:r>
          </w:p>
        </w:tc>
        <w:tc>
          <w:tcPr>
            <w:tcW w:w="1005" w:type="dxa"/>
            <w:vAlign w:val="center"/>
          </w:tcPr>
          <w:p w14:paraId="196D1B83" w14:textId="77777777" w:rsidR="00330E66" w:rsidRPr="00A87FF5" w:rsidRDefault="00330E66" w:rsidP="00873DE4">
            <w:pPr>
              <w:jc w:val="center"/>
              <w:rPr>
                <w:rFonts w:ascii="Arial" w:hAnsi="Arial" w:cs="Arial"/>
                <w:b/>
                <w:sz w:val="20"/>
                <w:szCs w:val="20"/>
              </w:rPr>
            </w:pPr>
            <w:r w:rsidRPr="00A87FF5">
              <w:rPr>
                <w:rFonts w:ascii="Arial" w:hAnsi="Arial" w:cs="Arial"/>
                <w:b/>
                <w:sz w:val="20"/>
                <w:szCs w:val="20"/>
              </w:rPr>
              <w:t>5-year average</w:t>
            </w:r>
          </w:p>
        </w:tc>
        <w:tc>
          <w:tcPr>
            <w:tcW w:w="1006" w:type="dxa"/>
            <w:vAlign w:val="center"/>
          </w:tcPr>
          <w:p w14:paraId="09C53A79" w14:textId="77777777" w:rsidR="00330E66" w:rsidRPr="0007183C" w:rsidRDefault="00330E66" w:rsidP="00873DE4">
            <w:pPr>
              <w:jc w:val="center"/>
              <w:rPr>
                <w:rFonts w:ascii="Arial" w:hAnsi="Arial" w:cs="Arial"/>
                <w:sz w:val="20"/>
                <w:szCs w:val="20"/>
              </w:rPr>
            </w:pPr>
            <w:r w:rsidRPr="0007183C">
              <w:rPr>
                <w:rFonts w:ascii="Arial" w:hAnsi="Arial" w:cs="Arial"/>
                <w:sz w:val="20"/>
                <w:szCs w:val="20"/>
              </w:rPr>
              <w:t>Trend</w:t>
            </w:r>
          </w:p>
        </w:tc>
      </w:tr>
      <w:tr w:rsidR="00330E66" w:rsidRPr="00E57E40" w14:paraId="6B58E48F" w14:textId="77777777" w:rsidTr="00873DE4">
        <w:tc>
          <w:tcPr>
            <w:tcW w:w="9016" w:type="dxa"/>
            <w:gridSpan w:val="8"/>
          </w:tcPr>
          <w:p w14:paraId="172B1888" w14:textId="77777777" w:rsidR="00330E66" w:rsidRPr="00E57E40" w:rsidRDefault="00330E66" w:rsidP="00873DE4">
            <w:pPr>
              <w:rPr>
                <w:rFonts w:ascii="Arial" w:hAnsi="Arial" w:cs="Arial"/>
                <w:b/>
                <w:sz w:val="20"/>
                <w:szCs w:val="20"/>
              </w:rPr>
            </w:pPr>
            <w:r w:rsidRPr="00E57E40">
              <w:rPr>
                <w:rFonts w:ascii="Arial" w:hAnsi="Arial" w:cs="Arial"/>
                <w:b/>
                <w:sz w:val="20"/>
                <w:szCs w:val="20"/>
              </w:rPr>
              <w:t>New medicine applications</w:t>
            </w:r>
          </w:p>
        </w:tc>
      </w:tr>
      <w:tr w:rsidR="00330E66" w:rsidRPr="00E57E40" w14:paraId="630CB8FE" w14:textId="77777777" w:rsidTr="00873DE4">
        <w:tc>
          <w:tcPr>
            <w:tcW w:w="1980" w:type="dxa"/>
          </w:tcPr>
          <w:p w14:paraId="4C4522E8" w14:textId="77777777" w:rsidR="00330E66" w:rsidRPr="00E57E40" w:rsidRDefault="00330E66" w:rsidP="00873DE4">
            <w:pPr>
              <w:pStyle w:val="Default"/>
              <w:rPr>
                <w:sz w:val="20"/>
                <w:szCs w:val="20"/>
              </w:rPr>
            </w:pPr>
            <w:r w:rsidRPr="00E57E40">
              <w:rPr>
                <w:sz w:val="20"/>
                <w:szCs w:val="20"/>
              </w:rPr>
              <w:t xml:space="preserve">New higher-risk medicine containing one or more new active substances </w:t>
            </w:r>
          </w:p>
        </w:tc>
        <w:tc>
          <w:tcPr>
            <w:tcW w:w="1005" w:type="dxa"/>
            <w:vAlign w:val="center"/>
          </w:tcPr>
          <w:p w14:paraId="1358F9EC"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8</w:t>
            </w:r>
          </w:p>
        </w:tc>
        <w:tc>
          <w:tcPr>
            <w:tcW w:w="1005" w:type="dxa"/>
            <w:vAlign w:val="center"/>
          </w:tcPr>
          <w:p w14:paraId="57788BD4"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6</w:t>
            </w:r>
          </w:p>
        </w:tc>
        <w:tc>
          <w:tcPr>
            <w:tcW w:w="1005" w:type="dxa"/>
            <w:vAlign w:val="center"/>
          </w:tcPr>
          <w:p w14:paraId="46992D97"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8</w:t>
            </w:r>
          </w:p>
        </w:tc>
        <w:tc>
          <w:tcPr>
            <w:tcW w:w="1005" w:type="dxa"/>
            <w:vAlign w:val="center"/>
          </w:tcPr>
          <w:p w14:paraId="7D76D112"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7</w:t>
            </w:r>
          </w:p>
        </w:tc>
        <w:tc>
          <w:tcPr>
            <w:tcW w:w="1005" w:type="dxa"/>
            <w:vAlign w:val="center"/>
          </w:tcPr>
          <w:p w14:paraId="523F89DD"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7</w:t>
            </w:r>
          </w:p>
        </w:tc>
        <w:tc>
          <w:tcPr>
            <w:tcW w:w="1005" w:type="dxa"/>
            <w:vAlign w:val="center"/>
          </w:tcPr>
          <w:p w14:paraId="6A98B388" w14:textId="77777777" w:rsidR="00330E66" w:rsidRPr="00A87FF5" w:rsidRDefault="00330E66" w:rsidP="00873DE4">
            <w:pPr>
              <w:jc w:val="center"/>
              <w:rPr>
                <w:rFonts w:ascii="Arial" w:hAnsi="Arial" w:cs="Arial"/>
                <w:b/>
                <w:sz w:val="20"/>
                <w:szCs w:val="20"/>
              </w:rPr>
            </w:pPr>
            <w:r w:rsidRPr="00A87FF5">
              <w:rPr>
                <w:rFonts w:ascii="Arial" w:hAnsi="Arial" w:cs="Arial"/>
                <w:b/>
                <w:sz w:val="20"/>
                <w:szCs w:val="20"/>
              </w:rPr>
              <w:t>7</w:t>
            </w:r>
          </w:p>
        </w:tc>
        <w:tc>
          <w:tcPr>
            <w:tcW w:w="1006" w:type="dxa"/>
            <w:vAlign w:val="center"/>
          </w:tcPr>
          <w:p w14:paraId="7F2C56D9" w14:textId="77777777" w:rsidR="00330E66" w:rsidRPr="00E31575" w:rsidRDefault="00330E66" w:rsidP="00873DE4">
            <w:pPr>
              <w:jc w:val="center"/>
              <w:rPr>
                <w:rFonts w:ascii="Arial" w:hAnsi="Arial" w:cs="Arial"/>
                <w:sz w:val="20"/>
                <w:szCs w:val="20"/>
              </w:rPr>
            </w:pPr>
          </w:p>
        </w:tc>
      </w:tr>
      <w:tr w:rsidR="00330E66" w:rsidRPr="00E57E40" w14:paraId="640016B9" w14:textId="77777777" w:rsidTr="00873DE4">
        <w:tc>
          <w:tcPr>
            <w:tcW w:w="1980" w:type="dxa"/>
          </w:tcPr>
          <w:p w14:paraId="7A21D358" w14:textId="77777777" w:rsidR="00330E66" w:rsidRPr="00E57E40" w:rsidRDefault="00330E66" w:rsidP="00873DE4">
            <w:pPr>
              <w:pStyle w:val="Default"/>
              <w:rPr>
                <w:sz w:val="20"/>
                <w:szCs w:val="20"/>
              </w:rPr>
            </w:pPr>
            <w:r w:rsidRPr="00E57E40">
              <w:rPr>
                <w:sz w:val="20"/>
                <w:szCs w:val="20"/>
              </w:rPr>
              <w:t xml:space="preserve">Any other new higher-risk medicine </w:t>
            </w:r>
          </w:p>
        </w:tc>
        <w:tc>
          <w:tcPr>
            <w:tcW w:w="1005" w:type="dxa"/>
            <w:vAlign w:val="center"/>
          </w:tcPr>
          <w:p w14:paraId="7EB5C675"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18</w:t>
            </w:r>
          </w:p>
        </w:tc>
        <w:tc>
          <w:tcPr>
            <w:tcW w:w="1005" w:type="dxa"/>
            <w:vAlign w:val="center"/>
          </w:tcPr>
          <w:p w14:paraId="1E8B8180"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7</w:t>
            </w:r>
          </w:p>
        </w:tc>
        <w:tc>
          <w:tcPr>
            <w:tcW w:w="1005" w:type="dxa"/>
            <w:vAlign w:val="center"/>
          </w:tcPr>
          <w:p w14:paraId="68F3BCE0"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11</w:t>
            </w:r>
          </w:p>
        </w:tc>
        <w:tc>
          <w:tcPr>
            <w:tcW w:w="1005" w:type="dxa"/>
            <w:vAlign w:val="center"/>
          </w:tcPr>
          <w:p w14:paraId="69A1D21C"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9</w:t>
            </w:r>
          </w:p>
        </w:tc>
        <w:tc>
          <w:tcPr>
            <w:tcW w:w="1005" w:type="dxa"/>
            <w:vAlign w:val="center"/>
          </w:tcPr>
          <w:p w14:paraId="00067C3B"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11</w:t>
            </w:r>
          </w:p>
        </w:tc>
        <w:tc>
          <w:tcPr>
            <w:tcW w:w="1005" w:type="dxa"/>
            <w:vAlign w:val="center"/>
          </w:tcPr>
          <w:p w14:paraId="13D880CF" w14:textId="77777777" w:rsidR="00330E66" w:rsidRPr="00A87FF5" w:rsidRDefault="00330E66" w:rsidP="00873DE4">
            <w:pPr>
              <w:jc w:val="center"/>
              <w:rPr>
                <w:rFonts w:ascii="Arial" w:hAnsi="Arial" w:cs="Arial"/>
                <w:b/>
                <w:sz w:val="20"/>
                <w:szCs w:val="20"/>
              </w:rPr>
            </w:pPr>
            <w:r w:rsidRPr="00A87FF5">
              <w:rPr>
                <w:rFonts w:ascii="Arial" w:hAnsi="Arial" w:cs="Arial"/>
                <w:b/>
                <w:sz w:val="20"/>
                <w:szCs w:val="20"/>
              </w:rPr>
              <w:t>11</w:t>
            </w:r>
          </w:p>
        </w:tc>
        <w:tc>
          <w:tcPr>
            <w:tcW w:w="1006" w:type="dxa"/>
            <w:vAlign w:val="center"/>
          </w:tcPr>
          <w:p w14:paraId="73D24077" w14:textId="77777777" w:rsidR="00330E66" w:rsidRPr="00E31575" w:rsidRDefault="00330E66" w:rsidP="00873DE4">
            <w:pPr>
              <w:jc w:val="center"/>
              <w:rPr>
                <w:rFonts w:ascii="Arial" w:hAnsi="Arial" w:cs="Arial"/>
                <w:sz w:val="20"/>
                <w:szCs w:val="20"/>
              </w:rPr>
            </w:pPr>
          </w:p>
        </w:tc>
      </w:tr>
      <w:tr w:rsidR="00330E66" w:rsidRPr="00E57E40" w14:paraId="4E071F30" w14:textId="77777777" w:rsidTr="00873DE4">
        <w:tc>
          <w:tcPr>
            <w:tcW w:w="1980" w:type="dxa"/>
          </w:tcPr>
          <w:p w14:paraId="7274AAD2" w14:textId="77777777" w:rsidR="00330E66" w:rsidRPr="00E57E40" w:rsidRDefault="00330E66" w:rsidP="00873DE4">
            <w:pPr>
              <w:rPr>
                <w:rFonts w:ascii="Arial" w:hAnsi="Arial" w:cs="Arial"/>
                <w:sz w:val="20"/>
                <w:szCs w:val="20"/>
              </w:rPr>
            </w:pPr>
            <w:r w:rsidRPr="00E57E40">
              <w:rPr>
                <w:rFonts w:ascii="Arial" w:hAnsi="Arial" w:cs="Arial"/>
                <w:sz w:val="20"/>
                <w:szCs w:val="20"/>
              </w:rPr>
              <w:t>Abridged new higher-risk medicine containing one or more new active substances</w:t>
            </w:r>
          </w:p>
        </w:tc>
        <w:tc>
          <w:tcPr>
            <w:tcW w:w="1005" w:type="dxa"/>
            <w:vAlign w:val="center"/>
          </w:tcPr>
          <w:p w14:paraId="00CA1E8C" w14:textId="13D085F3" w:rsidR="00330E66" w:rsidRPr="00E57E40" w:rsidRDefault="00160AFB" w:rsidP="00873DE4">
            <w:pPr>
              <w:jc w:val="center"/>
              <w:rPr>
                <w:rFonts w:ascii="Arial" w:hAnsi="Arial" w:cs="Arial"/>
                <w:sz w:val="20"/>
                <w:szCs w:val="20"/>
              </w:rPr>
            </w:pPr>
            <w:r>
              <w:rPr>
                <w:rFonts w:ascii="Arial" w:hAnsi="Arial" w:cs="Arial"/>
                <w:sz w:val="20"/>
                <w:szCs w:val="20"/>
              </w:rPr>
              <w:t>16</w:t>
            </w:r>
          </w:p>
        </w:tc>
        <w:tc>
          <w:tcPr>
            <w:tcW w:w="1005" w:type="dxa"/>
            <w:vAlign w:val="center"/>
          </w:tcPr>
          <w:p w14:paraId="650295D5" w14:textId="41AF6696" w:rsidR="00330E66" w:rsidRPr="00E57E40" w:rsidRDefault="00160AFB" w:rsidP="00873DE4">
            <w:pPr>
              <w:jc w:val="center"/>
              <w:rPr>
                <w:rFonts w:ascii="Arial" w:hAnsi="Arial" w:cs="Arial"/>
                <w:sz w:val="20"/>
                <w:szCs w:val="20"/>
              </w:rPr>
            </w:pPr>
            <w:r>
              <w:rPr>
                <w:rFonts w:ascii="Arial" w:hAnsi="Arial" w:cs="Arial"/>
                <w:sz w:val="20"/>
                <w:szCs w:val="20"/>
              </w:rPr>
              <w:t>1</w:t>
            </w:r>
            <w:r w:rsidR="006427EC">
              <w:rPr>
                <w:rFonts w:ascii="Arial" w:hAnsi="Arial" w:cs="Arial"/>
                <w:sz w:val="20"/>
                <w:szCs w:val="20"/>
              </w:rPr>
              <w:t>8</w:t>
            </w:r>
          </w:p>
        </w:tc>
        <w:tc>
          <w:tcPr>
            <w:tcW w:w="1005" w:type="dxa"/>
            <w:vAlign w:val="center"/>
          </w:tcPr>
          <w:p w14:paraId="2F3AF654" w14:textId="00FF61E3" w:rsidR="00330E66" w:rsidRPr="00E57E40" w:rsidRDefault="00160AFB" w:rsidP="00873DE4">
            <w:pPr>
              <w:jc w:val="center"/>
              <w:rPr>
                <w:rFonts w:ascii="Arial" w:hAnsi="Arial" w:cs="Arial"/>
                <w:sz w:val="20"/>
                <w:szCs w:val="20"/>
              </w:rPr>
            </w:pPr>
            <w:r>
              <w:rPr>
                <w:rFonts w:ascii="Arial" w:hAnsi="Arial" w:cs="Arial"/>
                <w:sz w:val="20"/>
                <w:szCs w:val="20"/>
              </w:rPr>
              <w:t>12</w:t>
            </w:r>
          </w:p>
        </w:tc>
        <w:tc>
          <w:tcPr>
            <w:tcW w:w="1005" w:type="dxa"/>
            <w:vAlign w:val="center"/>
          </w:tcPr>
          <w:p w14:paraId="0408D3AE" w14:textId="605AE953" w:rsidR="00330E66" w:rsidRPr="00E57E40" w:rsidRDefault="00160AFB" w:rsidP="00873DE4">
            <w:pPr>
              <w:jc w:val="center"/>
              <w:rPr>
                <w:rFonts w:ascii="Arial" w:hAnsi="Arial" w:cs="Arial"/>
                <w:sz w:val="20"/>
                <w:szCs w:val="20"/>
              </w:rPr>
            </w:pPr>
            <w:r>
              <w:rPr>
                <w:rFonts w:ascii="Arial" w:hAnsi="Arial" w:cs="Arial"/>
                <w:sz w:val="20"/>
                <w:szCs w:val="20"/>
              </w:rPr>
              <w:t>13</w:t>
            </w:r>
          </w:p>
        </w:tc>
        <w:tc>
          <w:tcPr>
            <w:tcW w:w="1005" w:type="dxa"/>
            <w:vAlign w:val="center"/>
          </w:tcPr>
          <w:p w14:paraId="61AD618C" w14:textId="1AB60746" w:rsidR="00330E66" w:rsidRPr="00E57E40" w:rsidRDefault="00160AFB" w:rsidP="00873DE4">
            <w:pPr>
              <w:jc w:val="center"/>
              <w:rPr>
                <w:rFonts w:ascii="Arial" w:hAnsi="Arial" w:cs="Arial"/>
                <w:sz w:val="20"/>
                <w:szCs w:val="20"/>
              </w:rPr>
            </w:pPr>
            <w:r>
              <w:rPr>
                <w:rFonts w:ascii="Arial" w:hAnsi="Arial" w:cs="Arial"/>
                <w:sz w:val="20"/>
                <w:szCs w:val="20"/>
              </w:rPr>
              <w:t>13</w:t>
            </w:r>
          </w:p>
        </w:tc>
        <w:tc>
          <w:tcPr>
            <w:tcW w:w="1005" w:type="dxa"/>
            <w:vAlign w:val="center"/>
          </w:tcPr>
          <w:p w14:paraId="53841F8F" w14:textId="5441B982" w:rsidR="00330E66" w:rsidRPr="00A87FF5" w:rsidRDefault="006427EC" w:rsidP="00873DE4">
            <w:pPr>
              <w:jc w:val="center"/>
              <w:rPr>
                <w:rFonts w:ascii="Arial" w:hAnsi="Arial" w:cs="Arial"/>
                <w:b/>
                <w:sz w:val="20"/>
                <w:szCs w:val="20"/>
              </w:rPr>
            </w:pPr>
            <w:r>
              <w:rPr>
                <w:rFonts w:ascii="Arial" w:hAnsi="Arial" w:cs="Arial"/>
                <w:b/>
                <w:sz w:val="20"/>
                <w:szCs w:val="20"/>
              </w:rPr>
              <w:t>14</w:t>
            </w:r>
          </w:p>
        </w:tc>
        <w:tc>
          <w:tcPr>
            <w:tcW w:w="1006" w:type="dxa"/>
            <w:vAlign w:val="center"/>
          </w:tcPr>
          <w:p w14:paraId="0EBB99C7" w14:textId="77777777" w:rsidR="00330E66" w:rsidRPr="00E31575" w:rsidRDefault="00330E66" w:rsidP="00873DE4">
            <w:pPr>
              <w:jc w:val="center"/>
              <w:rPr>
                <w:rFonts w:ascii="Arial" w:hAnsi="Arial" w:cs="Arial"/>
                <w:sz w:val="20"/>
                <w:szCs w:val="20"/>
              </w:rPr>
            </w:pPr>
          </w:p>
        </w:tc>
      </w:tr>
      <w:tr w:rsidR="00CF279A" w:rsidRPr="00CF279A" w14:paraId="57509136" w14:textId="77777777" w:rsidTr="00873DE4">
        <w:tc>
          <w:tcPr>
            <w:tcW w:w="1980" w:type="dxa"/>
          </w:tcPr>
          <w:p w14:paraId="465F3FCB" w14:textId="78768917" w:rsidR="00CF279A" w:rsidRPr="00CF279A" w:rsidRDefault="000B363E" w:rsidP="00873DE4">
            <w:pPr>
              <w:rPr>
                <w:rFonts w:ascii="Arial" w:hAnsi="Arial" w:cs="Arial"/>
                <w:sz w:val="20"/>
                <w:szCs w:val="20"/>
              </w:rPr>
            </w:pPr>
            <w:r>
              <w:rPr>
                <w:rFonts w:ascii="Arial" w:hAnsi="Arial" w:cs="Arial"/>
                <w:sz w:val="20"/>
                <w:szCs w:val="20"/>
              </w:rPr>
              <w:t>Ab</w:t>
            </w:r>
            <w:r w:rsidR="00564443">
              <w:rPr>
                <w:rFonts w:ascii="Arial" w:hAnsi="Arial" w:cs="Arial"/>
                <w:sz w:val="20"/>
                <w:szCs w:val="20"/>
              </w:rPr>
              <w:t>ridged a</w:t>
            </w:r>
            <w:r w:rsidR="00CF279A" w:rsidRPr="00CF279A">
              <w:rPr>
                <w:rFonts w:ascii="Arial" w:hAnsi="Arial" w:cs="Arial"/>
                <w:sz w:val="20"/>
                <w:szCs w:val="20"/>
              </w:rPr>
              <w:t>ny other new higher-risk medicine</w:t>
            </w:r>
          </w:p>
        </w:tc>
        <w:tc>
          <w:tcPr>
            <w:tcW w:w="1005" w:type="dxa"/>
            <w:vAlign w:val="center"/>
          </w:tcPr>
          <w:p w14:paraId="4F1F1B2C" w14:textId="158D584C" w:rsidR="00CF279A" w:rsidRPr="00CF279A" w:rsidRDefault="00160AFB" w:rsidP="00873DE4">
            <w:pPr>
              <w:jc w:val="center"/>
              <w:rPr>
                <w:rFonts w:ascii="Arial" w:hAnsi="Arial" w:cs="Arial"/>
                <w:sz w:val="20"/>
                <w:szCs w:val="20"/>
              </w:rPr>
            </w:pPr>
            <w:r>
              <w:rPr>
                <w:rFonts w:ascii="Arial" w:hAnsi="Arial" w:cs="Arial"/>
                <w:sz w:val="20"/>
                <w:szCs w:val="20"/>
              </w:rPr>
              <w:t>1</w:t>
            </w:r>
            <w:r w:rsidR="006427EC">
              <w:rPr>
                <w:rFonts w:ascii="Arial" w:hAnsi="Arial" w:cs="Arial"/>
                <w:sz w:val="20"/>
                <w:szCs w:val="20"/>
              </w:rPr>
              <w:t>6</w:t>
            </w:r>
          </w:p>
        </w:tc>
        <w:tc>
          <w:tcPr>
            <w:tcW w:w="1005" w:type="dxa"/>
            <w:vAlign w:val="center"/>
          </w:tcPr>
          <w:p w14:paraId="77624B4F" w14:textId="3DBCAE33" w:rsidR="00CF279A" w:rsidRPr="00CF279A" w:rsidRDefault="006427EC" w:rsidP="00873DE4">
            <w:pPr>
              <w:jc w:val="center"/>
              <w:rPr>
                <w:rFonts w:ascii="Arial" w:hAnsi="Arial" w:cs="Arial"/>
                <w:sz w:val="20"/>
                <w:szCs w:val="20"/>
              </w:rPr>
            </w:pPr>
            <w:r>
              <w:rPr>
                <w:rFonts w:ascii="Arial" w:hAnsi="Arial" w:cs="Arial"/>
                <w:sz w:val="20"/>
                <w:szCs w:val="20"/>
              </w:rPr>
              <w:t>8</w:t>
            </w:r>
          </w:p>
        </w:tc>
        <w:tc>
          <w:tcPr>
            <w:tcW w:w="1005" w:type="dxa"/>
            <w:vAlign w:val="center"/>
          </w:tcPr>
          <w:p w14:paraId="10F01E39" w14:textId="6F2FABEA" w:rsidR="00CF279A" w:rsidRPr="00CF279A" w:rsidRDefault="006427EC" w:rsidP="00873DE4">
            <w:pPr>
              <w:jc w:val="center"/>
              <w:rPr>
                <w:rFonts w:ascii="Arial" w:hAnsi="Arial" w:cs="Arial"/>
                <w:sz w:val="20"/>
                <w:szCs w:val="20"/>
              </w:rPr>
            </w:pPr>
            <w:r>
              <w:rPr>
                <w:rFonts w:ascii="Arial" w:hAnsi="Arial" w:cs="Arial"/>
                <w:sz w:val="20"/>
                <w:szCs w:val="20"/>
              </w:rPr>
              <w:t>7</w:t>
            </w:r>
          </w:p>
        </w:tc>
        <w:tc>
          <w:tcPr>
            <w:tcW w:w="1005" w:type="dxa"/>
            <w:vAlign w:val="center"/>
          </w:tcPr>
          <w:p w14:paraId="66C42262" w14:textId="2E5BF4C8" w:rsidR="00CF279A" w:rsidRPr="00CF279A" w:rsidRDefault="00160AFB" w:rsidP="00873DE4">
            <w:pPr>
              <w:jc w:val="center"/>
              <w:rPr>
                <w:rFonts w:ascii="Arial" w:hAnsi="Arial" w:cs="Arial"/>
                <w:sz w:val="20"/>
                <w:szCs w:val="20"/>
              </w:rPr>
            </w:pPr>
            <w:r>
              <w:rPr>
                <w:rFonts w:ascii="Arial" w:hAnsi="Arial" w:cs="Arial"/>
                <w:sz w:val="20"/>
                <w:szCs w:val="20"/>
              </w:rPr>
              <w:t>1</w:t>
            </w:r>
            <w:r w:rsidR="006427EC">
              <w:rPr>
                <w:rFonts w:ascii="Arial" w:hAnsi="Arial" w:cs="Arial"/>
                <w:sz w:val="20"/>
                <w:szCs w:val="20"/>
              </w:rPr>
              <w:t>4</w:t>
            </w:r>
          </w:p>
        </w:tc>
        <w:tc>
          <w:tcPr>
            <w:tcW w:w="1005" w:type="dxa"/>
            <w:vAlign w:val="center"/>
          </w:tcPr>
          <w:p w14:paraId="0D67F3DA" w14:textId="29DD5B90" w:rsidR="00CF279A" w:rsidRPr="00CF279A" w:rsidRDefault="00160AFB" w:rsidP="00873DE4">
            <w:pPr>
              <w:jc w:val="center"/>
              <w:rPr>
                <w:rFonts w:ascii="Arial" w:hAnsi="Arial" w:cs="Arial"/>
                <w:sz w:val="20"/>
                <w:szCs w:val="20"/>
              </w:rPr>
            </w:pPr>
            <w:r>
              <w:rPr>
                <w:rFonts w:ascii="Arial" w:hAnsi="Arial" w:cs="Arial"/>
                <w:sz w:val="20"/>
                <w:szCs w:val="20"/>
              </w:rPr>
              <w:t>1</w:t>
            </w:r>
            <w:r w:rsidR="006427EC">
              <w:rPr>
                <w:rFonts w:ascii="Arial" w:hAnsi="Arial" w:cs="Arial"/>
                <w:sz w:val="20"/>
                <w:szCs w:val="20"/>
              </w:rPr>
              <w:t>4</w:t>
            </w:r>
          </w:p>
        </w:tc>
        <w:tc>
          <w:tcPr>
            <w:tcW w:w="1005" w:type="dxa"/>
            <w:vAlign w:val="center"/>
          </w:tcPr>
          <w:p w14:paraId="6802BB66" w14:textId="76762187" w:rsidR="00CF279A" w:rsidRPr="00CF279A" w:rsidRDefault="00160AFB" w:rsidP="00873DE4">
            <w:pPr>
              <w:jc w:val="center"/>
              <w:rPr>
                <w:rFonts w:ascii="Arial" w:hAnsi="Arial" w:cs="Arial"/>
                <w:b/>
                <w:sz w:val="20"/>
                <w:szCs w:val="20"/>
              </w:rPr>
            </w:pPr>
            <w:r>
              <w:rPr>
                <w:rFonts w:ascii="Arial" w:hAnsi="Arial" w:cs="Arial"/>
                <w:b/>
                <w:sz w:val="20"/>
                <w:szCs w:val="20"/>
              </w:rPr>
              <w:t>1</w:t>
            </w:r>
            <w:r w:rsidR="006427EC">
              <w:rPr>
                <w:rFonts w:ascii="Arial" w:hAnsi="Arial" w:cs="Arial"/>
                <w:b/>
                <w:sz w:val="20"/>
                <w:szCs w:val="20"/>
              </w:rPr>
              <w:t>2</w:t>
            </w:r>
          </w:p>
        </w:tc>
        <w:tc>
          <w:tcPr>
            <w:tcW w:w="1006" w:type="dxa"/>
            <w:vAlign w:val="center"/>
          </w:tcPr>
          <w:p w14:paraId="4BDC23A7" w14:textId="77777777" w:rsidR="00CF279A" w:rsidRPr="00CF279A" w:rsidRDefault="00CF279A" w:rsidP="00873DE4">
            <w:pPr>
              <w:jc w:val="center"/>
              <w:rPr>
                <w:rFonts w:ascii="Arial" w:hAnsi="Arial" w:cs="Arial"/>
                <w:sz w:val="20"/>
                <w:szCs w:val="20"/>
              </w:rPr>
            </w:pPr>
          </w:p>
        </w:tc>
      </w:tr>
      <w:tr w:rsidR="00330E66" w:rsidRPr="00E57E40" w14:paraId="339D9290" w14:textId="77777777" w:rsidTr="00873DE4">
        <w:tc>
          <w:tcPr>
            <w:tcW w:w="1980" w:type="dxa"/>
          </w:tcPr>
          <w:p w14:paraId="0244619D" w14:textId="77777777" w:rsidR="00330E66" w:rsidRPr="00E57E40" w:rsidRDefault="00330E66" w:rsidP="00873DE4">
            <w:pPr>
              <w:rPr>
                <w:rFonts w:ascii="Arial" w:hAnsi="Arial" w:cs="Arial"/>
                <w:sz w:val="20"/>
                <w:szCs w:val="20"/>
              </w:rPr>
            </w:pPr>
            <w:r w:rsidRPr="00E57E40">
              <w:rPr>
                <w:rFonts w:ascii="Arial" w:hAnsi="Arial" w:cs="Arial"/>
                <w:sz w:val="20"/>
                <w:szCs w:val="20"/>
              </w:rPr>
              <w:t>New intermediate-risk medicine – prescription medicine</w:t>
            </w:r>
          </w:p>
        </w:tc>
        <w:tc>
          <w:tcPr>
            <w:tcW w:w="1005" w:type="dxa"/>
            <w:vAlign w:val="center"/>
          </w:tcPr>
          <w:p w14:paraId="14616A1A"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31</w:t>
            </w:r>
          </w:p>
        </w:tc>
        <w:tc>
          <w:tcPr>
            <w:tcW w:w="1005" w:type="dxa"/>
            <w:vAlign w:val="center"/>
          </w:tcPr>
          <w:p w14:paraId="78302569"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22</w:t>
            </w:r>
          </w:p>
        </w:tc>
        <w:tc>
          <w:tcPr>
            <w:tcW w:w="1005" w:type="dxa"/>
            <w:vAlign w:val="center"/>
          </w:tcPr>
          <w:p w14:paraId="6A18264D"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w:t>
            </w:r>
          </w:p>
        </w:tc>
        <w:tc>
          <w:tcPr>
            <w:tcW w:w="1005" w:type="dxa"/>
            <w:vAlign w:val="center"/>
          </w:tcPr>
          <w:p w14:paraId="3B824D3C"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20</w:t>
            </w:r>
          </w:p>
        </w:tc>
        <w:tc>
          <w:tcPr>
            <w:tcW w:w="1005" w:type="dxa"/>
            <w:vAlign w:val="center"/>
          </w:tcPr>
          <w:p w14:paraId="10D9DAE7"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13</w:t>
            </w:r>
          </w:p>
        </w:tc>
        <w:tc>
          <w:tcPr>
            <w:tcW w:w="1005" w:type="dxa"/>
            <w:vAlign w:val="center"/>
          </w:tcPr>
          <w:p w14:paraId="10AF9D2C" w14:textId="77777777" w:rsidR="00330E66" w:rsidRPr="00E31575" w:rsidRDefault="00330E66" w:rsidP="00873DE4">
            <w:pPr>
              <w:jc w:val="center"/>
              <w:rPr>
                <w:rFonts w:ascii="Arial" w:hAnsi="Arial" w:cs="Arial"/>
                <w:b/>
                <w:sz w:val="20"/>
                <w:szCs w:val="20"/>
                <w:vertAlign w:val="superscript"/>
              </w:rPr>
            </w:pPr>
            <w:r w:rsidRPr="00A87FF5">
              <w:rPr>
                <w:rFonts w:ascii="Arial" w:hAnsi="Arial" w:cs="Arial"/>
                <w:b/>
                <w:sz w:val="20"/>
                <w:szCs w:val="20"/>
              </w:rPr>
              <w:t>21</w:t>
            </w:r>
            <w:r>
              <w:rPr>
                <w:rFonts w:ascii="Arial" w:hAnsi="Arial" w:cs="Arial"/>
                <w:b/>
                <w:sz w:val="20"/>
                <w:szCs w:val="20"/>
              </w:rPr>
              <w:t xml:space="preserve"> </w:t>
            </w:r>
          </w:p>
        </w:tc>
        <w:tc>
          <w:tcPr>
            <w:tcW w:w="1006" w:type="dxa"/>
            <w:vAlign w:val="center"/>
          </w:tcPr>
          <w:p w14:paraId="3C2D5EE0" w14:textId="77777777" w:rsidR="00330E66" w:rsidRPr="00E31575" w:rsidRDefault="00330E66" w:rsidP="00873DE4">
            <w:pPr>
              <w:jc w:val="center"/>
              <w:rPr>
                <w:rFonts w:ascii="Arial" w:hAnsi="Arial" w:cs="Arial"/>
                <w:sz w:val="20"/>
                <w:szCs w:val="20"/>
              </w:rPr>
            </w:pPr>
            <w:r w:rsidRPr="00E31575">
              <w:rPr>
                <w:rFonts w:ascii="Arial" w:hAnsi="Arial" w:cs="Arial"/>
                <w:sz w:val="20"/>
                <w:szCs w:val="20"/>
              </w:rPr>
              <w:t>(d)</w:t>
            </w:r>
          </w:p>
        </w:tc>
      </w:tr>
      <w:tr w:rsidR="00330E66" w:rsidRPr="00E57E40" w14:paraId="61F91C75" w14:textId="77777777" w:rsidTr="00873DE4">
        <w:tc>
          <w:tcPr>
            <w:tcW w:w="1980" w:type="dxa"/>
          </w:tcPr>
          <w:p w14:paraId="3F0C7A53" w14:textId="77777777" w:rsidR="00330E66" w:rsidRPr="00E57E40" w:rsidRDefault="00330E66" w:rsidP="00873DE4">
            <w:pPr>
              <w:rPr>
                <w:rFonts w:ascii="Arial" w:hAnsi="Arial" w:cs="Arial"/>
                <w:sz w:val="20"/>
                <w:szCs w:val="20"/>
              </w:rPr>
            </w:pPr>
            <w:r w:rsidRPr="00E57E40">
              <w:rPr>
                <w:rFonts w:ascii="Arial" w:hAnsi="Arial" w:cs="Arial"/>
                <w:sz w:val="20"/>
                <w:szCs w:val="20"/>
              </w:rPr>
              <w:t>New intermediate-risk medicine – non-prescription medicine</w:t>
            </w:r>
          </w:p>
        </w:tc>
        <w:tc>
          <w:tcPr>
            <w:tcW w:w="1005" w:type="dxa"/>
            <w:vAlign w:val="center"/>
          </w:tcPr>
          <w:p w14:paraId="5CBD9E17"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1</w:t>
            </w:r>
          </w:p>
        </w:tc>
        <w:tc>
          <w:tcPr>
            <w:tcW w:w="1005" w:type="dxa"/>
            <w:vAlign w:val="center"/>
          </w:tcPr>
          <w:p w14:paraId="7166AD52"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1</w:t>
            </w:r>
          </w:p>
        </w:tc>
        <w:tc>
          <w:tcPr>
            <w:tcW w:w="1005" w:type="dxa"/>
            <w:vAlign w:val="center"/>
          </w:tcPr>
          <w:p w14:paraId="0B14223F"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w:t>
            </w:r>
          </w:p>
        </w:tc>
        <w:tc>
          <w:tcPr>
            <w:tcW w:w="1005" w:type="dxa"/>
            <w:vAlign w:val="center"/>
          </w:tcPr>
          <w:p w14:paraId="1E727D51"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w:t>
            </w:r>
          </w:p>
        </w:tc>
        <w:tc>
          <w:tcPr>
            <w:tcW w:w="1005" w:type="dxa"/>
            <w:vAlign w:val="center"/>
          </w:tcPr>
          <w:p w14:paraId="293E4945"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w:t>
            </w:r>
          </w:p>
        </w:tc>
        <w:tc>
          <w:tcPr>
            <w:tcW w:w="1005" w:type="dxa"/>
            <w:vAlign w:val="center"/>
          </w:tcPr>
          <w:p w14:paraId="558DA26C" w14:textId="77777777" w:rsidR="00330E66" w:rsidRPr="00A87FF5" w:rsidRDefault="00330E66" w:rsidP="00873DE4">
            <w:pPr>
              <w:jc w:val="center"/>
              <w:rPr>
                <w:rFonts w:ascii="Arial" w:hAnsi="Arial" w:cs="Arial"/>
                <w:b/>
                <w:sz w:val="20"/>
                <w:szCs w:val="20"/>
              </w:rPr>
            </w:pPr>
            <w:r w:rsidRPr="00A87FF5">
              <w:rPr>
                <w:rFonts w:ascii="Arial" w:hAnsi="Arial" w:cs="Arial"/>
                <w:b/>
                <w:sz w:val="20"/>
                <w:szCs w:val="20"/>
              </w:rPr>
              <w:t>1</w:t>
            </w:r>
          </w:p>
        </w:tc>
        <w:tc>
          <w:tcPr>
            <w:tcW w:w="1006" w:type="dxa"/>
            <w:vAlign w:val="center"/>
          </w:tcPr>
          <w:p w14:paraId="359CF894" w14:textId="77777777" w:rsidR="00330E66" w:rsidRPr="00E31575" w:rsidRDefault="00330E66" w:rsidP="00873DE4">
            <w:pPr>
              <w:jc w:val="center"/>
              <w:rPr>
                <w:rFonts w:ascii="Arial" w:hAnsi="Arial" w:cs="Arial"/>
                <w:sz w:val="20"/>
                <w:szCs w:val="20"/>
              </w:rPr>
            </w:pPr>
            <w:r>
              <w:rPr>
                <w:rFonts w:ascii="Arial" w:hAnsi="Arial" w:cs="Arial"/>
                <w:sz w:val="20"/>
                <w:szCs w:val="20"/>
              </w:rPr>
              <w:t>(d)</w:t>
            </w:r>
          </w:p>
        </w:tc>
      </w:tr>
      <w:tr w:rsidR="00330E66" w:rsidRPr="00E57E40" w14:paraId="0EA6A949" w14:textId="77777777" w:rsidTr="00873DE4">
        <w:tc>
          <w:tcPr>
            <w:tcW w:w="1980" w:type="dxa"/>
          </w:tcPr>
          <w:p w14:paraId="2CC5946A" w14:textId="77777777" w:rsidR="00330E66" w:rsidRPr="00E57E40" w:rsidRDefault="00330E66" w:rsidP="00873DE4">
            <w:pPr>
              <w:rPr>
                <w:rFonts w:ascii="Arial" w:hAnsi="Arial" w:cs="Arial"/>
                <w:sz w:val="20"/>
                <w:szCs w:val="20"/>
              </w:rPr>
            </w:pPr>
            <w:r w:rsidRPr="00E57E40">
              <w:rPr>
                <w:rFonts w:ascii="Arial" w:hAnsi="Arial" w:cs="Arial"/>
                <w:sz w:val="20"/>
                <w:szCs w:val="20"/>
              </w:rPr>
              <w:t>Abridged new intermediate-risk medicine – prescription medicine</w:t>
            </w:r>
          </w:p>
        </w:tc>
        <w:tc>
          <w:tcPr>
            <w:tcW w:w="1005" w:type="dxa"/>
            <w:vAlign w:val="center"/>
          </w:tcPr>
          <w:p w14:paraId="32DB6D2B"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40</w:t>
            </w:r>
          </w:p>
        </w:tc>
        <w:tc>
          <w:tcPr>
            <w:tcW w:w="1005" w:type="dxa"/>
            <w:vAlign w:val="center"/>
          </w:tcPr>
          <w:p w14:paraId="26F7C91D"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52</w:t>
            </w:r>
          </w:p>
        </w:tc>
        <w:tc>
          <w:tcPr>
            <w:tcW w:w="1005" w:type="dxa"/>
            <w:vAlign w:val="center"/>
          </w:tcPr>
          <w:p w14:paraId="0AEB23BF"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44</w:t>
            </w:r>
          </w:p>
        </w:tc>
        <w:tc>
          <w:tcPr>
            <w:tcW w:w="1005" w:type="dxa"/>
            <w:vAlign w:val="center"/>
          </w:tcPr>
          <w:p w14:paraId="79C7116D"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46</w:t>
            </w:r>
          </w:p>
        </w:tc>
        <w:tc>
          <w:tcPr>
            <w:tcW w:w="1005" w:type="dxa"/>
            <w:vAlign w:val="center"/>
          </w:tcPr>
          <w:p w14:paraId="64F487E5"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31</w:t>
            </w:r>
          </w:p>
        </w:tc>
        <w:tc>
          <w:tcPr>
            <w:tcW w:w="1005" w:type="dxa"/>
            <w:vAlign w:val="center"/>
          </w:tcPr>
          <w:p w14:paraId="140E3B6E" w14:textId="77777777" w:rsidR="00330E66" w:rsidRPr="00A87FF5" w:rsidRDefault="00330E66" w:rsidP="00873DE4">
            <w:pPr>
              <w:jc w:val="center"/>
              <w:rPr>
                <w:rFonts w:ascii="Arial" w:hAnsi="Arial" w:cs="Arial"/>
                <w:b/>
                <w:sz w:val="20"/>
                <w:szCs w:val="20"/>
              </w:rPr>
            </w:pPr>
            <w:r w:rsidRPr="00A87FF5">
              <w:rPr>
                <w:rFonts w:ascii="Arial" w:hAnsi="Arial" w:cs="Arial"/>
                <w:b/>
                <w:sz w:val="20"/>
                <w:szCs w:val="20"/>
              </w:rPr>
              <w:t>42</w:t>
            </w:r>
          </w:p>
        </w:tc>
        <w:tc>
          <w:tcPr>
            <w:tcW w:w="1006" w:type="dxa"/>
            <w:vAlign w:val="center"/>
          </w:tcPr>
          <w:p w14:paraId="010A9945" w14:textId="77777777" w:rsidR="00330E66" w:rsidRPr="00E31575" w:rsidRDefault="00330E66" w:rsidP="00873DE4">
            <w:pPr>
              <w:jc w:val="center"/>
              <w:rPr>
                <w:rFonts w:ascii="Arial" w:hAnsi="Arial" w:cs="Arial"/>
                <w:sz w:val="20"/>
                <w:szCs w:val="20"/>
              </w:rPr>
            </w:pPr>
            <w:r>
              <w:rPr>
                <w:rFonts w:ascii="Arial" w:hAnsi="Arial" w:cs="Arial"/>
                <w:sz w:val="20"/>
                <w:szCs w:val="20"/>
              </w:rPr>
              <w:t>(d)</w:t>
            </w:r>
          </w:p>
        </w:tc>
      </w:tr>
      <w:tr w:rsidR="00330E66" w:rsidRPr="00E57E40" w14:paraId="3BE30C1A" w14:textId="77777777" w:rsidTr="00873DE4">
        <w:tc>
          <w:tcPr>
            <w:tcW w:w="1980" w:type="dxa"/>
          </w:tcPr>
          <w:p w14:paraId="2AB9185C" w14:textId="77777777" w:rsidR="00330E66" w:rsidRPr="00E57E40" w:rsidRDefault="00330E66" w:rsidP="00873DE4">
            <w:pPr>
              <w:rPr>
                <w:rFonts w:ascii="Arial" w:hAnsi="Arial" w:cs="Arial"/>
                <w:sz w:val="20"/>
                <w:szCs w:val="20"/>
              </w:rPr>
            </w:pPr>
            <w:r w:rsidRPr="00E57E40">
              <w:rPr>
                <w:rFonts w:ascii="Arial" w:hAnsi="Arial" w:cs="Arial"/>
                <w:sz w:val="20"/>
                <w:szCs w:val="20"/>
              </w:rPr>
              <w:t>New lower-risk medicine</w:t>
            </w:r>
          </w:p>
        </w:tc>
        <w:tc>
          <w:tcPr>
            <w:tcW w:w="1005" w:type="dxa"/>
            <w:vAlign w:val="center"/>
          </w:tcPr>
          <w:p w14:paraId="19E8414D"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42</w:t>
            </w:r>
          </w:p>
        </w:tc>
        <w:tc>
          <w:tcPr>
            <w:tcW w:w="1005" w:type="dxa"/>
            <w:vAlign w:val="center"/>
          </w:tcPr>
          <w:p w14:paraId="7E1DE7D2"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26</w:t>
            </w:r>
          </w:p>
        </w:tc>
        <w:tc>
          <w:tcPr>
            <w:tcW w:w="1005" w:type="dxa"/>
            <w:vAlign w:val="center"/>
          </w:tcPr>
          <w:p w14:paraId="5C53585D"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57</w:t>
            </w:r>
          </w:p>
        </w:tc>
        <w:tc>
          <w:tcPr>
            <w:tcW w:w="1005" w:type="dxa"/>
            <w:vAlign w:val="center"/>
          </w:tcPr>
          <w:p w14:paraId="0471CDC4"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67</w:t>
            </w:r>
          </w:p>
        </w:tc>
        <w:tc>
          <w:tcPr>
            <w:tcW w:w="1005" w:type="dxa"/>
            <w:vAlign w:val="center"/>
          </w:tcPr>
          <w:p w14:paraId="1CEF93D9" w14:textId="77777777" w:rsidR="00330E66" w:rsidRPr="00E57E40" w:rsidRDefault="00330E66" w:rsidP="00873DE4">
            <w:pPr>
              <w:jc w:val="center"/>
              <w:rPr>
                <w:rFonts w:ascii="Arial" w:hAnsi="Arial" w:cs="Arial"/>
                <w:sz w:val="20"/>
                <w:szCs w:val="20"/>
              </w:rPr>
            </w:pPr>
            <w:r w:rsidRPr="00E57E40">
              <w:rPr>
                <w:rFonts w:ascii="Arial" w:hAnsi="Arial" w:cs="Arial"/>
                <w:sz w:val="20"/>
                <w:szCs w:val="20"/>
              </w:rPr>
              <w:t>59</w:t>
            </w:r>
          </w:p>
        </w:tc>
        <w:tc>
          <w:tcPr>
            <w:tcW w:w="1005" w:type="dxa"/>
            <w:vAlign w:val="center"/>
          </w:tcPr>
          <w:p w14:paraId="2E07B5CA" w14:textId="77777777" w:rsidR="00330E66" w:rsidRPr="00A87FF5" w:rsidRDefault="00330E66" w:rsidP="00873DE4">
            <w:pPr>
              <w:jc w:val="center"/>
              <w:rPr>
                <w:rFonts w:ascii="Arial" w:hAnsi="Arial" w:cs="Arial"/>
                <w:b/>
                <w:sz w:val="20"/>
                <w:szCs w:val="20"/>
              </w:rPr>
            </w:pPr>
            <w:r w:rsidRPr="00A87FF5">
              <w:rPr>
                <w:rFonts w:ascii="Arial" w:hAnsi="Arial" w:cs="Arial"/>
                <w:b/>
                <w:sz w:val="20"/>
                <w:szCs w:val="20"/>
              </w:rPr>
              <w:t>50</w:t>
            </w:r>
          </w:p>
        </w:tc>
        <w:tc>
          <w:tcPr>
            <w:tcW w:w="1006" w:type="dxa"/>
            <w:vAlign w:val="center"/>
          </w:tcPr>
          <w:p w14:paraId="78D5C492" w14:textId="77777777" w:rsidR="00330E66" w:rsidRPr="00E31575" w:rsidRDefault="00330E66" w:rsidP="00873DE4">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p>
        </w:tc>
      </w:tr>
      <w:tr w:rsidR="00330E66" w:rsidRPr="00E57E40" w14:paraId="6863F7BF" w14:textId="77777777" w:rsidTr="00873DE4">
        <w:tc>
          <w:tcPr>
            <w:tcW w:w="1980" w:type="dxa"/>
          </w:tcPr>
          <w:p w14:paraId="10540D0D" w14:textId="77777777" w:rsidR="00330E66" w:rsidRPr="00E57E40" w:rsidRDefault="00330E66" w:rsidP="00873DE4">
            <w:pPr>
              <w:rPr>
                <w:rFonts w:ascii="Arial" w:hAnsi="Arial" w:cs="Arial"/>
                <w:sz w:val="20"/>
                <w:szCs w:val="20"/>
              </w:rPr>
            </w:pPr>
            <w:r w:rsidRPr="00E57E40">
              <w:rPr>
                <w:rFonts w:ascii="Arial" w:hAnsi="Arial" w:cs="Arial"/>
                <w:sz w:val="20"/>
                <w:szCs w:val="20"/>
              </w:rPr>
              <w:t>Provisional consent</w:t>
            </w:r>
          </w:p>
        </w:tc>
        <w:tc>
          <w:tcPr>
            <w:tcW w:w="1005" w:type="dxa"/>
            <w:vAlign w:val="center"/>
          </w:tcPr>
          <w:p w14:paraId="038569C4" w14:textId="77777777" w:rsidR="00330E66" w:rsidRPr="00E57E40" w:rsidRDefault="00330E66" w:rsidP="00873DE4">
            <w:pPr>
              <w:jc w:val="center"/>
              <w:rPr>
                <w:rFonts w:ascii="Arial" w:hAnsi="Arial" w:cs="Arial"/>
                <w:sz w:val="20"/>
                <w:szCs w:val="20"/>
              </w:rPr>
            </w:pPr>
            <w:r>
              <w:rPr>
                <w:rFonts w:ascii="Arial" w:hAnsi="Arial" w:cs="Arial"/>
                <w:sz w:val="20"/>
                <w:szCs w:val="20"/>
              </w:rPr>
              <w:t>0</w:t>
            </w:r>
          </w:p>
        </w:tc>
        <w:tc>
          <w:tcPr>
            <w:tcW w:w="1005" w:type="dxa"/>
            <w:vAlign w:val="center"/>
          </w:tcPr>
          <w:p w14:paraId="303746F7" w14:textId="77777777" w:rsidR="00330E66" w:rsidRPr="00E57E40" w:rsidRDefault="00330E66" w:rsidP="00873DE4">
            <w:pPr>
              <w:jc w:val="center"/>
              <w:rPr>
                <w:rFonts w:ascii="Arial" w:hAnsi="Arial" w:cs="Arial"/>
                <w:sz w:val="20"/>
                <w:szCs w:val="20"/>
              </w:rPr>
            </w:pPr>
            <w:r>
              <w:rPr>
                <w:rFonts w:ascii="Arial" w:hAnsi="Arial" w:cs="Arial"/>
                <w:sz w:val="20"/>
                <w:szCs w:val="20"/>
              </w:rPr>
              <w:t>5</w:t>
            </w:r>
          </w:p>
        </w:tc>
        <w:tc>
          <w:tcPr>
            <w:tcW w:w="1005" w:type="dxa"/>
            <w:vAlign w:val="center"/>
          </w:tcPr>
          <w:p w14:paraId="53AA4580" w14:textId="77777777" w:rsidR="00330E66" w:rsidRPr="00E57E40" w:rsidRDefault="00330E66" w:rsidP="00873DE4">
            <w:pPr>
              <w:jc w:val="center"/>
              <w:rPr>
                <w:rFonts w:ascii="Arial" w:hAnsi="Arial" w:cs="Arial"/>
                <w:sz w:val="20"/>
                <w:szCs w:val="20"/>
              </w:rPr>
            </w:pPr>
            <w:r>
              <w:rPr>
                <w:rFonts w:ascii="Arial" w:hAnsi="Arial" w:cs="Arial"/>
                <w:sz w:val="20"/>
                <w:szCs w:val="20"/>
              </w:rPr>
              <w:t>8</w:t>
            </w:r>
          </w:p>
        </w:tc>
        <w:tc>
          <w:tcPr>
            <w:tcW w:w="1005" w:type="dxa"/>
            <w:vAlign w:val="center"/>
          </w:tcPr>
          <w:p w14:paraId="46391C30" w14:textId="77777777" w:rsidR="00330E66" w:rsidRPr="00E57E40" w:rsidRDefault="00330E66" w:rsidP="00873DE4">
            <w:pPr>
              <w:jc w:val="center"/>
              <w:rPr>
                <w:rFonts w:ascii="Arial" w:hAnsi="Arial" w:cs="Arial"/>
                <w:sz w:val="20"/>
                <w:szCs w:val="20"/>
              </w:rPr>
            </w:pPr>
            <w:r>
              <w:rPr>
                <w:rFonts w:ascii="Arial" w:hAnsi="Arial" w:cs="Arial"/>
                <w:sz w:val="20"/>
                <w:szCs w:val="20"/>
              </w:rPr>
              <w:t>2</w:t>
            </w:r>
          </w:p>
        </w:tc>
        <w:tc>
          <w:tcPr>
            <w:tcW w:w="1005" w:type="dxa"/>
            <w:vAlign w:val="center"/>
          </w:tcPr>
          <w:p w14:paraId="17FB2B5E" w14:textId="77777777" w:rsidR="00330E66" w:rsidRPr="00E57E40" w:rsidRDefault="00330E66" w:rsidP="00873DE4">
            <w:pPr>
              <w:jc w:val="center"/>
              <w:rPr>
                <w:rFonts w:ascii="Arial" w:hAnsi="Arial" w:cs="Arial"/>
                <w:sz w:val="20"/>
                <w:szCs w:val="20"/>
              </w:rPr>
            </w:pPr>
            <w:r>
              <w:rPr>
                <w:rFonts w:ascii="Arial" w:hAnsi="Arial" w:cs="Arial"/>
                <w:sz w:val="20"/>
                <w:szCs w:val="20"/>
              </w:rPr>
              <w:t>11</w:t>
            </w:r>
          </w:p>
        </w:tc>
        <w:tc>
          <w:tcPr>
            <w:tcW w:w="1005" w:type="dxa"/>
            <w:vAlign w:val="center"/>
          </w:tcPr>
          <w:p w14:paraId="19BB6508" w14:textId="77777777" w:rsidR="00330E66" w:rsidRPr="00A87FF5" w:rsidRDefault="00330E66" w:rsidP="00873DE4">
            <w:pPr>
              <w:jc w:val="center"/>
              <w:rPr>
                <w:rFonts w:ascii="Arial" w:hAnsi="Arial" w:cs="Arial"/>
                <w:b/>
                <w:sz w:val="20"/>
                <w:szCs w:val="20"/>
              </w:rPr>
            </w:pPr>
            <w:r>
              <w:rPr>
                <w:rFonts w:ascii="Arial" w:hAnsi="Arial" w:cs="Arial"/>
                <w:b/>
                <w:sz w:val="20"/>
                <w:szCs w:val="20"/>
              </w:rPr>
              <w:t>5</w:t>
            </w:r>
          </w:p>
        </w:tc>
        <w:tc>
          <w:tcPr>
            <w:tcW w:w="1006" w:type="dxa"/>
            <w:vAlign w:val="center"/>
          </w:tcPr>
          <w:p w14:paraId="451F9A01" w14:textId="77777777" w:rsidR="00330E66" w:rsidRPr="00E31575" w:rsidRDefault="00330E66" w:rsidP="00873DE4">
            <w:pPr>
              <w:jc w:val="center"/>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p>
        </w:tc>
      </w:tr>
      <w:tr w:rsidR="00330E66" w:rsidRPr="00E57E40" w14:paraId="06234A7E" w14:textId="77777777" w:rsidTr="00873DE4">
        <w:tc>
          <w:tcPr>
            <w:tcW w:w="1980" w:type="dxa"/>
          </w:tcPr>
          <w:p w14:paraId="5E243CFE" w14:textId="77777777" w:rsidR="00330E66" w:rsidRPr="00E57E40" w:rsidRDefault="00330E66" w:rsidP="00873DE4">
            <w:pPr>
              <w:rPr>
                <w:rFonts w:ascii="Arial" w:hAnsi="Arial" w:cs="Arial"/>
                <w:sz w:val="20"/>
                <w:szCs w:val="20"/>
              </w:rPr>
            </w:pPr>
            <w:r w:rsidRPr="00E57E40">
              <w:rPr>
                <w:rFonts w:ascii="Arial" w:hAnsi="Arial" w:cs="Arial"/>
                <w:sz w:val="20"/>
                <w:szCs w:val="20"/>
              </w:rPr>
              <w:t>Renewal of Provisional consent</w:t>
            </w:r>
          </w:p>
        </w:tc>
        <w:tc>
          <w:tcPr>
            <w:tcW w:w="1005" w:type="dxa"/>
            <w:vAlign w:val="center"/>
          </w:tcPr>
          <w:p w14:paraId="2F44B79D" w14:textId="77777777" w:rsidR="00330E66" w:rsidRPr="00E57E40" w:rsidRDefault="00330E66" w:rsidP="00873DE4">
            <w:pPr>
              <w:jc w:val="center"/>
              <w:rPr>
                <w:rFonts w:ascii="Arial" w:hAnsi="Arial" w:cs="Arial"/>
                <w:sz w:val="20"/>
                <w:szCs w:val="20"/>
              </w:rPr>
            </w:pPr>
            <w:r>
              <w:rPr>
                <w:rFonts w:ascii="Arial" w:hAnsi="Arial" w:cs="Arial"/>
                <w:sz w:val="20"/>
                <w:szCs w:val="20"/>
              </w:rPr>
              <w:t>9</w:t>
            </w:r>
          </w:p>
        </w:tc>
        <w:tc>
          <w:tcPr>
            <w:tcW w:w="1005" w:type="dxa"/>
            <w:vAlign w:val="center"/>
          </w:tcPr>
          <w:p w14:paraId="7A44C59E" w14:textId="77777777" w:rsidR="00330E66" w:rsidRPr="00E57E40" w:rsidRDefault="00330E66" w:rsidP="00873DE4">
            <w:pPr>
              <w:jc w:val="center"/>
              <w:rPr>
                <w:rFonts w:ascii="Arial" w:hAnsi="Arial" w:cs="Arial"/>
                <w:sz w:val="20"/>
                <w:szCs w:val="20"/>
              </w:rPr>
            </w:pPr>
            <w:r>
              <w:rPr>
                <w:rFonts w:ascii="Arial" w:hAnsi="Arial" w:cs="Arial"/>
                <w:sz w:val="20"/>
                <w:szCs w:val="20"/>
              </w:rPr>
              <w:t>15</w:t>
            </w:r>
          </w:p>
        </w:tc>
        <w:tc>
          <w:tcPr>
            <w:tcW w:w="1005" w:type="dxa"/>
            <w:vAlign w:val="center"/>
          </w:tcPr>
          <w:p w14:paraId="3B5E3875" w14:textId="77777777" w:rsidR="00330E66" w:rsidRPr="00E57E40" w:rsidRDefault="00330E66" w:rsidP="00873DE4">
            <w:pPr>
              <w:jc w:val="center"/>
              <w:rPr>
                <w:rFonts w:ascii="Arial" w:hAnsi="Arial" w:cs="Arial"/>
                <w:sz w:val="20"/>
                <w:szCs w:val="20"/>
              </w:rPr>
            </w:pPr>
            <w:r>
              <w:rPr>
                <w:rFonts w:ascii="Arial" w:hAnsi="Arial" w:cs="Arial"/>
                <w:sz w:val="20"/>
                <w:szCs w:val="20"/>
              </w:rPr>
              <w:t>10</w:t>
            </w:r>
          </w:p>
        </w:tc>
        <w:tc>
          <w:tcPr>
            <w:tcW w:w="1005" w:type="dxa"/>
            <w:vAlign w:val="center"/>
          </w:tcPr>
          <w:p w14:paraId="28A8B64C" w14:textId="77777777" w:rsidR="00330E66" w:rsidRPr="00E57E40" w:rsidRDefault="00330E66" w:rsidP="00873DE4">
            <w:pPr>
              <w:jc w:val="center"/>
              <w:rPr>
                <w:rFonts w:ascii="Arial" w:hAnsi="Arial" w:cs="Arial"/>
                <w:sz w:val="20"/>
                <w:szCs w:val="20"/>
              </w:rPr>
            </w:pPr>
            <w:r>
              <w:rPr>
                <w:rFonts w:ascii="Arial" w:hAnsi="Arial" w:cs="Arial"/>
                <w:sz w:val="20"/>
                <w:szCs w:val="20"/>
              </w:rPr>
              <w:t>10</w:t>
            </w:r>
          </w:p>
        </w:tc>
        <w:tc>
          <w:tcPr>
            <w:tcW w:w="1005" w:type="dxa"/>
            <w:vAlign w:val="center"/>
          </w:tcPr>
          <w:p w14:paraId="6B665A9F" w14:textId="77777777" w:rsidR="00330E66" w:rsidRPr="00E57E40" w:rsidRDefault="00330E66" w:rsidP="00873DE4">
            <w:pPr>
              <w:jc w:val="center"/>
              <w:rPr>
                <w:rFonts w:ascii="Arial" w:hAnsi="Arial" w:cs="Arial"/>
                <w:sz w:val="20"/>
                <w:szCs w:val="20"/>
              </w:rPr>
            </w:pPr>
            <w:r>
              <w:rPr>
                <w:rFonts w:ascii="Arial" w:hAnsi="Arial" w:cs="Arial"/>
                <w:sz w:val="20"/>
                <w:szCs w:val="20"/>
              </w:rPr>
              <w:t>11</w:t>
            </w:r>
          </w:p>
        </w:tc>
        <w:tc>
          <w:tcPr>
            <w:tcW w:w="1005" w:type="dxa"/>
            <w:vAlign w:val="center"/>
          </w:tcPr>
          <w:p w14:paraId="50AF7DDF" w14:textId="77777777" w:rsidR="00330E66" w:rsidRPr="00A87FF5" w:rsidRDefault="00330E66" w:rsidP="00873DE4">
            <w:pPr>
              <w:jc w:val="center"/>
              <w:rPr>
                <w:rFonts w:ascii="Arial" w:hAnsi="Arial" w:cs="Arial"/>
                <w:b/>
                <w:sz w:val="20"/>
                <w:szCs w:val="20"/>
              </w:rPr>
            </w:pPr>
            <w:r>
              <w:rPr>
                <w:rFonts w:ascii="Arial" w:hAnsi="Arial" w:cs="Arial"/>
                <w:b/>
                <w:sz w:val="20"/>
                <w:szCs w:val="20"/>
              </w:rPr>
              <w:t>11</w:t>
            </w:r>
          </w:p>
        </w:tc>
        <w:tc>
          <w:tcPr>
            <w:tcW w:w="1006" w:type="dxa"/>
            <w:vAlign w:val="center"/>
          </w:tcPr>
          <w:p w14:paraId="777CB471" w14:textId="77777777" w:rsidR="00330E66" w:rsidRPr="00E31575" w:rsidRDefault="00330E66" w:rsidP="00873DE4">
            <w:pPr>
              <w:jc w:val="center"/>
              <w:rPr>
                <w:rFonts w:ascii="Arial" w:hAnsi="Arial" w:cs="Arial"/>
                <w:sz w:val="20"/>
                <w:szCs w:val="20"/>
              </w:rPr>
            </w:pPr>
          </w:p>
        </w:tc>
      </w:tr>
      <w:tr w:rsidR="00330E66" w:rsidRPr="00E57E40" w14:paraId="385E4272" w14:textId="77777777" w:rsidTr="00873DE4">
        <w:tc>
          <w:tcPr>
            <w:tcW w:w="9016" w:type="dxa"/>
            <w:gridSpan w:val="8"/>
          </w:tcPr>
          <w:p w14:paraId="12ED6592" w14:textId="77777777" w:rsidR="00330E66" w:rsidRPr="00E31575" w:rsidRDefault="00330E66" w:rsidP="00873DE4">
            <w:pPr>
              <w:rPr>
                <w:rFonts w:ascii="Arial" w:hAnsi="Arial" w:cs="Arial"/>
                <w:sz w:val="20"/>
                <w:szCs w:val="20"/>
              </w:rPr>
            </w:pPr>
            <w:r>
              <w:rPr>
                <w:rFonts w:ascii="Arial" w:hAnsi="Arial" w:cs="Arial"/>
                <w:b/>
                <w:sz w:val="20"/>
                <w:szCs w:val="20"/>
              </w:rPr>
              <w:t>Changed medicine notifications</w:t>
            </w:r>
          </w:p>
        </w:tc>
      </w:tr>
      <w:tr w:rsidR="00330E66" w:rsidRPr="00E57E40" w14:paraId="29919370" w14:textId="77777777" w:rsidTr="00873DE4">
        <w:tc>
          <w:tcPr>
            <w:tcW w:w="1980" w:type="dxa"/>
          </w:tcPr>
          <w:p w14:paraId="1327CFEE" w14:textId="77777777" w:rsidR="00330E66" w:rsidRPr="00E57E40" w:rsidRDefault="00330E66" w:rsidP="00873DE4">
            <w:pPr>
              <w:pStyle w:val="Default"/>
              <w:rPr>
                <w:sz w:val="20"/>
                <w:szCs w:val="20"/>
              </w:rPr>
            </w:pPr>
            <w:r w:rsidRPr="00E57E40">
              <w:rPr>
                <w:sz w:val="20"/>
                <w:szCs w:val="20"/>
              </w:rPr>
              <w:t xml:space="preserve">CMN </w:t>
            </w:r>
            <w:r>
              <w:rPr>
                <w:sz w:val="20"/>
                <w:szCs w:val="20"/>
              </w:rPr>
              <w:t>notifi</w:t>
            </w:r>
            <w:r w:rsidRPr="00E57E40">
              <w:rPr>
                <w:sz w:val="20"/>
                <w:szCs w:val="20"/>
              </w:rPr>
              <w:t xml:space="preserve">cations </w:t>
            </w:r>
          </w:p>
        </w:tc>
        <w:tc>
          <w:tcPr>
            <w:tcW w:w="1005" w:type="dxa"/>
            <w:vAlign w:val="center"/>
          </w:tcPr>
          <w:p w14:paraId="79609FFE" w14:textId="77777777" w:rsidR="00330E66" w:rsidRPr="00E57E40" w:rsidRDefault="00330E66" w:rsidP="00873DE4">
            <w:pPr>
              <w:pStyle w:val="Default"/>
              <w:jc w:val="center"/>
              <w:rPr>
                <w:sz w:val="20"/>
                <w:szCs w:val="20"/>
              </w:rPr>
            </w:pPr>
            <w:r w:rsidRPr="00E57E40">
              <w:rPr>
                <w:sz w:val="20"/>
                <w:szCs w:val="20"/>
              </w:rPr>
              <w:t>1366</w:t>
            </w:r>
          </w:p>
        </w:tc>
        <w:tc>
          <w:tcPr>
            <w:tcW w:w="1005" w:type="dxa"/>
            <w:vAlign w:val="center"/>
          </w:tcPr>
          <w:p w14:paraId="0AE6DEDE" w14:textId="77777777" w:rsidR="00330E66" w:rsidRPr="00E57E40" w:rsidRDefault="00330E66" w:rsidP="00873DE4">
            <w:pPr>
              <w:pStyle w:val="Default"/>
              <w:jc w:val="center"/>
              <w:rPr>
                <w:sz w:val="20"/>
                <w:szCs w:val="20"/>
              </w:rPr>
            </w:pPr>
            <w:r w:rsidRPr="00E57E40">
              <w:rPr>
                <w:sz w:val="20"/>
                <w:szCs w:val="20"/>
              </w:rPr>
              <w:t>1379</w:t>
            </w:r>
          </w:p>
        </w:tc>
        <w:tc>
          <w:tcPr>
            <w:tcW w:w="1005" w:type="dxa"/>
            <w:vAlign w:val="center"/>
          </w:tcPr>
          <w:p w14:paraId="5600AD69" w14:textId="77777777" w:rsidR="00330E66" w:rsidRPr="00E57E40" w:rsidRDefault="00330E66" w:rsidP="00873DE4">
            <w:pPr>
              <w:pStyle w:val="Default"/>
              <w:jc w:val="center"/>
              <w:rPr>
                <w:sz w:val="20"/>
                <w:szCs w:val="20"/>
              </w:rPr>
            </w:pPr>
            <w:r w:rsidRPr="00E57E40">
              <w:rPr>
                <w:sz w:val="20"/>
                <w:szCs w:val="20"/>
              </w:rPr>
              <w:t>1233</w:t>
            </w:r>
          </w:p>
        </w:tc>
        <w:tc>
          <w:tcPr>
            <w:tcW w:w="1005" w:type="dxa"/>
            <w:vAlign w:val="center"/>
          </w:tcPr>
          <w:p w14:paraId="730968E9" w14:textId="77777777" w:rsidR="00330E66" w:rsidRPr="00E57E40" w:rsidRDefault="00330E66" w:rsidP="00873DE4">
            <w:pPr>
              <w:pStyle w:val="Default"/>
              <w:jc w:val="center"/>
              <w:rPr>
                <w:sz w:val="20"/>
                <w:szCs w:val="20"/>
              </w:rPr>
            </w:pPr>
            <w:r w:rsidRPr="00E57E40">
              <w:rPr>
                <w:sz w:val="20"/>
                <w:szCs w:val="20"/>
              </w:rPr>
              <w:t>1389</w:t>
            </w:r>
          </w:p>
        </w:tc>
        <w:tc>
          <w:tcPr>
            <w:tcW w:w="1005" w:type="dxa"/>
            <w:vAlign w:val="center"/>
          </w:tcPr>
          <w:p w14:paraId="4B0AB5B2" w14:textId="77777777" w:rsidR="00330E66" w:rsidRPr="00E57E40" w:rsidRDefault="00330E66" w:rsidP="00873DE4">
            <w:pPr>
              <w:pStyle w:val="Default"/>
              <w:jc w:val="center"/>
              <w:rPr>
                <w:sz w:val="20"/>
                <w:szCs w:val="20"/>
              </w:rPr>
            </w:pPr>
            <w:r w:rsidRPr="00E57E40">
              <w:rPr>
                <w:sz w:val="20"/>
                <w:szCs w:val="20"/>
              </w:rPr>
              <w:t>1334</w:t>
            </w:r>
          </w:p>
        </w:tc>
        <w:tc>
          <w:tcPr>
            <w:tcW w:w="1005" w:type="dxa"/>
            <w:vAlign w:val="center"/>
          </w:tcPr>
          <w:p w14:paraId="74E93BA9" w14:textId="77777777" w:rsidR="00330E66" w:rsidRPr="00A87FF5" w:rsidRDefault="00330E66" w:rsidP="00873DE4">
            <w:pPr>
              <w:pStyle w:val="Default"/>
              <w:jc w:val="center"/>
              <w:rPr>
                <w:b/>
                <w:sz w:val="20"/>
                <w:szCs w:val="20"/>
              </w:rPr>
            </w:pPr>
            <w:r w:rsidRPr="00A87FF5">
              <w:rPr>
                <w:b/>
                <w:sz w:val="20"/>
                <w:szCs w:val="20"/>
              </w:rPr>
              <w:t>1340</w:t>
            </w:r>
          </w:p>
        </w:tc>
        <w:tc>
          <w:tcPr>
            <w:tcW w:w="1006" w:type="dxa"/>
            <w:vAlign w:val="center"/>
          </w:tcPr>
          <w:p w14:paraId="32A2C5F8" w14:textId="77777777" w:rsidR="00330E66" w:rsidRPr="00E31575" w:rsidRDefault="00330E66" w:rsidP="00873DE4">
            <w:pPr>
              <w:pStyle w:val="Default"/>
              <w:jc w:val="center"/>
              <w:rPr>
                <w:sz w:val="20"/>
                <w:szCs w:val="20"/>
              </w:rPr>
            </w:pPr>
          </w:p>
        </w:tc>
      </w:tr>
      <w:tr w:rsidR="00330E66" w:rsidRPr="00E57E40" w14:paraId="6DFAFBDD" w14:textId="77777777" w:rsidTr="00873DE4">
        <w:tc>
          <w:tcPr>
            <w:tcW w:w="1980" w:type="dxa"/>
          </w:tcPr>
          <w:p w14:paraId="50D1E915" w14:textId="77777777" w:rsidR="00330E66" w:rsidRPr="00E57E40" w:rsidRDefault="00330E66" w:rsidP="00873DE4">
            <w:pPr>
              <w:pStyle w:val="Default"/>
              <w:rPr>
                <w:sz w:val="20"/>
                <w:szCs w:val="20"/>
              </w:rPr>
            </w:pPr>
            <w:r w:rsidRPr="00E57E40">
              <w:rPr>
                <w:sz w:val="20"/>
                <w:szCs w:val="20"/>
              </w:rPr>
              <w:t>s24(5) referral</w:t>
            </w:r>
          </w:p>
        </w:tc>
        <w:tc>
          <w:tcPr>
            <w:tcW w:w="1005" w:type="dxa"/>
            <w:vAlign w:val="center"/>
          </w:tcPr>
          <w:p w14:paraId="1FE7A9B7" w14:textId="77777777" w:rsidR="00330E66" w:rsidRPr="00E57E40" w:rsidRDefault="00330E66" w:rsidP="00873DE4">
            <w:pPr>
              <w:pStyle w:val="Default"/>
              <w:jc w:val="center"/>
              <w:rPr>
                <w:sz w:val="20"/>
                <w:szCs w:val="20"/>
              </w:rPr>
            </w:pPr>
            <w:r w:rsidRPr="00E57E40">
              <w:rPr>
                <w:sz w:val="20"/>
                <w:szCs w:val="20"/>
              </w:rPr>
              <w:t>68</w:t>
            </w:r>
          </w:p>
        </w:tc>
        <w:tc>
          <w:tcPr>
            <w:tcW w:w="1005" w:type="dxa"/>
            <w:vAlign w:val="center"/>
          </w:tcPr>
          <w:p w14:paraId="15669837" w14:textId="77777777" w:rsidR="00330E66" w:rsidRPr="00E57E40" w:rsidRDefault="00330E66" w:rsidP="00873DE4">
            <w:pPr>
              <w:pStyle w:val="Default"/>
              <w:jc w:val="center"/>
              <w:rPr>
                <w:sz w:val="20"/>
                <w:szCs w:val="20"/>
              </w:rPr>
            </w:pPr>
            <w:r w:rsidRPr="00E57E40">
              <w:rPr>
                <w:sz w:val="20"/>
                <w:szCs w:val="20"/>
              </w:rPr>
              <w:t>87</w:t>
            </w:r>
          </w:p>
        </w:tc>
        <w:tc>
          <w:tcPr>
            <w:tcW w:w="1005" w:type="dxa"/>
            <w:vAlign w:val="center"/>
          </w:tcPr>
          <w:p w14:paraId="1BEA3B71" w14:textId="77777777" w:rsidR="00330E66" w:rsidRPr="00E57E40" w:rsidRDefault="00330E66" w:rsidP="00873DE4">
            <w:pPr>
              <w:pStyle w:val="Default"/>
              <w:jc w:val="center"/>
              <w:rPr>
                <w:sz w:val="20"/>
                <w:szCs w:val="20"/>
              </w:rPr>
            </w:pPr>
            <w:r w:rsidRPr="00E57E40">
              <w:rPr>
                <w:sz w:val="20"/>
                <w:szCs w:val="20"/>
              </w:rPr>
              <w:t>82</w:t>
            </w:r>
          </w:p>
        </w:tc>
        <w:tc>
          <w:tcPr>
            <w:tcW w:w="1005" w:type="dxa"/>
            <w:vAlign w:val="center"/>
          </w:tcPr>
          <w:p w14:paraId="03F72024" w14:textId="77777777" w:rsidR="00330E66" w:rsidRPr="00E57E40" w:rsidRDefault="00330E66" w:rsidP="00873DE4">
            <w:pPr>
              <w:pStyle w:val="Default"/>
              <w:jc w:val="center"/>
              <w:rPr>
                <w:sz w:val="20"/>
                <w:szCs w:val="20"/>
              </w:rPr>
            </w:pPr>
            <w:r w:rsidRPr="00E57E40">
              <w:rPr>
                <w:sz w:val="20"/>
                <w:szCs w:val="20"/>
              </w:rPr>
              <w:t>142</w:t>
            </w:r>
          </w:p>
        </w:tc>
        <w:tc>
          <w:tcPr>
            <w:tcW w:w="1005" w:type="dxa"/>
            <w:vAlign w:val="center"/>
          </w:tcPr>
          <w:p w14:paraId="3A98C07F" w14:textId="77777777" w:rsidR="00330E66" w:rsidRPr="00E57E40" w:rsidRDefault="00330E66" w:rsidP="00873DE4">
            <w:pPr>
              <w:pStyle w:val="Default"/>
              <w:jc w:val="center"/>
              <w:rPr>
                <w:sz w:val="20"/>
                <w:szCs w:val="20"/>
              </w:rPr>
            </w:pPr>
            <w:r w:rsidRPr="00E57E40">
              <w:rPr>
                <w:sz w:val="20"/>
                <w:szCs w:val="20"/>
              </w:rPr>
              <w:t>138</w:t>
            </w:r>
          </w:p>
        </w:tc>
        <w:tc>
          <w:tcPr>
            <w:tcW w:w="1005" w:type="dxa"/>
            <w:vAlign w:val="center"/>
          </w:tcPr>
          <w:p w14:paraId="111DA38D" w14:textId="77777777" w:rsidR="00330E66" w:rsidRPr="00A87FF5" w:rsidRDefault="00330E66" w:rsidP="00873DE4">
            <w:pPr>
              <w:pStyle w:val="Default"/>
              <w:jc w:val="center"/>
              <w:rPr>
                <w:b/>
                <w:sz w:val="20"/>
                <w:szCs w:val="20"/>
              </w:rPr>
            </w:pPr>
            <w:r w:rsidRPr="00A87FF5">
              <w:rPr>
                <w:b/>
                <w:sz w:val="20"/>
                <w:szCs w:val="20"/>
              </w:rPr>
              <w:t>103</w:t>
            </w:r>
          </w:p>
        </w:tc>
        <w:tc>
          <w:tcPr>
            <w:tcW w:w="1006" w:type="dxa"/>
            <w:vAlign w:val="center"/>
          </w:tcPr>
          <w:p w14:paraId="391822C7" w14:textId="77777777" w:rsidR="00330E66" w:rsidRPr="00E31575" w:rsidRDefault="00330E66" w:rsidP="00873DE4">
            <w:pPr>
              <w:pStyle w:val="Default"/>
              <w:jc w:val="center"/>
              <w:rPr>
                <w:sz w:val="20"/>
                <w:szCs w:val="20"/>
              </w:rPr>
            </w:pPr>
            <w:r>
              <w:rPr>
                <w:sz w:val="20"/>
                <w:szCs w:val="20"/>
              </w:rPr>
              <w:t>(</w:t>
            </w:r>
            <w:proofErr w:type="spellStart"/>
            <w:r>
              <w:rPr>
                <w:sz w:val="20"/>
                <w:szCs w:val="20"/>
              </w:rPr>
              <w:t>i</w:t>
            </w:r>
            <w:proofErr w:type="spellEnd"/>
            <w:r>
              <w:rPr>
                <w:sz w:val="20"/>
                <w:szCs w:val="20"/>
              </w:rPr>
              <w:t>)</w:t>
            </w:r>
          </w:p>
        </w:tc>
      </w:tr>
      <w:tr w:rsidR="00330E66" w:rsidRPr="00E57E40" w14:paraId="7D5A9A6F" w14:textId="77777777" w:rsidTr="00873DE4">
        <w:tc>
          <w:tcPr>
            <w:tcW w:w="1980" w:type="dxa"/>
          </w:tcPr>
          <w:p w14:paraId="509D49BE" w14:textId="77777777" w:rsidR="00330E66" w:rsidRPr="00E57E40" w:rsidRDefault="00330E66" w:rsidP="00873DE4">
            <w:pPr>
              <w:pStyle w:val="Default"/>
              <w:rPr>
                <w:sz w:val="20"/>
                <w:szCs w:val="20"/>
              </w:rPr>
            </w:pPr>
            <w:r w:rsidRPr="00E57E40">
              <w:rPr>
                <w:sz w:val="20"/>
                <w:szCs w:val="20"/>
              </w:rPr>
              <w:t xml:space="preserve">Self-assessable CMN </w:t>
            </w:r>
            <w:r>
              <w:rPr>
                <w:sz w:val="20"/>
                <w:szCs w:val="20"/>
              </w:rPr>
              <w:t>notific</w:t>
            </w:r>
            <w:r w:rsidRPr="00E57E40">
              <w:rPr>
                <w:sz w:val="20"/>
                <w:szCs w:val="20"/>
              </w:rPr>
              <w:t xml:space="preserve">ations </w:t>
            </w:r>
          </w:p>
        </w:tc>
        <w:tc>
          <w:tcPr>
            <w:tcW w:w="1005" w:type="dxa"/>
            <w:vAlign w:val="center"/>
          </w:tcPr>
          <w:p w14:paraId="3D22CCA0" w14:textId="77777777" w:rsidR="00330E66" w:rsidRPr="00E57E40" w:rsidRDefault="00330E66" w:rsidP="00873DE4">
            <w:pPr>
              <w:pStyle w:val="Default"/>
              <w:jc w:val="center"/>
              <w:rPr>
                <w:sz w:val="20"/>
                <w:szCs w:val="20"/>
              </w:rPr>
            </w:pPr>
            <w:r w:rsidRPr="00E57E40">
              <w:rPr>
                <w:sz w:val="20"/>
                <w:szCs w:val="20"/>
              </w:rPr>
              <w:t>1124</w:t>
            </w:r>
          </w:p>
        </w:tc>
        <w:tc>
          <w:tcPr>
            <w:tcW w:w="1005" w:type="dxa"/>
            <w:vAlign w:val="center"/>
          </w:tcPr>
          <w:p w14:paraId="7B10DE5A" w14:textId="77777777" w:rsidR="00330E66" w:rsidRPr="00E57E40" w:rsidRDefault="00330E66" w:rsidP="00873DE4">
            <w:pPr>
              <w:pStyle w:val="Default"/>
              <w:jc w:val="center"/>
              <w:rPr>
                <w:sz w:val="20"/>
                <w:szCs w:val="20"/>
              </w:rPr>
            </w:pPr>
            <w:r w:rsidRPr="00E57E40">
              <w:rPr>
                <w:sz w:val="20"/>
                <w:szCs w:val="20"/>
              </w:rPr>
              <w:t>996</w:t>
            </w:r>
          </w:p>
        </w:tc>
        <w:tc>
          <w:tcPr>
            <w:tcW w:w="1005" w:type="dxa"/>
            <w:vAlign w:val="center"/>
          </w:tcPr>
          <w:p w14:paraId="512F26CB" w14:textId="77777777" w:rsidR="00330E66" w:rsidRPr="00E57E40" w:rsidRDefault="00330E66" w:rsidP="00873DE4">
            <w:pPr>
              <w:pStyle w:val="Default"/>
              <w:jc w:val="center"/>
              <w:rPr>
                <w:sz w:val="20"/>
                <w:szCs w:val="20"/>
              </w:rPr>
            </w:pPr>
            <w:r w:rsidRPr="00E57E40">
              <w:rPr>
                <w:sz w:val="20"/>
                <w:szCs w:val="20"/>
              </w:rPr>
              <w:t>1170</w:t>
            </w:r>
          </w:p>
        </w:tc>
        <w:tc>
          <w:tcPr>
            <w:tcW w:w="1005" w:type="dxa"/>
            <w:vAlign w:val="center"/>
          </w:tcPr>
          <w:p w14:paraId="18F01C94" w14:textId="77777777" w:rsidR="00330E66" w:rsidRPr="00E57E40" w:rsidRDefault="00330E66" w:rsidP="00873DE4">
            <w:pPr>
              <w:pStyle w:val="Default"/>
              <w:jc w:val="center"/>
              <w:rPr>
                <w:sz w:val="20"/>
                <w:szCs w:val="20"/>
              </w:rPr>
            </w:pPr>
            <w:r w:rsidRPr="00E57E40">
              <w:rPr>
                <w:sz w:val="20"/>
                <w:szCs w:val="20"/>
              </w:rPr>
              <w:t>1182</w:t>
            </w:r>
          </w:p>
        </w:tc>
        <w:tc>
          <w:tcPr>
            <w:tcW w:w="1005" w:type="dxa"/>
            <w:vAlign w:val="center"/>
          </w:tcPr>
          <w:p w14:paraId="4E8523A5" w14:textId="77777777" w:rsidR="00330E66" w:rsidRPr="00E57E40" w:rsidRDefault="00330E66" w:rsidP="00873DE4">
            <w:pPr>
              <w:pStyle w:val="Default"/>
              <w:jc w:val="center"/>
              <w:rPr>
                <w:sz w:val="20"/>
                <w:szCs w:val="20"/>
              </w:rPr>
            </w:pPr>
            <w:r w:rsidRPr="00E57E40">
              <w:rPr>
                <w:sz w:val="20"/>
                <w:szCs w:val="20"/>
              </w:rPr>
              <w:t>1469</w:t>
            </w:r>
          </w:p>
        </w:tc>
        <w:tc>
          <w:tcPr>
            <w:tcW w:w="1005" w:type="dxa"/>
            <w:vAlign w:val="center"/>
          </w:tcPr>
          <w:p w14:paraId="64B54E86" w14:textId="77777777" w:rsidR="00330E66" w:rsidRPr="00A87FF5" w:rsidRDefault="00330E66" w:rsidP="00873DE4">
            <w:pPr>
              <w:pStyle w:val="Default"/>
              <w:jc w:val="center"/>
              <w:rPr>
                <w:b/>
                <w:sz w:val="20"/>
                <w:szCs w:val="20"/>
              </w:rPr>
            </w:pPr>
            <w:r w:rsidRPr="00A87FF5">
              <w:rPr>
                <w:b/>
                <w:sz w:val="20"/>
                <w:szCs w:val="20"/>
              </w:rPr>
              <w:t>1188</w:t>
            </w:r>
          </w:p>
        </w:tc>
        <w:tc>
          <w:tcPr>
            <w:tcW w:w="1006" w:type="dxa"/>
            <w:vAlign w:val="center"/>
          </w:tcPr>
          <w:p w14:paraId="1A9265DD" w14:textId="77777777" w:rsidR="00330E66" w:rsidRPr="00E31575" w:rsidRDefault="00330E66" w:rsidP="00873DE4">
            <w:pPr>
              <w:pStyle w:val="Default"/>
              <w:jc w:val="center"/>
              <w:rPr>
                <w:sz w:val="20"/>
                <w:szCs w:val="20"/>
              </w:rPr>
            </w:pPr>
            <w:r>
              <w:rPr>
                <w:sz w:val="20"/>
                <w:szCs w:val="20"/>
              </w:rPr>
              <w:t>(</w:t>
            </w:r>
            <w:proofErr w:type="spellStart"/>
            <w:r>
              <w:rPr>
                <w:sz w:val="20"/>
                <w:szCs w:val="20"/>
              </w:rPr>
              <w:t>i</w:t>
            </w:r>
            <w:proofErr w:type="spellEnd"/>
            <w:r>
              <w:rPr>
                <w:sz w:val="20"/>
                <w:szCs w:val="20"/>
              </w:rPr>
              <w:t>)</w:t>
            </w:r>
          </w:p>
        </w:tc>
      </w:tr>
      <w:tr w:rsidR="00330E66" w:rsidRPr="00E57E40" w14:paraId="11D6E495" w14:textId="77777777" w:rsidTr="00873DE4">
        <w:tc>
          <w:tcPr>
            <w:tcW w:w="9016" w:type="dxa"/>
            <w:gridSpan w:val="8"/>
          </w:tcPr>
          <w:p w14:paraId="17E39BA6" w14:textId="77777777" w:rsidR="00330E66" w:rsidRPr="00E31575" w:rsidRDefault="00330E66" w:rsidP="00873DE4">
            <w:pPr>
              <w:rPr>
                <w:rFonts w:ascii="Arial" w:hAnsi="Arial" w:cs="Arial"/>
                <w:sz w:val="20"/>
                <w:szCs w:val="20"/>
              </w:rPr>
            </w:pPr>
            <w:r w:rsidRPr="00DB331C">
              <w:rPr>
                <w:rFonts w:ascii="Arial" w:hAnsi="Arial" w:cs="Arial"/>
                <w:b/>
                <w:sz w:val="20"/>
                <w:szCs w:val="20"/>
              </w:rPr>
              <w:t>Related Products</w:t>
            </w:r>
          </w:p>
        </w:tc>
      </w:tr>
      <w:tr w:rsidR="00330E66" w:rsidRPr="00E57E40" w14:paraId="775FFECD" w14:textId="77777777" w:rsidTr="00873DE4">
        <w:tc>
          <w:tcPr>
            <w:tcW w:w="1980" w:type="dxa"/>
          </w:tcPr>
          <w:p w14:paraId="7C0BE139" w14:textId="77777777" w:rsidR="00330E66" w:rsidRPr="00DB331C" w:rsidRDefault="00330E66" w:rsidP="00873DE4">
            <w:pPr>
              <w:rPr>
                <w:rFonts w:ascii="Arial" w:hAnsi="Arial" w:cs="Arial"/>
                <w:sz w:val="20"/>
                <w:szCs w:val="20"/>
              </w:rPr>
            </w:pPr>
            <w:r w:rsidRPr="00DB331C">
              <w:rPr>
                <w:rFonts w:ascii="Arial" w:hAnsi="Arial" w:cs="Arial"/>
                <w:sz w:val="20"/>
                <w:szCs w:val="20"/>
              </w:rPr>
              <w:t>New related products</w:t>
            </w:r>
          </w:p>
        </w:tc>
        <w:tc>
          <w:tcPr>
            <w:tcW w:w="1005" w:type="dxa"/>
            <w:vAlign w:val="center"/>
          </w:tcPr>
          <w:p w14:paraId="6ECC3147" w14:textId="77777777" w:rsidR="00330E66" w:rsidRPr="00E57E40" w:rsidRDefault="00330E66" w:rsidP="00873DE4">
            <w:pPr>
              <w:jc w:val="center"/>
              <w:rPr>
                <w:rFonts w:ascii="Arial" w:hAnsi="Arial" w:cs="Arial"/>
                <w:sz w:val="20"/>
                <w:szCs w:val="20"/>
              </w:rPr>
            </w:pPr>
            <w:r>
              <w:rPr>
                <w:rFonts w:ascii="Arial" w:hAnsi="Arial" w:cs="Arial"/>
                <w:sz w:val="20"/>
                <w:szCs w:val="20"/>
              </w:rPr>
              <w:t>0</w:t>
            </w:r>
          </w:p>
        </w:tc>
        <w:tc>
          <w:tcPr>
            <w:tcW w:w="1005" w:type="dxa"/>
            <w:vAlign w:val="center"/>
          </w:tcPr>
          <w:p w14:paraId="2A8B6E73" w14:textId="77777777" w:rsidR="00330E66" w:rsidRPr="00E57E40" w:rsidRDefault="00330E66" w:rsidP="00873DE4">
            <w:pPr>
              <w:jc w:val="center"/>
              <w:rPr>
                <w:rFonts w:ascii="Arial" w:hAnsi="Arial" w:cs="Arial"/>
                <w:sz w:val="20"/>
                <w:szCs w:val="20"/>
              </w:rPr>
            </w:pPr>
            <w:r>
              <w:rPr>
                <w:rFonts w:ascii="Arial" w:hAnsi="Arial" w:cs="Arial"/>
                <w:sz w:val="20"/>
                <w:szCs w:val="20"/>
              </w:rPr>
              <w:t>0</w:t>
            </w:r>
          </w:p>
        </w:tc>
        <w:tc>
          <w:tcPr>
            <w:tcW w:w="1005" w:type="dxa"/>
            <w:vAlign w:val="center"/>
          </w:tcPr>
          <w:p w14:paraId="4218FCC8" w14:textId="77777777" w:rsidR="00330E66" w:rsidRPr="00E57E40" w:rsidRDefault="00330E66" w:rsidP="00873DE4">
            <w:pPr>
              <w:jc w:val="center"/>
              <w:rPr>
                <w:rFonts w:ascii="Arial" w:hAnsi="Arial" w:cs="Arial"/>
                <w:sz w:val="20"/>
                <w:szCs w:val="20"/>
              </w:rPr>
            </w:pPr>
            <w:r>
              <w:rPr>
                <w:rFonts w:ascii="Arial" w:hAnsi="Arial" w:cs="Arial"/>
                <w:sz w:val="20"/>
                <w:szCs w:val="20"/>
              </w:rPr>
              <w:t>1</w:t>
            </w:r>
          </w:p>
        </w:tc>
        <w:tc>
          <w:tcPr>
            <w:tcW w:w="1005" w:type="dxa"/>
            <w:vAlign w:val="center"/>
          </w:tcPr>
          <w:p w14:paraId="53A657AD" w14:textId="77777777" w:rsidR="00330E66" w:rsidRPr="00E57E40" w:rsidRDefault="00330E66" w:rsidP="00873DE4">
            <w:pPr>
              <w:jc w:val="center"/>
              <w:rPr>
                <w:rFonts w:ascii="Arial" w:hAnsi="Arial" w:cs="Arial"/>
                <w:sz w:val="20"/>
                <w:szCs w:val="20"/>
              </w:rPr>
            </w:pPr>
            <w:r>
              <w:rPr>
                <w:rFonts w:ascii="Arial" w:hAnsi="Arial" w:cs="Arial"/>
                <w:sz w:val="20"/>
                <w:szCs w:val="20"/>
              </w:rPr>
              <w:t>1</w:t>
            </w:r>
          </w:p>
        </w:tc>
        <w:tc>
          <w:tcPr>
            <w:tcW w:w="1005" w:type="dxa"/>
            <w:vAlign w:val="center"/>
          </w:tcPr>
          <w:p w14:paraId="2F7E6B94" w14:textId="77777777" w:rsidR="00330E66" w:rsidRPr="00E57E40" w:rsidRDefault="00330E66" w:rsidP="00873DE4">
            <w:pPr>
              <w:jc w:val="center"/>
              <w:rPr>
                <w:rFonts w:ascii="Arial" w:hAnsi="Arial" w:cs="Arial"/>
                <w:sz w:val="20"/>
                <w:szCs w:val="20"/>
              </w:rPr>
            </w:pPr>
            <w:r>
              <w:rPr>
                <w:rFonts w:ascii="Arial" w:hAnsi="Arial" w:cs="Arial"/>
                <w:sz w:val="20"/>
                <w:szCs w:val="20"/>
              </w:rPr>
              <w:t>1</w:t>
            </w:r>
          </w:p>
        </w:tc>
        <w:tc>
          <w:tcPr>
            <w:tcW w:w="1005" w:type="dxa"/>
            <w:vAlign w:val="center"/>
          </w:tcPr>
          <w:p w14:paraId="1FF1DD8A" w14:textId="77777777" w:rsidR="00330E66" w:rsidRPr="00A87FF5" w:rsidRDefault="00330E66" w:rsidP="00873DE4">
            <w:pPr>
              <w:jc w:val="center"/>
              <w:rPr>
                <w:rFonts w:ascii="Arial" w:hAnsi="Arial" w:cs="Arial"/>
                <w:b/>
                <w:sz w:val="20"/>
                <w:szCs w:val="20"/>
              </w:rPr>
            </w:pPr>
            <w:r>
              <w:rPr>
                <w:rFonts w:ascii="Arial" w:hAnsi="Arial" w:cs="Arial"/>
                <w:b/>
                <w:sz w:val="20"/>
                <w:szCs w:val="20"/>
              </w:rPr>
              <w:t>1</w:t>
            </w:r>
          </w:p>
        </w:tc>
        <w:tc>
          <w:tcPr>
            <w:tcW w:w="1006" w:type="dxa"/>
            <w:vAlign w:val="center"/>
          </w:tcPr>
          <w:p w14:paraId="1CCCC9A2" w14:textId="77777777" w:rsidR="00330E66" w:rsidRPr="00E31575" w:rsidRDefault="00330E66" w:rsidP="00873DE4">
            <w:pPr>
              <w:jc w:val="center"/>
              <w:rPr>
                <w:rFonts w:ascii="Arial" w:hAnsi="Arial" w:cs="Arial"/>
                <w:sz w:val="20"/>
                <w:szCs w:val="20"/>
              </w:rPr>
            </w:pPr>
          </w:p>
        </w:tc>
      </w:tr>
      <w:tr w:rsidR="00330E66" w:rsidRPr="00E57E40" w14:paraId="79E1CDA7" w14:textId="77777777" w:rsidTr="00873DE4">
        <w:tc>
          <w:tcPr>
            <w:tcW w:w="1980" w:type="dxa"/>
          </w:tcPr>
          <w:p w14:paraId="38BEEC18" w14:textId="77777777" w:rsidR="00330E66" w:rsidRPr="00DB331C" w:rsidRDefault="00330E66" w:rsidP="00873DE4">
            <w:pPr>
              <w:rPr>
                <w:rFonts w:ascii="Arial" w:hAnsi="Arial" w:cs="Arial"/>
                <w:sz w:val="20"/>
                <w:szCs w:val="20"/>
              </w:rPr>
            </w:pPr>
            <w:r>
              <w:rPr>
                <w:rFonts w:ascii="Arial" w:hAnsi="Arial" w:cs="Arial"/>
                <w:sz w:val="20"/>
                <w:szCs w:val="20"/>
              </w:rPr>
              <w:t>Changed related products</w:t>
            </w:r>
          </w:p>
        </w:tc>
        <w:tc>
          <w:tcPr>
            <w:tcW w:w="1005" w:type="dxa"/>
            <w:vAlign w:val="center"/>
          </w:tcPr>
          <w:p w14:paraId="0F7424AC" w14:textId="77777777" w:rsidR="00330E66" w:rsidRDefault="00330E66" w:rsidP="00873DE4">
            <w:pPr>
              <w:jc w:val="center"/>
              <w:rPr>
                <w:rFonts w:ascii="Arial" w:hAnsi="Arial" w:cs="Arial"/>
                <w:sz w:val="20"/>
                <w:szCs w:val="20"/>
              </w:rPr>
            </w:pPr>
            <w:r>
              <w:rPr>
                <w:rFonts w:ascii="Arial" w:hAnsi="Arial" w:cs="Arial"/>
                <w:sz w:val="20"/>
                <w:szCs w:val="20"/>
              </w:rPr>
              <w:t>4</w:t>
            </w:r>
          </w:p>
        </w:tc>
        <w:tc>
          <w:tcPr>
            <w:tcW w:w="1005" w:type="dxa"/>
            <w:vAlign w:val="center"/>
          </w:tcPr>
          <w:p w14:paraId="75AF86B0" w14:textId="77777777" w:rsidR="00330E66" w:rsidRDefault="00330E66" w:rsidP="00873DE4">
            <w:pPr>
              <w:jc w:val="center"/>
              <w:rPr>
                <w:rFonts w:ascii="Arial" w:hAnsi="Arial" w:cs="Arial"/>
                <w:sz w:val="20"/>
                <w:szCs w:val="20"/>
              </w:rPr>
            </w:pPr>
            <w:r>
              <w:rPr>
                <w:rFonts w:ascii="Arial" w:hAnsi="Arial" w:cs="Arial"/>
                <w:sz w:val="20"/>
                <w:szCs w:val="20"/>
              </w:rPr>
              <w:t>8</w:t>
            </w:r>
          </w:p>
        </w:tc>
        <w:tc>
          <w:tcPr>
            <w:tcW w:w="1005" w:type="dxa"/>
            <w:vAlign w:val="center"/>
          </w:tcPr>
          <w:p w14:paraId="69CF1495" w14:textId="77777777" w:rsidR="00330E66" w:rsidRDefault="00330E66" w:rsidP="00873DE4">
            <w:pPr>
              <w:jc w:val="center"/>
              <w:rPr>
                <w:rFonts w:ascii="Arial" w:hAnsi="Arial" w:cs="Arial"/>
                <w:sz w:val="20"/>
                <w:szCs w:val="20"/>
              </w:rPr>
            </w:pPr>
            <w:r>
              <w:rPr>
                <w:rFonts w:ascii="Arial" w:hAnsi="Arial" w:cs="Arial"/>
                <w:sz w:val="20"/>
                <w:szCs w:val="20"/>
              </w:rPr>
              <w:t>5</w:t>
            </w:r>
          </w:p>
        </w:tc>
        <w:tc>
          <w:tcPr>
            <w:tcW w:w="1005" w:type="dxa"/>
            <w:vAlign w:val="center"/>
          </w:tcPr>
          <w:p w14:paraId="485581B4" w14:textId="77777777" w:rsidR="00330E66" w:rsidRDefault="00330E66" w:rsidP="00873DE4">
            <w:pPr>
              <w:jc w:val="center"/>
              <w:rPr>
                <w:rFonts w:ascii="Arial" w:hAnsi="Arial" w:cs="Arial"/>
                <w:sz w:val="20"/>
                <w:szCs w:val="20"/>
              </w:rPr>
            </w:pPr>
            <w:r>
              <w:rPr>
                <w:rFonts w:ascii="Arial" w:hAnsi="Arial" w:cs="Arial"/>
                <w:sz w:val="20"/>
                <w:szCs w:val="20"/>
              </w:rPr>
              <w:t>6</w:t>
            </w:r>
          </w:p>
        </w:tc>
        <w:tc>
          <w:tcPr>
            <w:tcW w:w="1005" w:type="dxa"/>
            <w:vAlign w:val="center"/>
          </w:tcPr>
          <w:p w14:paraId="135DAD9C" w14:textId="77777777" w:rsidR="00330E66" w:rsidRDefault="00330E66" w:rsidP="00873DE4">
            <w:pPr>
              <w:jc w:val="center"/>
              <w:rPr>
                <w:rFonts w:ascii="Arial" w:hAnsi="Arial" w:cs="Arial"/>
                <w:sz w:val="20"/>
                <w:szCs w:val="20"/>
              </w:rPr>
            </w:pPr>
            <w:r>
              <w:rPr>
                <w:rFonts w:ascii="Arial" w:hAnsi="Arial" w:cs="Arial"/>
                <w:sz w:val="20"/>
                <w:szCs w:val="20"/>
              </w:rPr>
              <w:t>4</w:t>
            </w:r>
          </w:p>
        </w:tc>
        <w:tc>
          <w:tcPr>
            <w:tcW w:w="1005" w:type="dxa"/>
            <w:vAlign w:val="center"/>
          </w:tcPr>
          <w:p w14:paraId="0BD9FDA3" w14:textId="77777777" w:rsidR="00330E66" w:rsidRDefault="00330E66" w:rsidP="00873DE4">
            <w:pPr>
              <w:jc w:val="center"/>
              <w:rPr>
                <w:rFonts w:ascii="Arial" w:hAnsi="Arial" w:cs="Arial"/>
                <w:b/>
                <w:sz w:val="20"/>
                <w:szCs w:val="20"/>
              </w:rPr>
            </w:pPr>
            <w:r>
              <w:rPr>
                <w:rFonts w:ascii="Arial" w:hAnsi="Arial" w:cs="Arial"/>
                <w:b/>
                <w:sz w:val="20"/>
                <w:szCs w:val="20"/>
              </w:rPr>
              <w:t>5</w:t>
            </w:r>
          </w:p>
        </w:tc>
        <w:tc>
          <w:tcPr>
            <w:tcW w:w="1006" w:type="dxa"/>
            <w:vAlign w:val="center"/>
          </w:tcPr>
          <w:p w14:paraId="44E40006" w14:textId="77777777" w:rsidR="00330E66" w:rsidRPr="00E31575" w:rsidRDefault="00330E66" w:rsidP="00873DE4">
            <w:pPr>
              <w:jc w:val="center"/>
              <w:rPr>
                <w:rFonts w:ascii="Arial" w:hAnsi="Arial" w:cs="Arial"/>
                <w:sz w:val="20"/>
                <w:szCs w:val="20"/>
              </w:rPr>
            </w:pPr>
          </w:p>
        </w:tc>
      </w:tr>
      <w:tr w:rsidR="00330E66" w:rsidRPr="00E57E40" w14:paraId="75A249E6" w14:textId="77777777" w:rsidTr="00873DE4">
        <w:tc>
          <w:tcPr>
            <w:tcW w:w="9016" w:type="dxa"/>
            <w:gridSpan w:val="8"/>
          </w:tcPr>
          <w:p w14:paraId="669B79F3" w14:textId="77777777" w:rsidR="00330E66" w:rsidRPr="00E31575" w:rsidRDefault="00330E66" w:rsidP="00873DE4">
            <w:pPr>
              <w:rPr>
                <w:rFonts w:ascii="Arial" w:hAnsi="Arial" w:cs="Arial"/>
                <w:sz w:val="20"/>
                <w:szCs w:val="20"/>
              </w:rPr>
            </w:pPr>
            <w:r>
              <w:rPr>
                <w:rFonts w:ascii="Arial" w:hAnsi="Arial" w:cs="Arial"/>
                <w:b/>
                <w:sz w:val="20"/>
                <w:szCs w:val="20"/>
              </w:rPr>
              <w:t>Clinical trial applications</w:t>
            </w:r>
          </w:p>
        </w:tc>
      </w:tr>
      <w:tr w:rsidR="00330E66" w:rsidRPr="00E57E40" w14:paraId="5A8F0CD1" w14:textId="77777777" w:rsidTr="00873DE4">
        <w:tc>
          <w:tcPr>
            <w:tcW w:w="1980" w:type="dxa"/>
          </w:tcPr>
          <w:p w14:paraId="6DF9E899" w14:textId="77777777" w:rsidR="00330E66" w:rsidRPr="00E57E40" w:rsidRDefault="00330E66" w:rsidP="00873DE4">
            <w:pPr>
              <w:pStyle w:val="Default"/>
              <w:rPr>
                <w:sz w:val="20"/>
                <w:szCs w:val="20"/>
              </w:rPr>
            </w:pPr>
            <w:r w:rsidRPr="00E57E40">
              <w:rPr>
                <w:sz w:val="20"/>
                <w:szCs w:val="20"/>
              </w:rPr>
              <w:t xml:space="preserve">Application for consent to conduct a clinical trial </w:t>
            </w:r>
          </w:p>
        </w:tc>
        <w:tc>
          <w:tcPr>
            <w:tcW w:w="1005" w:type="dxa"/>
            <w:vAlign w:val="center"/>
          </w:tcPr>
          <w:p w14:paraId="275D3317" w14:textId="77777777" w:rsidR="00330E66" w:rsidRPr="00E57E40" w:rsidRDefault="00330E66" w:rsidP="00873DE4">
            <w:pPr>
              <w:pStyle w:val="Default"/>
              <w:jc w:val="center"/>
              <w:rPr>
                <w:sz w:val="20"/>
                <w:szCs w:val="20"/>
              </w:rPr>
            </w:pPr>
            <w:r>
              <w:rPr>
                <w:sz w:val="20"/>
                <w:szCs w:val="20"/>
              </w:rPr>
              <w:t>149</w:t>
            </w:r>
          </w:p>
        </w:tc>
        <w:tc>
          <w:tcPr>
            <w:tcW w:w="1005" w:type="dxa"/>
            <w:vAlign w:val="center"/>
          </w:tcPr>
          <w:p w14:paraId="3D7DB66C" w14:textId="77777777" w:rsidR="00330E66" w:rsidRPr="00E57E40" w:rsidRDefault="00330E66" w:rsidP="00873DE4">
            <w:pPr>
              <w:pStyle w:val="Default"/>
              <w:jc w:val="center"/>
              <w:rPr>
                <w:sz w:val="20"/>
                <w:szCs w:val="20"/>
              </w:rPr>
            </w:pPr>
            <w:r>
              <w:rPr>
                <w:sz w:val="20"/>
                <w:szCs w:val="20"/>
              </w:rPr>
              <w:t>105</w:t>
            </w:r>
          </w:p>
        </w:tc>
        <w:tc>
          <w:tcPr>
            <w:tcW w:w="1005" w:type="dxa"/>
            <w:vAlign w:val="center"/>
          </w:tcPr>
          <w:p w14:paraId="1ACC2880" w14:textId="77777777" w:rsidR="00330E66" w:rsidRPr="00E57E40" w:rsidRDefault="00330E66" w:rsidP="00873DE4">
            <w:pPr>
              <w:pStyle w:val="Default"/>
              <w:jc w:val="center"/>
              <w:rPr>
                <w:sz w:val="20"/>
                <w:szCs w:val="20"/>
              </w:rPr>
            </w:pPr>
            <w:r>
              <w:rPr>
                <w:sz w:val="20"/>
                <w:szCs w:val="20"/>
              </w:rPr>
              <w:t>126</w:t>
            </w:r>
          </w:p>
        </w:tc>
        <w:tc>
          <w:tcPr>
            <w:tcW w:w="1005" w:type="dxa"/>
            <w:vAlign w:val="center"/>
          </w:tcPr>
          <w:p w14:paraId="253A731E" w14:textId="77777777" w:rsidR="00330E66" w:rsidRPr="00E57E40" w:rsidRDefault="00330E66" w:rsidP="00873DE4">
            <w:pPr>
              <w:pStyle w:val="Default"/>
              <w:jc w:val="center"/>
              <w:rPr>
                <w:sz w:val="20"/>
                <w:szCs w:val="20"/>
              </w:rPr>
            </w:pPr>
            <w:r>
              <w:rPr>
                <w:sz w:val="20"/>
                <w:szCs w:val="20"/>
              </w:rPr>
              <w:t>125</w:t>
            </w:r>
          </w:p>
        </w:tc>
        <w:tc>
          <w:tcPr>
            <w:tcW w:w="1005" w:type="dxa"/>
            <w:vAlign w:val="center"/>
          </w:tcPr>
          <w:p w14:paraId="4E5F1DB7" w14:textId="77777777" w:rsidR="00330E66" w:rsidRPr="00E57E40" w:rsidRDefault="00330E66" w:rsidP="00873DE4">
            <w:pPr>
              <w:pStyle w:val="Default"/>
              <w:jc w:val="center"/>
              <w:rPr>
                <w:sz w:val="20"/>
                <w:szCs w:val="20"/>
              </w:rPr>
            </w:pPr>
            <w:r>
              <w:rPr>
                <w:sz w:val="20"/>
                <w:szCs w:val="20"/>
              </w:rPr>
              <w:t>131</w:t>
            </w:r>
          </w:p>
        </w:tc>
        <w:tc>
          <w:tcPr>
            <w:tcW w:w="1005" w:type="dxa"/>
            <w:vAlign w:val="center"/>
          </w:tcPr>
          <w:p w14:paraId="3203CAD3" w14:textId="77777777" w:rsidR="00330E66" w:rsidRPr="00A87FF5" w:rsidRDefault="00330E66" w:rsidP="00873DE4">
            <w:pPr>
              <w:pStyle w:val="Default"/>
              <w:jc w:val="center"/>
              <w:rPr>
                <w:b/>
                <w:sz w:val="20"/>
                <w:szCs w:val="20"/>
              </w:rPr>
            </w:pPr>
            <w:r>
              <w:rPr>
                <w:b/>
                <w:sz w:val="20"/>
                <w:szCs w:val="20"/>
              </w:rPr>
              <w:t>127</w:t>
            </w:r>
          </w:p>
        </w:tc>
        <w:tc>
          <w:tcPr>
            <w:tcW w:w="1006" w:type="dxa"/>
            <w:vAlign w:val="center"/>
          </w:tcPr>
          <w:p w14:paraId="5688D638" w14:textId="77777777" w:rsidR="00330E66" w:rsidRPr="00E31575" w:rsidRDefault="00330E66" w:rsidP="00873DE4">
            <w:pPr>
              <w:pStyle w:val="Default"/>
              <w:jc w:val="center"/>
              <w:rPr>
                <w:sz w:val="20"/>
                <w:szCs w:val="20"/>
              </w:rPr>
            </w:pPr>
          </w:p>
        </w:tc>
      </w:tr>
      <w:tr w:rsidR="00330E66" w:rsidRPr="00E57E40" w14:paraId="548BB12A" w14:textId="77777777" w:rsidTr="00873DE4">
        <w:tc>
          <w:tcPr>
            <w:tcW w:w="1980" w:type="dxa"/>
          </w:tcPr>
          <w:p w14:paraId="3CEB8C09" w14:textId="77777777" w:rsidR="00330E66" w:rsidRPr="00E57E40" w:rsidRDefault="00330E66" w:rsidP="00873DE4">
            <w:pPr>
              <w:pStyle w:val="Default"/>
              <w:rPr>
                <w:sz w:val="20"/>
                <w:szCs w:val="20"/>
              </w:rPr>
            </w:pPr>
            <w:r w:rsidRPr="00E57E40">
              <w:rPr>
                <w:sz w:val="20"/>
                <w:szCs w:val="20"/>
              </w:rPr>
              <w:lastRenderedPageBreak/>
              <w:t xml:space="preserve">Additional clinical trial for the same medicine, submitted at the same time </w:t>
            </w:r>
          </w:p>
        </w:tc>
        <w:tc>
          <w:tcPr>
            <w:tcW w:w="1005" w:type="dxa"/>
            <w:vAlign w:val="center"/>
          </w:tcPr>
          <w:p w14:paraId="33681481" w14:textId="77777777" w:rsidR="00330E66" w:rsidRPr="00E57E40" w:rsidRDefault="00330E66" w:rsidP="00873DE4">
            <w:pPr>
              <w:pStyle w:val="Default"/>
              <w:jc w:val="center"/>
              <w:rPr>
                <w:sz w:val="20"/>
                <w:szCs w:val="20"/>
              </w:rPr>
            </w:pPr>
            <w:r>
              <w:rPr>
                <w:sz w:val="20"/>
                <w:szCs w:val="20"/>
              </w:rPr>
              <w:t>7</w:t>
            </w:r>
          </w:p>
        </w:tc>
        <w:tc>
          <w:tcPr>
            <w:tcW w:w="1005" w:type="dxa"/>
            <w:vAlign w:val="center"/>
          </w:tcPr>
          <w:p w14:paraId="3AE76D88" w14:textId="77777777" w:rsidR="00330E66" w:rsidRPr="00E57E40" w:rsidRDefault="00330E66" w:rsidP="00873DE4">
            <w:pPr>
              <w:pStyle w:val="Default"/>
              <w:jc w:val="center"/>
              <w:rPr>
                <w:sz w:val="20"/>
                <w:szCs w:val="20"/>
              </w:rPr>
            </w:pPr>
            <w:r>
              <w:rPr>
                <w:sz w:val="20"/>
                <w:szCs w:val="20"/>
              </w:rPr>
              <w:t>2</w:t>
            </w:r>
          </w:p>
        </w:tc>
        <w:tc>
          <w:tcPr>
            <w:tcW w:w="1005" w:type="dxa"/>
            <w:vAlign w:val="center"/>
          </w:tcPr>
          <w:p w14:paraId="5B61DDFC" w14:textId="77777777" w:rsidR="00330E66" w:rsidRPr="00E57E40" w:rsidRDefault="00330E66" w:rsidP="00873DE4">
            <w:pPr>
              <w:pStyle w:val="Default"/>
              <w:jc w:val="center"/>
              <w:rPr>
                <w:sz w:val="20"/>
                <w:szCs w:val="20"/>
              </w:rPr>
            </w:pPr>
            <w:r>
              <w:rPr>
                <w:sz w:val="20"/>
                <w:szCs w:val="20"/>
              </w:rPr>
              <w:t>2</w:t>
            </w:r>
          </w:p>
        </w:tc>
        <w:tc>
          <w:tcPr>
            <w:tcW w:w="1005" w:type="dxa"/>
            <w:vAlign w:val="center"/>
          </w:tcPr>
          <w:p w14:paraId="548DF5BF" w14:textId="77777777" w:rsidR="00330E66" w:rsidRPr="00E57E40" w:rsidRDefault="00330E66" w:rsidP="00873DE4">
            <w:pPr>
              <w:pStyle w:val="Default"/>
              <w:jc w:val="center"/>
              <w:rPr>
                <w:sz w:val="20"/>
                <w:szCs w:val="20"/>
              </w:rPr>
            </w:pPr>
            <w:r>
              <w:rPr>
                <w:sz w:val="20"/>
                <w:szCs w:val="20"/>
              </w:rPr>
              <w:t>3</w:t>
            </w:r>
          </w:p>
        </w:tc>
        <w:tc>
          <w:tcPr>
            <w:tcW w:w="1005" w:type="dxa"/>
            <w:vAlign w:val="center"/>
          </w:tcPr>
          <w:p w14:paraId="65197B1F" w14:textId="77777777" w:rsidR="00330E66" w:rsidRPr="00E57E40" w:rsidRDefault="00330E66" w:rsidP="00873DE4">
            <w:pPr>
              <w:pStyle w:val="Default"/>
              <w:jc w:val="center"/>
              <w:rPr>
                <w:sz w:val="20"/>
                <w:szCs w:val="20"/>
              </w:rPr>
            </w:pPr>
            <w:r>
              <w:rPr>
                <w:sz w:val="20"/>
                <w:szCs w:val="20"/>
              </w:rPr>
              <w:t>3</w:t>
            </w:r>
          </w:p>
        </w:tc>
        <w:tc>
          <w:tcPr>
            <w:tcW w:w="1005" w:type="dxa"/>
            <w:vAlign w:val="center"/>
          </w:tcPr>
          <w:p w14:paraId="1D955331" w14:textId="77777777" w:rsidR="00330E66" w:rsidRPr="00A87FF5" w:rsidRDefault="00330E66" w:rsidP="00873DE4">
            <w:pPr>
              <w:pStyle w:val="Default"/>
              <w:jc w:val="center"/>
              <w:rPr>
                <w:b/>
                <w:sz w:val="20"/>
                <w:szCs w:val="20"/>
              </w:rPr>
            </w:pPr>
            <w:r>
              <w:rPr>
                <w:b/>
                <w:sz w:val="20"/>
                <w:szCs w:val="20"/>
              </w:rPr>
              <w:t>3</w:t>
            </w:r>
          </w:p>
        </w:tc>
        <w:tc>
          <w:tcPr>
            <w:tcW w:w="1006" w:type="dxa"/>
            <w:vAlign w:val="center"/>
          </w:tcPr>
          <w:p w14:paraId="04A54D1B" w14:textId="77777777" w:rsidR="00330E66" w:rsidRPr="00E31575" w:rsidRDefault="00330E66" w:rsidP="00873DE4">
            <w:pPr>
              <w:pStyle w:val="Default"/>
              <w:jc w:val="center"/>
              <w:rPr>
                <w:sz w:val="20"/>
                <w:szCs w:val="20"/>
              </w:rPr>
            </w:pPr>
          </w:p>
        </w:tc>
      </w:tr>
    </w:tbl>
    <w:p w14:paraId="4F4854EB" w14:textId="77777777" w:rsidR="00330E66" w:rsidRDefault="00330E66" w:rsidP="00330E66"/>
    <w:p w14:paraId="24EEA1BA" w14:textId="7497C8BA" w:rsidR="00330E66" w:rsidRDefault="00330E66" w:rsidP="00330E66">
      <w:pPr>
        <w:rPr>
          <w:rFonts w:ascii="Arial" w:hAnsi="Arial" w:cs="Arial"/>
        </w:rPr>
      </w:pPr>
      <w:r>
        <w:rPr>
          <w:rFonts w:ascii="Arial" w:hAnsi="Arial" w:cs="Arial"/>
        </w:rPr>
        <w:t>Key: (</w:t>
      </w:r>
      <w:proofErr w:type="spellStart"/>
      <w:r>
        <w:rPr>
          <w:rFonts w:ascii="Arial" w:hAnsi="Arial" w:cs="Arial"/>
        </w:rPr>
        <w:t>i</w:t>
      </w:r>
      <w:proofErr w:type="spellEnd"/>
      <w:r>
        <w:rPr>
          <w:rFonts w:ascii="Arial" w:hAnsi="Arial" w:cs="Arial"/>
        </w:rPr>
        <w:t xml:space="preserve">) – increase; (d) decrease; (v) </w:t>
      </w:r>
      <w:r w:rsidR="00EC7010">
        <w:rPr>
          <w:rFonts w:ascii="Arial" w:hAnsi="Arial" w:cs="Arial"/>
        </w:rPr>
        <w:t>–</w:t>
      </w:r>
      <w:r>
        <w:rPr>
          <w:rFonts w:ascii="Arial" w:hAnsi="Arial" w:cs="Arial"/>
        </w:rPr>
        <w:t xml:space="preserve"> variable</w:t>
      </w:r>
    </w:p>
    <w:p w14:paraId="156B6882" w14:textId="7DFC8CDD" w:rsidR="00EC7010" w:rsidRDefault="00EC7010">
      <w:pPr>
        <w:rPr>
          <w:rFonts w:ascii="Arial" w:hAnsi="Arial" w:cs="Arial"/>
        </w:rPr>
      </w:pPr>
      <w:r>
        <w:rPr>
          <w:rFonts w:ascii="Arial" w:hAnsi="Arial" w:cs="Arial"/>
        </w:rPr>
        <w:br w:type="page"/>
      </w:r>
    </w:p>
    <w:p w14:paraId="5CB4FFE2" w14:textId="10F2F3A1" w:rsidR="00EC7010" w:rsidRDefault="00EC7010" w:rsidP="00330E66">
      <w:pPr>
        <w:rPr>
          <w:rFonts w:ascii="Segoe UI" w:hAnsi="Segoe UI" w:cs="Segoe UI"/>
          <w:b/>
          <w:bCs/>
          <w:color w:val="4472C4" w:themeColor="accent1"/>
          <w:sz w:val="24"/>
          <w:szCs w:val="24"/>
        </w:rPr>
      </w:pPr>
      <w:r w:rsidRPr="000F2CDC">
        <w:rPr>
          <w:rFonts w:ascii="Segoe UI" w:hAnsi="Segoe UI" w:cs="Segoe UI"/>
          <w:b/>
          <w:bCs/>
          <w:color w:val="4472C4" w:themeColor="accent1"/>
          <w:sz w:val="24"/>
          <w:szCs w:val="24"/>
        </w:rPr>
        <w:lastRenderedPageBreak/>
        <w:t>Appendix</w:t>
      </w:r>
      <w:r w:rsidRPr="00EC7010">
        <w:rPr>
          <w:rFonts w:ascii="Segoe UI" w:hAnsi="Segoe UI" w:cs="Segoe UI"/>
          <w:b/>
          <w:bCs/>
          <w:color w:val="4472C4" w:themeColor="accent1"/>
          <w:sz w:val="24"/>
          <w:szCs w:val="24"/>
        </w:rPr>
        <w:t xml:space="preserve"> C – Fe</w:t>
      </w:r>
      <w:r>
        <w:rPr>
          <w:rFonts w:ascii="Segoe UI" w:hAnsi="Segoe UI" w:cs="Segoe UI"/>
          <w:b/>
          <w:bCs/>
          <w:color w:val="4472C4" w:themeColor="accent1"/>
          <w:sz w:val="24"/>
          <w:szCs w:val="24"/>
        </w:rPr>
        <w:t>e</w:t>
      </w:r>
      <w:r w:rsidRPr="00EC7010">
        <w:rPr>
          <w:rFonts w:ascii="Segoe UI" w:hAnsi="Segoe UI" w:cs="Segoe UI"/>
          <w:b/>
          <w:bCs/>
          <w:color w:val="4472C4" w:themeColor="accent1"/>
          <w:sz w:val="24"/>
          <w:szCs w:val="24"/>
        </w:rPr>
        <w:t>s Schedule Comparison</w:t>
      </w:r>
    </w:p>
    <w:p w14:paraId="53791F3C" w14:textId="68B02007" w:rsidR="00081B54" w:rsidRDefault="00081B54" w:rsidP="00330E66">
      <w:pPr>
        <w:rPr>
          <w:rFonts w:ascii="Segoe UI" w:hAnsi="Segoe UI" w:cs="Segoe UI"/>
          <w:b/>
          <w:bCs/>
          <w:color w:val="4472C4" w:themeColor="accent1"/>
          <w:sz w:val="24"/>
          <w:szCs w:val="24"/>
        </w:rPr>
      </w:pPr>
    </w:p>
    <w:p w14:paraId="47C9A793" w14:textId="3E1AA135" w:rsidR="00081B54" w:rsidRDefault="00081B54" w:rsidP="00330E66">
      <w:pPr>
        <w:rPr>
          <w:rFonts w:cstheme="minorHAnsi"/>
          <w:color w:val="000000" w:themeColor="text1"/>
          <w:sz w:val="24"/>
          <w:szCs w:val="24"/>
        </w:rPr>
      </w:pPr>
      <w:r w:rsidRPr="00081B54">
        <w:rPr>
          <w:rFonts w:cstheme="minorHAnsi"/>
          <w:color w:val="000000" w:themeColor="text1"/>
          <w:sz w:val="24"/>
          <w:szCs w:val="24"/>
        </w:rPr>
        <w:t xml:space="preserve">Highlighted </w:t>
      </w:r>
      <w:r>
        <w:rPr>
          <w:rFonts w:cstheme="minorHAnsi"/>
          <w:color w:val="000000" w:themeColor="text1"/>
          <w:sz w:val="24"/>
          <w:szCs w:val="24"/>
        </w:rPr>
        <w:t>text indicates the cost recovery changes.</w:t>
      </w:r>
    </w:p>
    <w:p w14:paraId="6D604819" w14:textId="77777777" w:rsidR="00081B54" w:rsidRPr="00081B54" w:rsidRDefault="00081B54" w:rsidP="00330E66">
      <w:pPr>
        <w:rPr>
          <w:rFonts w:cstheme="minorHAnsi"/>
          <w:color w:val="000000" w:themeColor="text1"/>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2693"/>
        <w:gridCol w:w="2694"/>
      </w:tblGrid>
      <w:tr w:rsidR="00C028D1" w:rsidRPr="002017C6" w14:paraId="47C36567" w14:textId="77777777" w:rsidTr="003070DB">
        <w:trPr>
          <w:trHeight w:val="300"/>
        </w:trPr>
        <w:tc>
          <w:tcPr>
            <w:tcW w:w="4106" w:type="dxa"/>
            <w:shd w:val="clear" w:color="auto" w:fill="auto"/>
            <w:vAlign w:val="bottom"/>
            <w:hideMark/>
          </w:tcPr>
          <w:p w14:paraId="39750FE3" w14:textId="77777777" w:rsidR="00C028D1" w:rsidRPr="00371AEE" w:rsidRDefault="00C028D1" w:rsidP="003070DB">
            <w:pPr>
              <w:spacing w:after="0" w:line="240" w:lineRule="auto"/>
              <w:rPr>
                <w:rFonts w:ascii="Calibri" w:eastAsia="Times New Roman" w:hAnsi="Calibri" w:cs="Times New Roman"/>
                <w:b/>
                <w:bCs/>
                <w:color w:val="000000"/>
                <w:lang w:eastAsia="en-NZ"/>
              </w:rPr>
            </w:pPr>
            <w:r w:rsidRPr="00371AEE">
              <w:rPr>
                <w:rFonts w:ascii="Calibri" w:eastAsia="Times New Roman" w:hAnsi="Calibri" w:cs="Times New Roman"/>
                <w:b/>
                <w:bCs/>
                <w:color w:val="000000"/>
                <w:lang w:eastAsia="en-NZ"/>
              </w:rPr>
              <w:t>Type of application</w:t>
            </w:r>
          </w:p>
        </w:tc>
        <w:tc>
          <w:tcPr>
            <w:tcW w:w="2693" w:type="dxa"/>
            <w:shd w:val="clear" w:color="auto" w:fill="auto"/>
            <w:noWrap/>
            <w:vAlign w:val="bottom"/>
            <w:hideMark/>
          </w:tcPr>
          <w:p w14:paraId="5AEF3C8C" w14:textId="77777777" w:rsidR="00C028D1" w:rsidRPr="00371AEE" w:rsidRDefault="00C028D1" w:rsidP="003070DB">
            <w:pPr>
              <w:spacing w:after="0" w:line="240" w:lineRule="auto"/>
              <w:rPr>
                <w:rFonts w:ascii="Calibri" w:eastAsia="Times New Roman" w:hAnsi="Calibri" w:cs="Times New Roman"/>
                <w:b/>
                <w:bCs/>
                <w:color w:val="000000"/>
                <w:lang w:eastAsia="en-NZ"/>
              </w:rPr>
            </w:pPr>
            <w:r w:rsidRPr="00371AEE">
              <w:rPr>
                <w:rFonts w:ascii="Calibri" w:eastAsia="Times New Roman" w:hAnsi="Calibri" w:cs="Times New Roman"/>
                <w:b/>
                <w:bCs/>
                <w:color w:val="000000"/>
                <w:lang w:eastAsia="en-NZ"/>
              </w:rPr>
              <w:t>Old fee ($)</w:t>
            </w:r>
          </w:p>
        </w:tc>
        <w:tc>
          <w:tcPr>
            <w:tcW w:w="2694" w:type="dxa"/>
            <w:shd w:val="clear" w:color="auto" w:fill="auto"/>
            <w:noWrap/>
            <w:vAlign w:val="bottom"/>
            <w:hideMark/>
          </w:tcPr>
          <w:p w14:paraId="26F2B2D5" w14:textId="77777777" w:rsidR="00C028D1" w:rsidRPr="00371AEE" w:rsidRDefault="00C028D1" w:rsidP="003070DB">
            <w:pPr>
              <w:spacing w:after="0" w:line="240" w:lineRule="auto"/>
              <w:rPr>
                <w:rFonts w:ascii="Calibri" w:eastAsia="Times New Roman" w:hAnsi="Calibri" w:cs="Times New Roman"/>
                <w:b/>
                <w:bCs/>
                <w:color w:val="000000"/>
                <w:lang w:eastAsia="en-NZ"/>
              </w:rPr>
            </w:pPr>
            <w:r w:rsidRPr="00371AEE">
              <w:rPr>
                <w:rFonts w:ascii="Calibri" w:eastAsia="Times New Roman" w:hAnsi="Calibri" w:cs="Times New Roman"/>
                <w:b/>
                <w:bCs/>
                <w:color w:val="000000"/>
                <w:lang w:eastAsia="en-NZ"/>
              </w:rPr>
              <w:t>New fee ($)</w:t>
            </w:r>
          </w:p>
        </w:tc>
      </w:tr>
      <w:tr w:rsidR="00C028D1" w:rsidRPr="002017C6" w14:paraId="37536E14" w14:textId="77777777" w:rsidTr="003070DB">
        <w:trPr>
          <w:trHeight w:val="900"/>
        </w:trPr>
        <w:tc>
          <w:tcPr>
            <w:tcW w:w="4106" w:type="dxa"/>
            <w:shd w:val="clear" w:color="auto" w:fill="auto"/>
            <w:vAlign w:val="bottom"/>
            <w:hideMark/>
          </w:tcPr>
          <w:p w14:paraId="2E15F9F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New higher-risk medicine containing one or more new active substances</w:t>
            </w:r>
          </w:p>
        </w:tc>
        <w:tc>
          <w:tcPr>
            <w:tcW w:w="2693" w:type="dxa"/>
            <w:shd w:val="clear" w:color="auto" w:fill="auto"/>
            <w:noWrap/>
            <w:vAlign w:val="bottom"/>
            <w:hideMark/>
          </w:tcPr>
          <w:p w14:paraId="1C23082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102,210</w:t>
            </w:r>
          </w:p>
        </w:tc>
        <w:tc>
          <w:tcPr>
            <w:tcW w:w="2694" w:type="dxa"/>
            <w:shd w:val="clear" w:color="auto" w:fill="auto"/>
            <w:noWrap/>
            <w:vAlign w:val="bottom"/>
            <w:hideMark/>
          </w:tcPr>
          <w:p w14:paraId="06FD1D2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106</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50</w:t>
            </w:r>
            <w:r>
              <w:rPr>
                <w:rFonts w:ascii="Calibri" w:eastAsia="Times New Roman" w:hAnsi="Calibri" w:cs="Times New Roman"/>
                <w:color w:val="000000"/>
                <w:lang w:eastAsia="en-NZ"/>
              </w:rPr>
              <w:t>3</w:t>
            </w:r>
          </w:p>
        </w:tc>
      </w:tr>
      <w:tr w:rsidR="00C028D1" w:rsidRPr="008E3730" w14:paraId="70B95F20" w14:textId="77777777" w:rsidTr="003070DB">
        <w:trPr>
          <w:trHeight w:val="600"/>
        </w:trPr>
        <w:tc>
          <w:tcPr>
            <w:tcW w:w="4106" w:type="dxa"/>
            <w:shd w:val="clear" w:color="auto" w:fill="auto"/>
            <w:vAlign w:val="bottom"/>
            <w:hideMark/>
          </w:tcPr>
          <w:p w14:paraId="16B2CF1C"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Any other new higher-risk medicine (including biosimilars)</w:t>
            </w:r>
          </w:p>
        </w:tc>
        <w:tc>
          <w:tcPr>
            <w:tcW w:w="2693" w:type="dxa"/>
            <w:shd w:val="clear" w:color="auto" w:fill="auto"/>
            <w:noWrap/>
            <w:vAlign w:val="bottom"/>
            <w:hideMark/>
          </w:tcPr>
          <w:p w14:paraId="64C0107A"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43,875</w:t>
            </w:r>
          </w:p>
        </w:tc>
        <w:tc>
          <w:tcPr>
            <w:tcW w:w="2694" w:type="dxa"/>
            <w:shd w:val="clear" w:color="auto" w:fill="auto"/>
            <w:noWrap/>
            <w:vAlign w:val="bottom"/>
            <w:hideMark/>
          </w:tcPr>
          <w:p w14:paraId="37451813"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79,877</w:t>
            </w:r>
          </w:p>
        </w:tc>
      </w:tr>
      <w:tr w:rsidR="00C028D1" w:rsidRPr="008E3730" w14:paraId="334AE983" w14:textId="77777777" w:rsidTr="003070DB">
        <w:trPr>
          <w:trHeight w:val="600"/>
        </w:trPr>
        <w:tc>
          <w:tcPr>
            <w:tcW w:w="4106" w:type="dxa"/>
            <w:shd w:val="clear" w:color="auto" w:fill="auto"/>
            <w:vAlign w:val="bottom"/>
            <w:hideMark/>
          </w:tcPr>
          <w:p w14:paraId="128340BE"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New intermediate-risk medicine – prescription medicine</w:t>
            </w:r>
          </w:p>
        </w:tc>
        <w:tc>
          <w:tcPr>
            <w:tcW w:w="2693" w:type="dxa"/>
            <w:shd w:val="clear" w:color="auto" w:fill="auto"/>
            <w:noWrap/>
            <w:vAlign w:val="bottom"/>
            <w:hideMark/>
          </w:tcPr>
          <w:p w14:paraId="50578513"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43,875</w:t>
            </w:r>
          </w:p>
        </w:tc>
        <w:tc>
          <w:tcPr>
            <w:tcW w:w="2694" w:type="dxa"/>
            <w:shd w:val="clear" w:color="auto" w:fill="auto"/>
            <w:noWrap/>
            <w:vAlign w:val="bottom"/>
            <w:hideMark/>
          </w:tcPr>
          <w:p w14:paraId="489911C1"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53,252</w:t>
            </w:r>
          </w:p>
        </w:tc>
      </w:tr>
      <w:tr w:rsidR="00C028D1" w:rsidRPr="002017C6" w14:paraId="1D9AD369" w14:textId="77777777" w:rsidTr="003070DB">
        <w:trPr>
          <w:trHeight w:val="600"/>
        </w:trPr>
        <w:tc>
          <w:tcPr>
            <w:tcW w:w="4106" w:type="dxa"/>
            <w:shd w:val="clear" w:color="auto" w:fill="auto"/>
            <w:vAlign w:val="bottom"/>
            <w:hideMark/>
          </w:tcPr>
          <w:p w14:paraId="5BED1C9B"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New intermediate-risk medicine – non-prescription medicine  </w:t>
            </w:r>
          </w:p>
        </w:tc>
        <w:tc>
          <w:tcPr>
            <w:tcW w:w="2693" w:type="dxa"/>
            <w:shd w:val="clear" w:color="auto" w:fill="auto"/>
            <w:noWrap/>
            <w:vAlign w:val="bottom"/>
            <w:hideMark/>
          </w:tcPr>
          <w:p w14:paraId="326F543B"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10,220</w:t>
            </w:r>
          </w:p>
        </w:tc>
        <w:tc>
          <w:tcPr>
            <w:tcW w:w="2694" w:type="dxa"/>
            <w:shd w:val="clear" w:color="auto" w:fill="auto"/>
            <w:noWrap/>
            <w:vAlign w:val="bottom"/>
            <w:hideMark/>
          </w:tcPr>
          <w:p w14:paraId="73FF20D0" w14:textId="77777777" w:rsidR="00C028D1" w:rsidRPr="008E3730" w:rsidRDefault="00C028D1" w:rsidP="003070DB">
            <w:pPr>
              <w:spacing w:after="0" w:line="240" w:lineRule="auto"/>
              <w:jc w:val="right"/>
              <w:rPr>
                <w:rFonts w:ascii="Calibri" w:eastAsia="Times New Roman" w:hAnsi="Calibri" w:cs="Times New Roman"/>
                <w:color w:val="000000"/>
                <w:lang w:eastAsia="en-NZ"/>
              </w:rPr>
            </w:pPr>
            <w:r w:rsidRPr="008E3730">
              <w:rPr>
                <w:rFonts w:ascii="Calibri" w:eastAsia="Times New Roman" w:hAnsi="Calibri" w:cs="Times New Roman"/>
                <w:color w:val="000000"/>
                <w:highlight w:val="yellow"/>
                <w:lang w:eastAsia="en-NZ"/>
              </w:rPr>
              <w:t>26,626</w:t>
            </w:r>
          </w:p>
        </w:tc>
      </w:tr>
      <w:tr w:rsidR="00C028D1" w:rsidRPr="002017C6" w14:paraId="7592A58D" w14:textId="77777777" w:rsidTr="003070DB">
        <w:trPr>
          <w:trHeight w:val="300"/>
        </w:trPr>
        <w:tc>
          <w:tcPr>
            <w:tcW w:w="4106" w:type="dxa"/>
            <w:shd w:val="clear" w:color="auto" w:fill="auto"/>
            <w:vAlign w:val="bottom"/>
            <w:hideMark/>
          </w:tcPr>
          <w:p w14:paraId="57AD22C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New lower-risk medicine </w:t>
            </w:r>
          </w:p>
        </w:tc>
        <w:tc>
          <w:tcPr>
            <w:tcW w:w="2693" w:type="dxa"/>
            <w:shd w:val="clear" w:color="auto" w:fill="auto"/>
            <w:noWrap/>
            <w:vAlign w:val="bottom"/>
            <w:hideMark/>
          </w:tcPr>
          <w:p w14:paraId="281B4E7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10,220</w:t>
            </w:r>
          </w:p>
        </w:tc>
        <w:tc>
          <w:tcPr>
            <w:tcW w:w="2694" w:type="dxa"/>
            <w:shd w:val="clear" w:color="auto" w:fill="auto"/>
            <w:noWrap/>
            <w:vAlign w:val="bottom"/>
            <w:hideMark/>
          </w:tcPr>
          <w:p w14:paraId="3A9EB500" w14:textId="77777777" w:rsidR="00C028D1" w:rsidRPr="008E3730" w:rsidRDefault="00C028D1" w:rsidP="003070DB">
            <w:pPr>
              <w:spacing w:after="0" w:line="240" w:lineRule="auto"/>
              <w:jc w:val="right"/>
              <w:rPr>
                <w:rFonts w:ascii="Calibri" w:eastAsia="Times New Roman" w:hAnsi="Calibri" w:cs="Times New Roman"/>
                <w:color w:val="000000"/>
                <w:lang w:eastAsia="en-NZ"/>
              </w:rPr>
            </w:pPr>
            <w:r w:rsidRPr="008E3730">
              <w:rPr>
                <w:rFonts w:ascii="Calibri" w:eastAsia="Times New Roman" w:hAnsi="Calibri" w:cs="Times New Roman"/>
                <w:color w:val="000000"/>
                <w:lang w:eastAsia="en-NZ"/>
              </w:rPr>
              <w:t>10,649</w:t>
            </w:r>
          </w:p>
        </w:tc>
      </w:tr>
      <w:tr w:rsidR="00C028D1" w:rsidRPr="008E3730" w14:paraId="29CFF0E2" w14:textId="77777777" w:rsidTr="003070DB">
        <w:trPr>
          <w:trHeight w:val="600"/>
        </w:trPr>
        <w:tc>
          <w:tcPr>
            <w:tcW w:w="4106" w:type="dxa"/>
            <w:shd w:val="clear" w:color="auto" w:fill="auto"/>
            <w:vAlign w:val="bottom"/>
            <w:hideMark/>
          </w:tcPr>
          <w:p w14:paraId="15E60949"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Additional dose form – higher-risk medicine – Grade 1 or 2</w:t>
            </w:r>
          </w:p>
        </w:tc>
        <w:tc>
          <w:tcPr>
            <w:tcW w:w="2693" w:type="dxa"/>
            <w:shd w:val="clear" w:color="auto" w:fill="auto"/>
            <w:noWrap/>
            <w:vAlign w:val="bottom"/>
            <w:hideMark/>
          </w:tcPr>
          <w:p w14:paraId="34FF0120"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43,875</w:t>
            </w:r>
          </w:p>
        </w:tc>
        <w:tc>
          <w:tcPr>
            <w:tcW w:w="2694" w:type="dxa"/>
            <w:shd w:val="clear" w:color="auto" w:fill="auto"/>
            <w:noWrap/>
            <w:vAlign w:val="bottom"/>
            <w:hideMark/>
          </w:tcPr>
          <w:p w14:paraId="35DAE6AB"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53,252</w:t>
            </w:r>
          </w:p>
        </w:tc>
      </w:tr>
      <w:tr w:rsidR="00C028D1" w:rsidRPr="008E3730" w14:paraId="069BAAE3" w14:textId="77777777" w:rsidTr="003070DB">
        <w:trPr>
          <w:trHeight w:val="900"/>
        </w:trPr>
        <w:tc>
          <w:tcPr>
            <w:tcW w:w="4106" w:type="dxa"/>
            <w:shd w:val="clear" w:color="auto" w:fill="auto"/>
            <w:vAlign w:val="bottom"/>
            <w:hideMark/>
          </w:tcPr>
          <w:p w14:paraId="2958E1E0"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dose form – intermediate-risk prescription medicine – Grade 1 or 2 </w:t>
            </w:r>
          </w:p>
        </w:tc>
        <w:tc>
          <w:tcPr>
            <w:tcW w:w="2693" w:type="dxa"/>
            <w:shd w:val="clear" w:color="auto" w:fill="auto"/>
            <w:noWrap/>
            <w:vAlign w:val="bottom"/>
            <w:hideMark/>
          </w:tcPr>
          <w:p w14:paraId="51DE04B2"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43,875</w:t>
            </w:r>
          </w:p>
        </w:tc>
        <w:tc>
          <w:tcPr>
            <w:tcW w:w="2694" w:type="dxa"/>
            <w:shd w:val="clear" w:color="auto" w:fill="auto"/>
            <w:noWrap/>
            <w:vAlign w:val="bottom"/>
            <w:hideMark/>
          </w:tcPr>
          <w:p w14:paraId="4D6714F4"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53,252</w:t>
            </w:r>
          </w:p>
        </w:tc>
      </w:tr>
      <w:tr w:rsidR="00C028D1" w:rsidRPr="002017C6" w14:paraId="7F58DC67" w14:textId="77777777" w:rsidTr="003070DB">
        <w:trPr>
          <w:trHeight w:val="1200"/>
        </w:trPr>
        <w:tc>
          <w:tcPr>
            <w:tcW w:w="4106" w:type="dxa"/>
            <w:shd w:val="clear" w:color="auto" w:fill="auto"/>
            <w:vAlign w:val="bottom"/>
            <w:hideMark/>
          </w:tcPr>
          <w:p w14:paraId="1CF77C91"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dose form – intermediate-risk non-prescription medicine – Grade 1 or 2 </w:t>
            </w:r>
          </w:p>
        </w:tc>
        <w:tc>
          <w:tcPr>
            <w:tcW w:w="2693" w:type="dxa"/>
            <w:shd w:val="clear" w:color="auto" w:fill="auto"/>
            <w:noWrap/>
            <w:vAlign w:val="bottom"/>
            <w:hideMark/>
          </w:tcPr>
          <w:p w14:paraId="5D727FB2"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10,220</w:t>
            </w:r>
          </w:p>
        </w:tc>
        <w:tc>
          <w:tcPr>
            <w:tcW w:w="2694" w:type="dxa"/>
            <w:shd w:val="clear" w:color="auto" w:fill="auto"/>
            <w:noWrap/>
            <w:vAlign w:val="bottom"/>
            <w:hideMark/>
          </w:tcPr>
          <w:p w14:paraId="0C99B246" w14:textId="77777777" w:rsidR="00C028D1" w:rsidRPr="008E3730" w:rsidRDefault="00C028D1" w:rsidP="003070DB">
            <w:pPr>
              <w:spacing w:after="0" w:line="240" w:lineRule="auto"/>
              <w:jc w:val="right"/>
              <w:rPr>
                <w:rFonts w:ascii="Calibri" w:eastAsia="Times New Roman" w:hAnsi="Calibri" w:cs="Times New Roman"/>
                <w:color w:val="000000"/>
                <w:lang w:eastAsia="en-NZ"/>
              </w:rPr>
            </w:pPr>
            <w:r w:rsidRPr="008E3730">
              <w:rPr>
                <w:rFonts w:ascii="Calibri" w:eastAsia="Times New Roman" w:hAnsi="Calibri" w:cs="Times New Roman"/>
                <w:color w:val="000000"/>
                <w:highlight w:val="yellow"/>
                <w:lang w:eastAsia="en-NZ"/>
              </w:rPr>
              <w:t>26,626</w:t>
            </w:r>
          </w:p>
        </w:tc>
      </w:tr>
      <w:tr w:rsidR="00C028D1" w:rsidRPr="002017C6" w14:paraId="4A100544" w14:textId="77777777" w:rsidTr="003070DB">
        <w:trPr>
          <w:trHeight w:val="600"/>
        </w:trPr>
        <w:tc>
          <w:tcPr>
            <w:tcW w:w="4106" w:type="dxa"/>
            <w:shd w:val="clear" w:color="auto" w:fill="auto"/>
            <w:vAlign w:val="bottom"/>
            <w:hideMark/>
          </w:tcPr>
          <w:p w14:paraId="0F0C455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dose form – lower-risk medicine – Grade 1 or 2 </w:t>
            </w:r>
          </w:p>
        </w:tc>
        <w:tc>
          <w:tcPr>
            <w:tcW w:w="2693" w:type="dxa"/>
            <w:shd w:val="clear" w:color="auto" w:fill="auto"/>
            <w:noWrap/>
            <w:vAlign w:val="bottom"/>
            <w:hideMark/>
          </w:tcPr>
          <w:p w14:paraId="64CDFAF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10,220</w:t>
            </w:r>
          </w:p>
        </w:tc>
        <w:tc>
          <w:tcPr>
            <w:tcW w:w="2694" w:type="dxa"/>
            <w:shd w:val="clear" w:color="auto" w:fill="auto"/>
            <w:noWrap/>
            <w:vAlign w:val="bottom"/>
            <w:hideMark/>
          </w:tcPr>
          <w:p w14:paraId="4D22C5ED" w14:textId="77777777" w:rsidR="00C028D1" w:rsidRPr="008E3730" w:rsidRDefault="00C028D1" w:rsidP="003070DB">
            <w:pPr>
              <w:spacing w:after="0" w:line="240" w:lineRule="auto"/>
              <w:jc w:val="right"/>
              <w:rPr>
                <w:rFonts w:ascii="Calibri" w:eastAsia="Times New Roman" w:hAnsi="Calibri" w:cs="Times New Roman"/>
                <w:color w:val="000000"/>
                <w:lang w:eastAsia="en-NZ"/>
              </w:rPr>
            </w:pPr>
            <w:r w:rsidRPr="008E3730">
              <w:rPr>
                <w:rFonts w:ascii="Calibri" w:eastAsia="Times New Roman" w:hAnsi="Calibri" w:cs="Times New Roman"/>
                <w:color w:val="000000"/>
                <w:lang w:eastAsia="en-NZ"/>
              </w:rPr>
              <w:t>10,649</w:t>
            </w:r>
          </w:p>
        </w:tc>
      </w:tr>
      <w:tr w:rsidR="00C028D1" w:rsidRPr="002017C6" w14:paraId="0DB3A499" w14:textId="77777777" w:rsidTr="003070DB">
        <w:trPr>
          <w:trHeight w:val="900"/>
        </w:trPr>
        <w:tc>
          <w:tcPr>
            <w:tcW w:w="4106" w:type="dxa"/>
            <w:shd w:val="clear" w:color="auto" w:fill="auto"/>
            <w:vAlign w:val="bottom"/>
            <w:hideMark/>
          </w:tcPr>
          <w:p w14:paraId="63A6D85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New combination pack containing two or more currently approved products </w:t>
            </w:r>
          </w:p>
        </w:tc>
        <w:tc>
          <w:tcPr>
            <w:tcW w:w="2693" w:type="dxa"/>
            <w:shd w:val="clear" w:color="auto" w:fill="auto"/>
            <w:noWrap/>
            <w:vAlign w:val="bottom"/>
            <w:hideMark/>
          </w:tcPr>
          <w:p w14:paraId="12C59AB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3,680</w:t>
            </w:r>
          </w:p>
        </w:tc>
        <w:tc>
          <w:tcPr>
            <w:tcW w:w="2694" w:type="dxa"/>
            <w:shd w:val="clear" w:color="auto" w:fill="auto"/>
            <w:noWrap/>
            <w:vAlign w:val="bottom"/>
            <w:hideMark/>
          </w:tcPr>
          <w:p w14:paraId="41CDC2B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835</w:t>
            </w:r>
          </w:p>
        </w:tc>
      </w:tr>
      <w:tr w:rsidR="00C028D1" w:rsidRPr="008E3730" w14:paraId="713E091D" w14:textId="77777777" w:rsidTr="003070DB">
        <w:trPr>
          <w:trHeight w:val="900"/>
        </w:trPr>
        <w:tc>
          <w:tcPr>
            <w:tcW w:w="4106" w:type="dxa"/>
            <w:shd w:val="clear" w:color="auto" w:fill="auto"/>
            <w:vAlign w:val="bottom"/>
            <w:hideMark/>
          </w:tcPr>
          <w:p w14:paraId="3FBE4B50" w14:textId="77777777" w:rsidR="00C028D1" w:rsidRPr="008E3730" w:rsidRDefault="00C028D1" w:rsidP="003070DB">
            <w:pPr>
              <w:spacing w:after="0" w:line="240" w:lineRule="auto"/>
              <w:rPr>
                <w:rFonts w:ascii="Calibri" w:eastAsia="Times New Roman" w:hAnsi="Calibri" w:cs="Times New Roman"/>
                <w:b/>
                <w:bCs/>
                <w:i/>
                <w:iCs/>
                <w:color w:val="000000"/>
                <w:highlight w:val="yellow"/>
                <w:lang w:eastAsia="en-NZ"/>
              </w:rPr>
            </w:pPr>
            <w:r w:rsidRPr="008E3730">
              <w:rPr>
                <w:rFonts w:ascii="Calibri" w:eastAsia="Times New Roman" w:hAnsi="Calibri" w:cs="Times New Roman"/>
                <w:b/>
                <w:bCs/>
                <w:i/>
                <w:iCs/>
                <w:color w:val="000000"/>
                <w:highlight w:val="yellow"/>
                <w:lang w:eastAsia="en-NZ"/>
              </w:rPr>
              <w:t xml:space="preserve">The following fees apply when the additions are notified at the </w:t>
            </w:r>
            <w:r w:rsidRPr="008E3730">
              <w:rPr>
                <w:rFonts w:ascii="Calibri" w:eastAsia="Times New Roman" w:hAnsi="Calibri" w:cs="Times New Roman"/>
                <w:b/>
                <w:bCs/>
                <w:i/>
                <w:iCs/>
                <w:color w:val="000000"/>
                <w:highlight w:val="yellow"/>
                <w:u w:val="single"/>
                <w:lang w:eastAsia="en-NZ"/>
              </w:rPr>
              <w:t>same time</w:t>
            </w:r>
            <w:r w:rsidRPr="008E3730">
              <w:rPr>
                <w:rFonts w:ascii="Calibri" w:eastAsia="Times New Roman" w:hAnsi="Calibri" w:cs="Times New Roman"/>
                <w:b/>
                <w:bCs/>
                <w:i/>
                <w:iCs/>
                <w:color w:val="000000"/>
                <w:highlight w:val="yellow"/>
                <w:lang w:eastAsia="en-NZ"/>
              </w:rPr>
              <w:t xml:space="preserve"> as the parent application</w:t>
            </w:r>
          </w:p>
        </w:tc>
        <w:tc>
          <w:tcPr>
            <w:tcW w:w="2693" w:type="dxa"/>
            <w:shd w:val="clear" w:color="auto" w:fill="auto"/>
            <w:noWrap/>
            <w:vAlign w:val="bottom"/>
            <w:hideMark/>
          </w:tcPr>
          <w:p w14:paraId="025C0BB7"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p>
        </w:tc>
        <w:tc>
          <w:tcPr>
            <w:tcW w:w="2694" w:type="dxa"/>
            <w:shd w:val="clear" w:color="auto" w:fill="auto"/>
            <w:noWrap/>
            <w:vAlign w:val="bottom"/>
            <w:hideMark/>
          </w:tcPr>
          <w:p w14:paraId="203A222E" w14:textId="77777777" w:rsidR="00C028D1" w:rsidRPr="008E3730" w:rsidRDefault="00C028D1" w:rsidP="003070DB">
            <w:pPr>
              <w:spacing w:after="0" w:line="240" w:lineRule="auto"/>
              <w:rPr>
                <w:rFonts w:ascii="Times New Roman" w:eastAsia="Times New Roman" w:hAnsi="Times New Roman" w:cs="Times New Roman"/>
                <w:sz w:val="20"/>
                <w:szCs w:val="20"/>
                <w:highlight w:val="yellow"/>
                <w:lang w:eastAsia="en-NZ"/>
              </w:rPr>
            </w:pPr>
          </w:p>
        </w:tc>
      </w:tr>
      <w:tr w:rsidR="00C028D1" w:rsidRPr="008E3730" w14:paraId="2D673EE3" w14:textId="77777777" w:rsidTr="003070DB">
        <w:trPr>
          <w:trHeight w:val="300"/>
        </w:trPr>
        <w:tc>
          <w:tcPr>
            <w:tcW w:w="4106" w:type="dxa"/>
            <w:shd w:val="clear" w:color="auto" w:fill="auto"/>
            <w:vAlign w:val="bottom"/>
            <w:hideMark/>
          </w:tcPr>
          <w:p w14:paraId="73F09C89"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name − Grade 1 </w:t>
            </w:r>
          </w:p>
        </w:tc>
        <w:tc>
          <w:tcPr>
            <w:tcW w:w="2693" w:type="dxa"/>
            <w:shd w:val="clear" w:color="auto" w:fill="auto"/>
            <w:noWrap/>
            <w:vAlign w:val="bottom"/>
            <w:hideMark/>
          </w:tcPr>
          <w:p w14:paraId="70B22F79"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7ED430F6"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432</w:t>
            </w:r>
          </w:p>
        </w:tc>
      </w:tr>
      <w:tr w:rsidR="00C028D1" w:rsidRPr="008E3730" w14:paraId="5D4D8C83" w14:textId="77777777" w:rsidTr="003070DB">
        <w:trPr>
          <w:trHeight w:val="300"/>
        </w:trPr>
        <w:tc>
          <w:tcPr>
            <w:tcW w:w="4106" w:type="dxa"/>
            <w:shd w:val="clear" w:color="auto" w:fill="auto"/>
            <w:vAlign w:val="bottom"/>
            <w:hideMark/>
          </w:tcPr>
          <w:p w14:paraId="6CE44522"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name − Grade 2 </w:t>
            </w:r>
          </w:p>
        </w:tc>
        <w:tc>
          <w:tcPr>
            <w:tcW w:w="2693" w:type="dxa"/>
            <w:shd w:val="clear" w:color="auto" w:fill="auto"/>
            <w:noWrap/>
            <w:vAlign w:val="bottom"/>
          </w:tcPr>
          <w:p w14:paraId="0C3D0BD0"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1CFAD1C1"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865</w:t>
            </w:r>
          </w:p>
        </w:tc>
      </w:tr>
      <w:tr w:rsidR="00C028D1" w:rsidRPr="008E3730" w14:paraId="7FF4169B" w14:textId="77777777" w:rsidTr="003070DB">
        <w:trPr>
          <w:trHeight w:val="600"/>
        </w:trPr>
        <w:tc>
          <w:tcPr>
            <w:tcW w:w="4106" w:type="dxa"/>
            <w:shd w:val="clear" w:color="auto" w:fill="auto"/>
            <w:vAlign w:val="bottom"/>
            <w:hideMark/>
          </w:tcPr>
          <w:p w14:paraId="03146EA9"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classification (with/without new name) </w:t>
            </w:r>
          </w:p>
        </w:tc>
        <w:tc>
          <w:tcPr>
            <w:tcW w:w="2693" w:type="dxa"/>
            <w:shd w:val="clear" w:color="auto" w:fill="auto"/>
            <w:noWrap/>
            <w:vAlign w:val="bottom"/>
          </w:tcPr>
          <w:p w14:paraId="41E6008B"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2FAFA25A"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432</w:t>
            </w:r>
          </w:p>
        </w:tc>
      </w:tr>
      <w:tr w:rsidR="00C028D1" w:rsidRPr="008E3730" w14:paraId="0E73F807" w14:textId="77777777" w:rsidTr="003070DB">
        <w:trPr>
          <w:trHeight w:val="300"/>
        </w:trPr>
        <w:tc>
          <w:tcPr>
            <w:tcW w:w="4106" w:type="dxa"/>
            <w:shd w:val="clear" w:color="auto" w:fill="auto"/>
            <w:vAlign w:val="bottom"/>
            <w:hideMark/>
          </w:tcPr>
          <w:p w14:paraId="52143630"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strength − Grade 1 </w:t>
            </w:r>
          </w:p>
        </w:tc>
        <w:tc>
          <w:tcPr>
            <w:tcW w:w="2693" w:type="dxa"/>
            <w:shd w:val="clear" w:color="auto" w:fill="auto"/>
            <w:noWrap/>
            <w:vAlign w:val="bottom"/>
          </w:tcPr>
          <w:p w14:paraId="6C6FAF45"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13A3D01F"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1,298</w:t>
            </w:r>
          </w:p>
        </w:tc>
      </w:tr>
      <w:tr w:rsidR="00C028D1" w:rsidRPr="008E3730" w14:paraId="05E4FB47" w14:textId="77777777" w:rsidTr="003070DB">
        <w:trPr>
          <w:trHeight w:val="300"/>
        </w:trPr>
        <w:tc>
          <w:tcPr>
            <w:tcW w:w="4106" w:type="dxa"/>
            <w:shd w:val="clear" w:color="auto" w:fill="auto"/>
            <w:vAlign w:val="bottom"/>
            <w:hideMark/>
          </w:tcPr>
          <w:p w14:paraId="11FED1F4"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strength − Grade 2 </w:t>
            </w:r>
          </w:p>
        </w:tc>
        <w:tc>
          <w:tcPr>
            <w:tcW w:w="2693" w:type="dxa"/>
            <w:shd w:val="clear" w:color="auto" w:fill="auto"/>
            <w:noWrap/>
            <w:vAlign w:val="bottom"/>
          </w:tcPr>
          <w:p w14:paraId="77C933F6"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7CDB58A7"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1,730</w:t>
            </w:r>
          </w:p>
        </w:tc>
      </w:tr>
      <w:tr w:rsidR="00C028D1" w:rsidRPr="008E3730" w14:paraId="0B580A40" w14:textId="77777777" w:rsidTr="003070DB">
        <w:trPr>
          <w:trHeight w:val="300"/>
        </w:trPr>
        <w:tc>
          <w:tcPr>
            <w:tcW w:w="4106" w:type="dxa"/>
            <w:shd w:val="clear" w:color="auto" w:fill="auto"/>
            <w:vAlign w:val="bottom"/>
            <w:hideMark/>
          </w:tcPr>
          <w:p w14:paraId="3C8888F7"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strength − Grade 3 </w:t>
            </w:r>
          </w:p>
        </w:tc>
        <w:tc>
          <w:tcPr>
            <w:tcW w:w="2693" w:type="dxa"/>
            <w:shd w:val="clear" w:color="auto" w:fill="auto"/>
            <w:noWrap/>
            <w:vAlign w:val="bottom"/>
          </w:tcPr>
          <w:p w14:paraId="5CFB5215"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3088CE1D"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3,460</w:t>
            </w:r>
          </w:p>
        </w:tc>
      </w:tr>
      <w:tr w:rsidR="00C028D1" w:rsidRPr="008E3730" w14:paraId="3046CD4D" w14:textId="77777777" w:rsidTr="003070DB">
        <w:trPr>
          <w:trHeight w:val="300"/>
        </w:trPr>
        <w:tc>
          <w:tcPr>
            <w:tcW w:w="4106" w:type="dxa"/>
            <w:shd w:val="clear" w:color="auto" w:fill="auto"/>
            <w:vAlign w:val="bottom"/>
            <w:hideMark/>
          </w:tcPr>
          <w:p w14:paraId="4B8DF950"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strength − Grade 4 </w:t>
            </w:r>
          </w:p>
        </w:tc>
        <w:tc>
          <w:tcPr>
            <w:tcW w:w="2693" w:type="dxa"/>
            <w:shd w:val="clear" w:color="auto" w:fill="auto"/>
            <w:noWrap/>
            <w:vAlign w:val="bottom"/>
          </w:tcPr>
          <w:p w14:paraId="20A25785"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0F043A8C"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10,785</w:t>
            </w:r>
          </w:p>
        </w:tc>
      </w:tr>
      <w:tr w:rsidR="00C028D1" w:rsidRPr="008E3730" w14:paraId="41EB79BF" w14:textId="77777777" w:rsidTr="003070DB">
        <w:trPr>
          <w:trHeight w:val="300"/>
        </w:trPr>
        <w:tc>
          <w:tcPr>
            <w:tcW w:w="4106" w:type="dxa"/>
            <w:shd w:val="clear" w:color="auto" w:fill="auto"/>
            <w:vAlign w:val="bottom"/>
            <w:hideMark/>
          </w:tcPr>
          <w:p w14:paraId="273EBE8B"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strength − Grade 4 </w:t>
            </w:r>
          </w:p>
        </w:tc>
        <w:tc>
          <w:tcPr>
            <w:tcW w:w="2693" w:type="dxa"/>
            <w:shd w:val="clear" w:color="auto" w:fill="auto"/>
            <w:noWrap/>
            <w:vAlign w:val="bottom"/>
          </w:tcPr>
          <w:p w14:paraId="2D209D7C"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5746605B"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10,785</w:t>
            </w:r>
          </w:p>
        </w:tc>
      </w:tr>
      <w:tr w:rsidR="00C028D1" w:rsidRPr="008E3730" w14:paraId="3B7FAC88" w14:textId="77777777" w:rsidTr="003070DB">
        <w:trPr>
          <w:trHeight w:val="300"/>
        </w:trPr>
        <w:tc>
          <w:tcPr>
            <w:tcW w:w="4106" w:type="dxa"/>
            <w:shd w:val="clear" w:color="auto" w:fill="auto"/>
            <w:vAlign w:val="bottom"/>
            <w:hideMark/>
          </w:tcPr>
          <w:p w14:paraId="01AA6371"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Additional strength − Grade 5 </w:t>
            </w:r>
          </w:p>
        </w:tc>
        <w:tc>
          <w:tcPr>
            <w:tcW w:w="2693" w:type="dxa"/>
            <w:shd w:val="clear" w:color="auto" w:fill="auto"/>
            <w:noWrap/>
            <w:vAlign w:val="bottom"/>
          </w:tcPr>
          <w:p w14:paraId="00B58B5F"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4FB05A29"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16,177</w:t>
            </w:r>
          </w:p>
        </w:tc>
      </w:tr>
      <w:tr w:rsidR="00C028D1" w:rsidRPr="002017C6" w14:paraId="545BD3FF" w14:textId="77777777" w:rsidTr="003070DB">
        <w:trPr>
          <w:trHeight w:val="600"/>
        </w:trPr>
        <w:tc>
          <w:tcPr>
            <w:tcW w:w="4106" w:type="dxa"/>
            <w:shd w:val="clear" w:color="auto" w:fill="auto"/>
            <w:vAlign w:val="bottom"/>
            <w:hideMark/>
          </w:tcPr>
          <w:p w14:paraId="2C0ABBBE"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lastRenderedPageBreak/>
              <w:t xml:space="preserve">Additional flavour or type of sweetening </w:t>
            </w:r>
          </w:p>
        </w:tc>
        <w:tc>
          <w:tcPr>
            <w:tcW w:w="2693" w:type="dxa"/>
            <w:shd w:val="clear" w:color="auto" w:fill="auto"/>
            <w:noWrap/>
            <w:vAlign w:val="bottom"/>
          </w:tcPr>
          <w:p w14:paraId="32D135CD"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0</w:t>
            </w:r>
          </w:p>
        </w:tc>
        <w:tc>
          <w:tcPr>
            <w:tcW w:w="2694" w:type="dxa"/>
            <w:shd w:val="clear" w:color="auto" w:fill="auto"/>
            <w:noWrap/>
            <w:vAlign w:val="bottom"/>
            <w:hideMark/>
          </w:tcPr>
          <w:p w14:paraId="1F09C1C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8E3730">
              <w:rPr>
                <w:rFonts w:ascii="Calibri" w:eastAsia="Times New Roman" w:hAnsi="Calibri" w:cs="Times New Roman"/>
                <w:color w:val="000000"/>
                <w:highlight w:val="yellow"/>
                <w:lang w:eastAsia="en-NZ"/>
              </w:rPr>
              <w:t>865</w:t>
            </w:r>
          </w:p>
        </w:tc>
      </w:tr>
      <w:tr w:rsidR="00C028D1" w:rsidRPr="002017C6" w14:paraId="138A2DF7" w14:textId="77777777" w:rsidTr="003070DB">
        <w:trPr>
          <w:trHeight w:val="900"/>
        </w:trPr>
        <w:tc>
          <w:tcPr>
            <w:tcW w:w="4106" w:type="dxa"/>
            <w:shd w:val="clear" w:color="auto" w:fill="auto"/>
            <w:vAlign w:val="bottom"/>
            <w:hideMark/>
          </w:tcPr>
          <w:p w14:paraId="61E0BC45" w14:textId="77777777" w:rsidR="00C028D1" w:rsidRPr="00371AEE" w:rsidRDefault="00C028D1" w:rsidP="003070DB">
            <w:pPr>
              <w:spacing w:after="0" w:line="240" w:lineRule="auto"/>
              <w:rPr>
                <w:rFonts w:ascii="Calibri" w:eastAsia="Times New Roman" w:hAnsi="Calibri" w:cs="Times New Roman"/>
                <w:b/>
                <w:bCs/>
                <w:i/>
                <w:iCs/>
                <w:color w:val="000000"/>
                <w:lang w:eastAsia="en-NZ"/>
              </w:rPr>
            </w:pPr>
            <w:r w:rsidRPr="00371AEE">
              <w:rPr>
                <w:rFonts w:ascii="Calibri" w:eastAsia="Times New Roman" w:hAnsi="Calibri" w:cs="Times New Roman"/>
                <w:b/>
                <w:bCs/>
                <w:i/>
                <w:iCs/>
                <w:color w:val="000000"/>
                <w:lang w:eastAsia="en-NZ"/>
              </w:rPr>
              <w:t xml:space="preserve">The following fees apply when the additions are </w:t>
            </w:r>
            <w:proofErr w:type="gramStart"/>
            <w:r w:rsidRPr="00371AEE">
              <w:rPr>
                <w:rFonts w:ascii="Calibri" w:eastAsia="Times New Roman" w:hAnsi="Calibri" w:cs="Times New Roman"/>
                <w:b/>
                <w:bCs/>
                <w:i/>
                <w:iCs/>
                <w:color w:val="000000"/>
                <w:lang w:eastAsia="en-NZ"/>
              </w:rPr>
              <w:t>subsequent to</w:t>
            </w:r>
            <w:proofErr w:type="gramEnd"/>
            <w:r w:rsidRPr="00371AEE">
              <w:rPr>
                <w:rFonts w:ascii="Calibri" w:eastAsia="Times New Roman" w:hAnsi="Calibri" w:cs="Times New Roman"/>
                <w:b/>
                <w:bCs/>
                <w:i/>
                <w:iCs/>
                <w:color w:val="000000"/>
                <w:lang w:eastAsia="en-NZ"/>
              </w:rPr>
              <w:t xml:space="preserve"> the parent application</w:t>
            </w:r>
          </w:p>
        </w:tc>
        <w:tc>
          <w:tcPr>
            <w:tcW w:w="2693" w:type="dxa"/>
            <w:shd w:val="clear" w:color="auto" w:fill="auto"/>
            <w:noWrap/>
            <w:vAlign w:val="bottom"/>
            <w:hideMark/>
          </w:tcPr>
          <w:p w14:paraId="05A38CB8"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6E5A26AA" w14:textId="77777777" w:rsidR="00C028D1" w:rsidRPr="002017C6" w:rsidRDefault="00C028D1" w:rsidP="003070DB">
            <w:pPr>
              <w:spacing w:after="0" w:line="240" w:lineRule="auto"/>
              <w:rPr>
                <w:rFonts w:ascii="Times New Roman" w:eastAsia="Times New Roman" w:hAnsi="Times New Roman" w:cs="Times New Roman"/>
                <w:sz w:val="20"/>
                <w:szCs w:val="20"/>
                <w:lang w:eastAsia="en-NZ"/>
              </w:rPr>
            </w:pPr>
          </w:p>
        </w:tc>
      </w:tr>
      <w:tr w:rsidR="00C028D1" w:rsidRPr="002017C6" w14:paraId="44E91B7E" w14:textId="77777777" w:rsidTr="003070DB">
        <w:trPr>
          <w:trHeight w:val="300"/>
        </w:trPr>
        <w:tc>
          <w:tcPr>
            <w:tcW w:w="4106" w:type="dxa"/>
            <w:shd w:val="clear" w:color="auto" w:fill="auto"/>
            <w:vAlign w:val="bottom"/>
            <w:hideMark/>
          </w:tcPr>
          <w:p w14:paraId="371206E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name − Grade 1 </w:t>
            </w:r>
          </w:p>
        </w:tc>
        <w:tc>
          <w:tcPr>
            <w:tcW w:w="2693" w:type="dxa"/>
            <w:shd w:val="clear" w:color="auto" w:fill="auto"/>
            <w:noWrap/>
            <w:vAlign w:val="bottom"/>
            <w:hideMark/>
          </w:tcPr>
          <w:p w14:paraId="49A022F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F6A1D0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86</w:t>
            </w:r>
            <w:r>
              <w:rPr>
                <w:rFonts w:ascii="Calibri" w:eastAsia="Times New Roman" w:hAnsi="Calibri" w:cs="Times New Roman"/>
                <w:color w:val="000000"/>
                <w:lang w:eastAsia="en-NZ"/>
              </w:rPr>
              <w:t>5</w:t>
            </w:r>
          </w:p>
        </w:tc>
      </w:tr>
      <w:tr w:rsidR="00C028D1" w:rsidRPr="002017C6" w14:paraId="2D541A4A" w14:textId="77777777" w:rsidTr="003070DB">
        <w:trPr>
          <w:trHeight w:val="300"/>
        </w:trPr>
        <w:tc>
          <w:tcPr>
            <w:tcW w:w="4106" w:type="dxa"/>
            <w:shd w:val="clear" w:color="auto" w:fill="auto"/>
            <w:vAlign w:val="bottom"/>
            <w:hideMark/>
          </w:tcPr>
          <w:p w14:paraId="3DD08B3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name − Grade 2 </w:t>
            </w:r>
          </w:p>
        </w:tc>
        <w:tc>
          <w:tcPr>
            <w:tcW w:w="2693" w:type="dxa"/>
            <w:shd w:val="clear" w:color="auto" w:fill="auto"/>
            <w:noWrap/>
            <w:vAlign w:val="bottom"/>
            <w:hideMark/>
          </w:tcPr>
          <w:p w14:paraId="047979A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433D9A4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12CF66AC" w14:textId="77777777" w:rsidTr="003070DB">
        <w:trPr>
          <w:trHeight w:val="600"/>
        </w:trPr>
        <w:tc>
          <w:tcPr>
            <w:tcW w:w="4106" w:type="dxa"/>
            <w:shd w:val="clear" w:color="auto" w:fill="auto"/>
            <w:vAlign w:val="bottom"/>
            <w:hideMark/>
          </w:tcPr>
          <w:p w14:paraId="0E815ED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classification (with/without new name) </w:t>
            </w:r>
          </w:p>
        </w:tc>
        <w:tc>
          <w:tcPr>
            <w:tcW w:w="2693" w:type="dxa"/>
            <w:shd w:val="clear" w:color="auto" w:fill="auto"/>
            <w:noWrap/>
            <w:vAlign w:val="bottom"/>
            <w:hideMark/>
          </w:tcPr>
          <w:p w14:paraId="141FAB9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E0722D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86</w:t>
            </w:r>
            <w:r>
              <w:rPr>
                <w:rFonts w:ascii="Calibri" w:eastAsia="Times New Roman" w:hAnsi="Calibri" w:cs="Times New Roman"/>
                <w:color w:val="000000"/>
                <w:lang w:eastAsia="en-NZ"/>
              </w:rPr>
              <w:t>5</w:t>
            </w:r>
          </w:p>
        </w:tc>
      </w:tr>
      <w:tr w:rsidR="00C028D1" w:rsidRPr="002017C6" w14:paraId="36553D95" w14:textId="77777777" w:rsidTr="003070DB">
        <w:trPr>
          <w:trHeight w:val="300"/>
        </w:trPr>
        <w:tc>
          <w:tcPr>
            <w:tcW w:w="4106" w:type="dxa"/>
            <w:shd w:val="clear" w:color="auto" w:fill="auto"/>
            <w:vAlign w:val="bottom"/>
            <w:hideMark/>
          </w:tcPr>
          <w:p w14:paraId="39A2978C"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 Grade 1 </w:t>
            </w:r>
          </w:p>
        </w:tc>
        <w:tc>
          <w:tcPr>
            <w:tcW w:w="2693" w:type="dxa"/>
            <w:shd w:val="clear" w:color="auto" w:fill="auto"/>
            <w:noWrap/>
            <w:vAlign w:val="bottom"/>
            <w:hideMark/>
          </w:tcPr>
          <w:p w14:paraId="2D9C9F2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6C91F44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59</w:t>
            </w:r>
            <w:r>
              <w:rPr>
                <w:rFonts w:ascii="Calibri" w:eastAsia="Times New Roman" w:hAnsi="Calibri" w:cs="Times New Roman"/>
                <w:color w:val="000000"/>
                <w:lang w:eastAsia="en-NZ"/>
              </w:rPr>
              <w:t>5</w:t>
            </w:r>
          </w:p>
        </w:tc>
      </w:tr>
      <w:tr w:rsidR="00C028D1" w:rsidRPr="002017C6" w14:paraId="19FC7E56" w14:textId="77777777" w:rsidTr="003070DB">
        <w:trPr>
          <w:trHeight w:val="300"/>
        </w:trPr>
        <w:tc>
          <w:tcPr>
            <w:tcW w:w="4106" w:type="dxa"/>
            <w:shd w:val="clear" w:color="auto" w:fill="auto"/>
            <w:vAlign w:val="bottom"/>
            <w:hideMark/>
          </w:tcPr>
          <w:p w14:paraId="7F28454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 Grade 2 </w:t>
            </w:r>
          </w:p>
        </w:tc>
        <w:tc>
          <w:tcPr>
            <w:tcW w:w="2693" w:type="dxa"/>
            <w:shd w:val="clear" w:color="auto" w:fill="auto"/>
            <w:noWrap/>
            <w:vAlign w:val="bottom"/>
            <w:hideMark/>
          </w:tcPr>
          <w:p w14:paraId="46F6D84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3,320</w:t>
            </w:r>
          </w:p>
        </w:tc>
        <w:tc>
          <w:tcPr>
            <w:tcW w:w="2694" w:type="dxa"/>
            <w:shd w:val="clear" w:color="auto" w:fill="auto"/>
            <w:noWrap/>
            <w:vAlign w:val="bottom"/>
            <w:hideMark/>
          </w:tcPr>
          <w:p w14:paraId="06D44F8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459</w:t>
            </w:r>
          </w:p>
        </w:tc>
      </w:tr>
      <w:tr w:rsidR="00C028D1" w:rsidRPr="002017C6" w14:paraId="4D6EF3B6" w14:textId="77777777" w:rsidTr="003070DB">
        <w:trPr>
          <w:trHeight w:val="300"/>
        </w:trPr>
        <w:tc>
          <w:tcPr>
            <w:tcW w:w="4106" w:type="dxa"/>
            <w:shd w:val="clear" w:color="auto" w:fill="auto"/>
            <w:vAlign w:val="bottom"/>
            <w:hideMark/>
          </w:tcPr>
          <w:p w14:paraId="06875FD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 Grade 3 </w:t>
            </w:r>
          </w:p>
        </w:tc>
        <w:tc>
          <w:tcPr>
            <w:tcW w:w="2693" w:type="dxa"/>
            <w:shd w:val="clear" w:color="auto" w:fill="auto"/>
            <w:noWrap/>
            <w:vAlign w:val="bottom"/>
            <w:hideMark/>
          </w:tcPr>
          <w:p w14:paraId="12758B1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6,640</w:t>
            </w:r>
          </w:p>
        </w:tc>
        <w:tc>
          <w:tcPr>
            <w:tcW w:w="2694" w:type="dxa"/>
            <w:shd w:val="clear" w:color="auto" w:fill="auto"/>
            <w:noWrap/>
            <w:vAlign w:val="bottom"/>
            <w:hideMark/>
          </w:tcPr>
          <w:p w14:paraId="426590C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6</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91</w:t>
            </w:r>
            <w:r>
              <w:rPr>
                <w:rFonts w:ascii="Calibri" w:eastAsia="Times New Roman" w:hAnsi="Calibri" w:cs="Times New Roman"/>
                <w:color w:val="000000"/>
                <w:lang w:eastAsia="en-NZ"/>
              </w:rPr>
              <w:t>9</w:t>
            </w:r>
          </w:p>
        </w:tc>
      </w:tr>
      <w:tr w:rsidR="00C028D1" w:rsidRPr="002017C6" w14:paraId="4D39EF58" w14:textId="77777777" w:rsidTr="003070DB">
        <w:trPr>
          <w:trHeight w:val="300"/>
        </w:trPr>
        <w:tc>
          <w:tcPr>
            <w:tcW w:w="4106" w:type="dxa"/>
            <w:shd w:val="clear" w:color="auto" w:fill="auto"/>
            <w:vAlign w:val="bottom"/>
            <w:hideMark/>
          </w:tcPr>
          <w:p w14:paraId="34885E6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 Grade 4 </w:t>
            </w:r>
          </w:p>
        </w:tc>
        <w:tc>
          <w:tcPr>
            <w:tcW w:w="2693" w:type="dxa"/>
            <w:shd w:val="clear" w:color="auto" w:fill="auto"/>
            <w:noWrap/>
            <w:vAlign w:val="bottom"/>
            <w:hideMark/>
          </w:tcPr>
          <w:p w14:paraId="6E9AE56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20,700</w:t>
            </w:r>
          </w:p>
        </w:tc>
        <w:tc>
          <w:tcPr>
            <w:tcW w:w="2694" w:type="dxa"/>
            <w:shd w:val="clear" w:color="auto" w:fill="auto"/>
            <w:noWrap/>
            <w:vAlign w:val="bottom"/>
            <w:hideMark/>
          </w:tcPr>
          <w:p w14:paraId="47601CB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21</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569</w:t>
            </w:r>
          </w:p>
        </w:tc>
      </w:tr>
      <w:tr w:rsidR="00C028D1" w:rsidRPr="002017C6" w14:paraId="120C10A4" w14:textId="77777777" w:rsidTr="003070DB">
        <w:trPr>
          <w:trHeight w:val="300"/>
        </w:trPr>
        <w:tc>
          <w:tcPr>
            <w:tcW w:w="4106" w:type="dxa"/>
            <w:shd w:val="clear" w:color="auto" w:fill="auto"/>
            <w:vAlign w:val="bottom"/>
            <w:hideMark/>
          </w:tcPr>
          <w:p w14:paraId="429FE78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 Grade 4 </w:t>
            </w:r>
          </w:p>
        </w:tc>
        <w:tc>
          <w:tcPr>
            <w:tcW w:w="2693" w:type="dxa"/>
            <w:shd w:val="clear" w:color="auto" w:fill="auto"/>
            <w:noWrap/>
            <w:vAlign w:val="bottom"/>
            <w:hideMark/>
          </w:tcPr>
          <w:p w14:paraId="0B81D06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20,700</w:t>
            </w:r>
          </w:p>
        </w:tc>
        <w:tc>
          <w:tcPr>
            <w:tcW w:w="2694" w:type="dxa"/>
            <w:shd w:val="clear" w:color="auto" w:fill="auto"/>
            <w:noWrap/>
            <w:vAlign w:val="bottom"/>
            <w:hideMark/>
          </w:tcPr>
          <w:p w14:paraId="0E23E4C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21</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569</w:t>
            </w:r>
          </w:p>
        </w:tc>
      </w:tr>
      <w:tr w:rsidR="00C028D1" w:rsidRPr="002017C6" w14:paraId="2275A343" w14:textId="77777777" w:rsidTr="003070DB">
        <w:trPr>
          <w:trHeight w:val="300"/>
        </w:trPr>
        <w:tc>
          <w:tcPr>
            <w:tcW w:w="4106" w:type="dxa"/>
            <w:shd w:val="clear" w:color="auto" w:fill="auto"/>
            <w:vAlign w:val="bottom"/>
            <w:hideMark/>
          </w:tcPr>
          <w:p w14:paraId="73E72A7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 Grade 5 </w:t>
            </w:r>
          </w:p>
        </w:tc>
        <w:tc>
          <w:tcPr>
            <w:tcW w:w="2693" w:type="dxa"/>
            <w:shd w:val="clear" w:color="auto" w:fill="auto"/>
            <w:noWrap/>
            <w:vAlign w:val="bottom"/>
            <w:hideMark/>
          </w:tcPr>
          <w:p w14:paraId="0654C44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31,050</w:t>
            </w:r>
          </w:p>
        </w:tc>
        <w:tc>
          <w:tcPr>
            <w:tcW w:w="2694" w:type="dxa"/>
            <w:shd w:val="clear" w:color="auto" w:fill="auto"/>
            <w:noWrap/>
            <w:vAlign w:val="bottom"/>
            <w:hideMark/>
          </w:tcPr>
          <w:p w14:paraId="7CFA1E9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354</w:t>
            </w:r>
          </w:p>
        </w:tc>
      </w:tr>
      <w:tr w:rsidR="00C028D1" w:rsidRPr="002017C6" w14:paraId="2A44998C" w14:textId="77777777" w:rsidTr="003070DB">
        <w:trPr>
          <w:trHeight w:val="600"/>
        </w:trPr>
        <w:tc>
          <w:tcPr>
            <w:tcW w:w="4106" w:type="dxa"/>
            <w:shd w:val="clear" w:color="auto" w:fill="auto"/>
            <w:vAlign w:val="bottom"/>
            <w:hideMark/>
          </w:tcPr>
          <w:p w14:paraId="1605119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flavour or type of sweetening </w:t>
            </w:r>
          </w:p>
        </w:tc>
        <w:tc>
          <w:tcPr>
            <w:tcW w:w="2693" w:type="dxa"/>
            <w:shd w:val="clear" w:color="auto" w:fill="auto"/>
            <w:noWrap/>
            <w:vAlign w:val="bottom"/>
            <w:hideMark/>
          </w:tcPr>
          <w:p w14:paraId="5B8095E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6F04E7F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28E82419" w14:textId="77777777" w:rsidTr="003070DB">
        <w:trPr>
          <w:trHeight w:val="900"/>
        </w:trPr>
        <w:tc>
          <w:tcPr>
            <w:tcW w:w="4106" w:type="dxa"/>
            <w:shd w:val="clear" w:color="auto" w:fill="auto"/>
            <w:vAlign w:val="bottom"/>
            <w:hideMark/>
          </w:tcPr>
          <w:p w14:paraId="24C35206" w14:textId="77777777" w:rsidR="00C028D1" w:rsidRPr="00371AEE" w:rsidRDefault="00C028D1" w:rsidP="003070DB">
            <w:pPr>
              <w:spacing w:after="0" w:line="240" w:lineRule="auto"/>
              <w:rPr>
                <w:rFonts w:ascii="Calibri" w:eastAsia="Times New Roman" w:hAnsi="Calibri" w:cs="Times New Roman"/>
                <w:b/>
                <w:bCs/>
                <w:color w:val="000000"/>
                <w:lang w:eastAsia="en-NZ"/>
              </w:rPr>
            </w:pPr>
            <w:r w:rsidRPr="00371AEE">
              <w:rPr>
                <w:rFonts w:ascii="Calibri" w:eastAsia="Times New Roman" w:hAnsi="Calibri" w:cs="Times New Roman"/>
                <w:b/>
                <w:bCs/>
                <w:color w:val="000000"/>
                <w:lang w:eastAsia="en-NZ"/>
              </w:rPr>
              <w:t>New Medicines Application (Abbreviated Evaluation Process) Fees</w:t>
            </w:r>
          </w:p>
        </w:tc>
        <w:tc>
          <w:tcPr>
            <w:tcW w:w="2693" w:type="dxa"/>
            <w:shd w:val="clear" w:color="auto" w:fill="auto"/>
            <w:noWrap/>
            <w:vAlign w:val="bottom"/>
            <w:hideMark/>
          </w:tcPr>
          <w:p w14:paraId="742E7290"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34EDFBF8" w14:textId="77777777" w:rsidR="00C028D1" w:rsidRPr="002017C6" w:rsidRDefault="00C028D1" w:rsidP="003070DB">
            <w:pPr>
              <w:spacing w:after="0" w:line="240" w:lineRule="auto"/>
              <w:rPr>
                <w:rFonts w:ascii="Times New Roman" w:eastAsia="Times New Roman" w:hAnsi="Times New Roman" w:cs="Times New Roman"/>
                <w:sz w:val="20"/>
                <w:szCs w:val="20"/>
                <w:lang w:eastAsia="en-NZ"/>
              </w:rPr>
            </w:pPr>
          </w:p>
        </w:tc>
      </w:tr>
      <w:tr w:rsidR="00C028D1" w:rsidRPr="002017C6" w14:paraId="0F6059A2" w14:textId="77777777" w:rsidTr="003070DB">
        <w:trPr>
          <w:trHeight w:val="900"/>
        </w:trPr>
        <w:tc>
          <w:tcPr>
            <w:tcW w:w="4106" w:type="dxa"/>
            <w:shd w:val="clear" w:color="auto" w:fill="auto"/>
            <w:vAlign w:val="bottom"/>
            <w:hideMark/>
          </w:tcPr>
          <w:p w14:paraId="6CBDA61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New higher-risk medicine containing one or more new active substances </w:t>
            </w:r>
          </w:p>
        </w:tc>
        <w:tc>
          <w:tcPr>
            <w:tcW w:w="2693" w:type="dxa"/>
            <w:shd w:val="clear" w:color="auto" w:fill="auto"/>
            <w:noWrap/>
            <w:vAlign w:val="bottom"/>
            <w:hideMark/>
          </w:tcPr>
          <w:p w14:paraId="429A172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51,100</w:t>
            </w:r>
          </w:p>
        </w:tc>
        <w:tc>
          <w:tcPr>
            <w:tcW w:w="2694" w:type="dxa"/>
            <w:shd w:val="clear" w:color="auto" w:fill="auto"/>
            <w:noWrap/>
            <w:vAlign w:val="bottom"/>
            <w:hideMark/>
          </w:tcPr>
          <w:p w14:paraId="2C77EA3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53</w:t>
            </w:r>
            <w:r>
              <w:rPr>
                <w:rFonts w:ascii="Calibri" w:eastAsia="Times New Roman" w:hAnsi="Calibri" w:cs="Times New Roman"/>
                <w:color w:val="000000"/>
                <w:lang w:eastAsia="en-NZ"/>
              </w:rPr>
              <w:t>,252</w:t>
            </w:r>
          </w:p>
        </w:tc>
      </w:tr>
      <w:tr w:rsidR="00C028D1" w:rsidRPr="002017C6" w14:paraId="29AFFBAC" w14:textId="77777777" w:rsidTr="003070DB">
        <w:trPr>
          <w:trHeight w:val="600"/>
        </w:trPr>
        <w:tc>
          <w:tcPr>
            <w:tcW w:w="4106" w:type="dxa"/>
            <w:shd w:val="clear" w:color="auto" w:fill="auto"/>
            <w:vAlign w:val="bottom"/>
            <w:hideMark/>
          </w:tcPr>
          <w:p w14:paraId="7E5B4AAE" w14:textId="77777777" w:rsidR="00C028D1" w:rsidRPr="008E3730" w:rsidRDefault="00C028D1" w:rsidP="003070DB">
            <w:pPr>
              <w:spacing w:after="0" w:line="240" w:lineRule="auto"/>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 xml:space="preserve">Any other new higher-risk medicine </w:t>
            </w:r>
          </w:p>
        </w:tc>
        <w:tc>
          <w:tcPr>
            <w:tcW w:w="2693" w:type="dxa"/>
            <w:shd w:val="clear" w:color="auto" w:fill="auto"/>
            <w:noWrap/>
            <w:vAlign w:val="bottom"/>
            <w:hideMark/>
          </w:tcPr>
          <w:p w14:paraId="0F4CE335"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21,940</w:t>
            </w:r>
          </w:p>
        </w:tc>
        <w:tc>
          <w:tcPr>
            <w:tcW w:w="2694" w:type="dxa"/>
            <w:shd w:val="clear" w:color="auto" w:fill="auto"/>
            <w:noWrap/>
            <w:vAlign w:val="bottom"/>
            <w:hideMark/>
          </w:tcPr>
          <w:p w14:paraId="13B5349C" w14:textId="77777777" w:rsidR="00C028D1" w:rsidRPr="008E3730" w:rsidRDefault="00C028D1" w:rsidP="003070DB">
            <w:pPr>
              <w:spacing w:after="0" w:line="240" w:lineRule="auto"/>
              <w:jc w:val="right"/>
              <w:rPr>
                <w:rFonts w:ascii="Calibri" w:eastAsia="Times New Roman" w:hAnsi="Calibri" w:cs="Times New Roman"/>
                <w:color w:val="000000"/>
                <w:highlight w:val="yellow"/>
                <w:lang w:eastAsia="en-NZ"/>
              </w:rPr>
            </w:pPr>
            <w:r w:rsidRPr="008E3730">
              <w:rPr>
                <w:rFonts w:ascii="Calibri" w:eastAsia="Times New Roman" w:hAnsi="Calibri" w:cs="Times New Roman"/>
                <w:color w:val="000000"/>
                <w:highlight w:val="yellow"/>
                <w:lang w:eastAsia="en-NZ"/>
              </w:rPr>
              <w:t>39,939</w:t>
            </w:r>
          </w:p>
        </w:tc>
      </w:tr>
      <w:tr w:rsidR="00C028D1" w:rsidRPr="002017C6" w14:paraId="551CBA10" w14:textId="77777777" w:rsidTr="003070DB">
        <w:trPr>
          <w:trHeight w:val="600"/>
        </w:trPr>
        <w:tc>
          <w:tcPr>
            <w:tcW w:w="4106" w:type="dxa"/>
            <w:shd w:val="clear" w:color="auto" w:fill="auto"/>
            <w:vAlign w:val="bottom"/>
            <w:hideMark/>
          </w:tcPr>
          <w:p w14:paraId="5F56B56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New intermediate-risk medicine – prescription medicine </w:t>
            </w:r>
          </w:p>
        </w:tc>
        <w:tc>
          <w:tcPr>
            <w:tcW w:w="2693" w:type="dxa"/>
            <w:shd w:val="clear" w:color="auto" w:fill="auto"/>
            <w:noWrap/>
            <w:vAlign w:val="bottom"/>
            <w:hideMark/>
          </w:tcPr>
          <w:p w14:paraId="1C79E19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21,940</w:t>
            </w:r>
          </w:p>
        </w:tc>
        <w:tc>
          <w:tcPr>
            <w:tcW w:w="2694" w:type="dxa"/>
            <w:shd w:val="clear" w:color="auto" w:fill="auto"/>
            <w:noWrap/>
            <w:vAlign w:val="bottom"/>
            <w:hideMark/>
          </w:tcPr>
          <w:p w14:paraId="0ACF7DE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26,626</w:t>
            </w:r>
          </w:p>
        </w:tc>
      </w:tr>
      <w:tr w:rsidR="00C028D1" w:rsidRPr="002017C6" w14:paraId="775A14D1" w14:textId="77777777" w:rsidTr="003070DB">
        <w:trPr>
          <w:trHeight w:val="1200"/>
        </w:trPr>
        <w:tc>
          <w:tcPr>
            <w:tcW w:w="4106" w:type="dxa"/>
            <w:shd w:val="clear" w:color="auto" w:fill="auto"/>
            <w:vAlign w:val="bottom"/>
            <w:hideMark/>
          </w:tcPr>
          <w:p w14:paraId="4A1AE0C9" w14:textId="77777777" w:rsidR="00C028D1" w:rsidRPr="008E3D09" w:rsidRDefault="00C028D1" w:rsidP="003070DB">
            <w:pPr>
              <w:spacing w:after="0" w:line="240" w:lineRule="auto"/>
              <w:rPr>
                <w:rFonts w:ascii="Calibri" w:eastAsia="Times New Roman" w:hAnsi="Calibri" w:cs="Times New Roman"/>
                <w:i/>
                <w:iCs/>
                <w:color w:val="000000"/>
                <w:lang w:eastAsia="en-NZ"/>
              </w:rPr>
            </w:pPr>
            <w:r w:rsidRPr="008E3D09">
              <w:rPr>
                <w:rFonts w:ascii="Calibri" w:eastAsia="Times New Roman" w:hAnsi="Calibri" w:cs="Times New Roman"/>
                <w:i/>
                <w:iCs/>
                <w:color w:val="000000"/>
                <w:lang w:eastAsia="en-NZ"/>
              </w:rPr>
              <w:t xml:space="preserve">Additional names, strengthens, flavours and classifications must be notified at the same time as the parent application </w:t>
            </w:r>
          </w:p>
        </w:tc>
        <w:tc>
          <w:tcPr>
            <w:tcW w:w="2693" w:type="dxa"/>
            <w:shd w:val="clear" w:color="auto" w:fill="auto"/>
            <w:noWrap/>
            <w:vAlign w:val="bottom"/>
            <w:hideMark/>
          </w:tcPr>
          <w:p w14:paraId="042E6B38"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03D401EA" w14:textId="77777777" w:rsidR="00C028D1" w:rsidRPr="002017C6" w:rsidRDefault="00C028D1" w:rsidP="003070DB">
            <w:pPr>
              <w:spacing w:after="0" w:line="240" w:lineRule="auto"/>
              <w:rPr>
                <w:rFonts w:ascii="Times New Roman" w:eastAsia="Times New Roman" w:hAnsi="Times New Roman" w:cs="Times New Roman"/>
                <w:sz w:val="20"/>
                <w:szCs w:val="20"/>
                <w:lang w:eastAsia="en-NZ"/>
              </w:rPr>
            </w:pPr>
          </w:p>
        </w:tc>
      </w:tr>
      <w:tr w:rsidR="00C028D1" w:rsidRPr="002017C6" w14:paraId="6FFAC576" w14:textId="77777777" w:rsidTr="003070DB">
        <w:trPr>
          <w:trHeight w:val="600"/>
        </w:trPr>
        <w:tc>
          <w:tcPr>
            <w:tcW w:w="4106" w:type="dxa"/>
            <w:shd w:val="clear" w:color="auto" w:fill="auto"/>
            <w:vAlign w:val="bottom"/>
            <w:hideMark/>
          </w:tcPr>
          <w:p w14:paraId="55DD9993" w14:textId="77777777" w:rsidR="00C028D1" w:rsidRPr="00371AEE" w:rsidRDefault="00C028D1" w:rsidP="003070DB">
            <w:pPr>
              <w:spacing w:after="0" w:line="240" w:lineRule="auto"/>
              <w:rPr>
                <w:rFonts w:ascii="Calibri" w:eastAsia="Times New Roman" w:hAnsi="Calibri" w:cs="Times New Roman"/>
                <w:b/>
                <w:bCs/>
                <w:color w:val="000000"/>
                <w:lang w:eastAsia="en-NZ"/>
              </w:rPr>
            </w:pPr>
            <w:r w:rsidRPr="00371AEE">
              <w:rPr>
                <w:rFonts w:ascii="Calibri" w:eastAsia="Times New Roman" w:hAnsi="Calibri" w:cs="Times New Roman"/>
                <w:b/>
                <w:bCs/>
                <w:color w:val="000000"/>
                <w:lang w:eastAsia="en-NZ"/>
              </w:rPr>
              <w:t>New Related Product Application (NRPA) Fees</w:t>
            </w:r>
          </w:p>
        </w:tc>
        <w:tc>
          <w:tcPr>
            <w:tcW w:w="2693" w:type="dxa"/>
            <w:shd w:val="clear" w:color="auto" w:fill="auto"/>
            <w:noWrap/>
            <w:vAlign w:val="bottom"/>
            <w:hideMark/>
          </w:tcPr>
          <w:p w14:paraId="31597BCA"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50EEB0A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74646A81" w14:textId="77777777" w:rsidTr="003070DB">
        <w:trPr>
          <w:trHeight w:val="300"/>
        </w:trPr>
        <w:tc>
          <w:tcPr>
            <w:tcW w:w="4106" w:type="dxa"/>
            <w:shd w:val="clear" w:color="auto" w:fill="auto"/>
            <w:vAlign w:val="bottom"/>
            <w:hideMark/>
          </w:tcPr>
          <w:p w14:paraId="027629D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New related product  </w:t>
            </w:r>
          </w:p>
        </w:tc>
        <w:tc>
          <w:tcPr>
            <w:tcW w:w="2693" w:type="dxa"/>
            <w:shd w:val="clear" w:color="auto" w:fill="auto"/>
            <w:noWrap/>
            <w:vAlign w:val="bottom"/>
            <w:hideMark/>
          </w:tcPr>
          <w:p w14:paraId="0A2F0AC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5,500</w:t>
            </w:r>
          </w:p>
        </w:tc>
        <w:tc>
          <w:tcPr>
            <w:tcW w:w="2694" w:type="dxa"/>
            <w:shd w:val="clear" w:color="auto" w:fill="auto"/>
            <w:noWrap/>
            <w:vAlign w:val="bottom"/>
            <w:hideMark/>
          </w:tcPr>
          <w:p w14:paraId="49BD0B3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5</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731</w:t>
            </w:r>
          </w:p>
        </w:tc>
      </w:tr>
      <w:tr w:rsidR="00C028D1" w:rsidRPr="002017C6" w14:paraId="667AD634" w14:textId="77777777" w:rsidTr="003070DB">
        <w:trPr>
          <w:trHeight w:val="1200"/>
        </w:trPr>
        <w:tc>
          <w:tcPr>
            <w:tcW w:w="4106" w:type="dxa"/>
            <w:shd w:val="clear" w:color="auto" w:fill="auto"/>
            <w:vAlign w:val="bottom"/>
            <w:hideMark/>
          </w:tcPr>
          <w:p w14:paraId="4B56BB7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names, strengths, flavours and classifications notified at the same time as the parent application </w:t>
            </w:r>
          </w:p>
        </w:tc>
        <w:tc>
          <w:tcPr>
            <w:tcW w:w="2693" w:type="dxa"/>
            <w:shd w:val="clear" w:color="auto" w:fill="auto"/>
            <w:noWrap/>
            <w:vAlign w:val="bottom"/>
            <w:hideMark/>
          </w:tcPr>
          <w:p w14:paraId="5963A88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0</w:t>
            </w:r>
          </w:p>
        </w:tc>
        <w:tc>
          <w:tcPr>
            <w:tcW w:w="2694" w:type="dxa"/>
            <w:shd w:val="clear" w:color="auto" w:fill="auto"/>
            <w:noWrap/>
            <w:vAlign w:val="bottom"/>
            <w:hideMark/>
          </w:tcPr>
          <w:p w14:paraId="5F449E5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0</w:t>
            </w:r>
          </w:p>
        </w:tc>
      </w:tr>
      <w:tr w:rsidR="00C028D1" w:rsidRPr="002017C6" w14:paraId="2A7A3D41" w14:textId="77777777" w:rsidTr="003070DB">
        <w:trPr>
          <w:trHeight w:val="900"/>
        </w:trPr>
        <w:tc>
          <w:tcPr>
            <w:tcW w:w="4106" w:type="dxa"/>
            <w:shd w:val="clear" w:color="auto" w:fill="auto"/>
            <w:vAlign w:val="bottom"/>
            <w:hideMark/>
          </w:tcPr>
          <w:p w14:paraId="117872FE" w14:textId="77777777" w:rsidR="00C028D1" w:rsidRPr="00371AEE" w:rsidRDefault="00C028D1" w:rsidP="003070DB">
            <w:pPr>
              <w:spacing w:after="0" w:line="240" w:lineRule="auto"/>
              <w:rPr>
                <w:rFonts w:ascii="Calibri" w:eastAsia="Times New Roman" w:hAnsi="Calibri" w:cs="Times New Roman"/>
                <w:b/>
                <w:bCs/>
                <w:i/>
                <w:iCs/>
                <w:color w:val="000000"/>
                <w:lang w:eastAsia="en-NZ"/>
              </w:rPr>
            </w:pPr>
            <w:r w:rsidRPr="00371AEE">
              <w:rPr>
                <w:rFonts w:ascii="Calibri" w:eastAsia="Times New Roman" w:hAnsi="Calibri" w:cs="Times New Roman"/>
                <w:b/>
                <w:bCs/>
                <w:i/>
                <w:iCs/>
                <w:color w:val="000000"/>
                <w:lang w:eastAsia="en-NZ"/>
              </w:rPr>
              <w:t xml:space="preserve">The following fees apply when the additions are </w:t>
            </w:r>
            <w:proofErr w:type="gramStart"/>
            <w:r w:rsidRPr="00371AEE">
              <w:rPr>
                <w:rFonts w:ascii="Calibri" w:eastAsia="Times New Roman" w:hAnsi="Calibri" w:cs="Times New Roman"/>
                <w:b/>
                <w:bCs/>
                <w:i/>
                <w:iCs/>
                <w:color w:val="000000"/>
                <w:lang w:eastAsia="en-NZ"/>
              </w:rPr>
              <w:t>subsequent to</w:t>
            </w:r>
            <w:proofErr w:type="gramEnd"/>
            <w:r w:rsidRPr="00371AEE">
              <w:rPr>
                <w:rFonts w:ascii="Calibri" w:eastAsia="Times New Roman" w:hAnsi="Calibri" w:cs="Times New Roman"/>
                <w:b/>
                <w:bCs/>
                <w:i/>
                <w:iCs/>
                <w:color w:val="000000"/>
                <w:lang w:eastAsia="en-NZ"/>
              </w:rPr>
              <w:t xml:space="preserve"> the parent application</w:t>
            </w:r>
          </w:p>
        </w:tc>
        <w:tc>
          <w:tcPr>
            <w:tcW w:w="2693" w:type="dxa"/>
            <w:shd w:val="clear" w:color="auto" w:fill="auto"/>
            <w:noWrap/>
            <w:vAlign w:val="bottom"/>
            <w:hideMark/>
          </w:tcPr>
          <w:p w14:paraId="54E0358A"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3872E2F9" w14:textId="77777777" w:rsidR="00C028D1" w:rsidRPr="002017C6" w:rsidRDefault="00C028D1" w:rsidP="003070DB">
            <w:pPr>
              <w:spacing w:after="0" w:line="240" w:lineRule="auto"/>
              <w:rPr>
                <w:rFonts w:ascii="Times New Roman" w:eastAsia="Times New Roman" w:hAnsi="Times New Roman" w:cs="Times New Roman"/>
                <w:sz w:val="20"/>
                <w:szCs w:val="20"/>
                <w:lang w:eastAsia="en-NZ"/>
              </w:rPr>
            </w:pPr>
          </w:p>
        </w:tc>
      </w:tr>
      <w:tr w:rsidR="00C028D1" w:rsidRPr="002017C6" w14:paraId="6011900F" w14:textId="77777777" w:rsidTr="003070DB">
        <w:trPr>
          <w:trHeight w:val="300"/>
        </w:trPr>
        <w:tc>
          <w:tcPr>
            <w:tcW w:w="4106" w:type="dxa"/>
            <w:shd w:val="clear" w:color="auto" w:fill="auto"/>
            <w:vAlign w:val="bottom"/>
            <w:hideMark/>
          </w:tcPr>
          <w:p w14:paraId="2E8CB57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Additional name − Grade 1</w:t>
            </w:r>
          </w:p>
        </w:tc>
        <w:tc>
          <w:tcPr>
            <w:tcW w:w="2693" w:type="dxa"/>
            <w:shd w:val="clear" w:color="auto" w:fill="auto"/>
            <w:noWrap/>
            <w:vAlign w:val="bottom"/>
            <w:hideMark/>
          </w:tcPr>
          <w:p w14:paraId="671966D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48A7E0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4EDF773A" w14:textId="77777777" w:rsidTr="003070DB">
        <w:trPr>
          <w:trHeight w:val="300"/>
        </w:trPr>
        <w:tc>
          <w:tcPr>
            <w:tcW w:w="4106" w:type="dxa"/>
            <w:shd w:val="clear" w:color="auto" w:fill="auto"/>
            <w:vAlign w:val="bottom"/>
            <w:hideMark/>
          </w:tcPr>
          <w:p w14:paraId="1CD06E2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name − Grade 2 </w:t>
            </w:r>
          </w:p>
        </w:tc>
        <w:tc>
          <w:tcPr>
            <w:tcW w:w="2693" w:type="dxa"/>
            <w:shd w:val="clear" w:color="auto" w:fill="auto"/>
            <w:noWrap/>
            <w:vAlign w:val="bottom"/>
            <w:hideMark/>
          </w:tcPr>
          <w:p w14:paraId="031EE52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5349BCD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0A0B7C79" w14:textId="77777777" w:rsidTr="003070DB">
        <w:trPr>
          <w:trHeight w:val="300"/>
        </w:trPr>
        <w:tc>
          <w:tcPr>
            <w:tcW w:w="4106" w:type="dxa"/>
            <w:shd w:val="clear" w:color="auto" w:fill="auto"/>
            <w:vAlign w:val="bottom"/>
            <w:hideMark/>
          </w:tcPr>
          <w:p w14:paraId="6DEDD01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strength </w:t>
            </w:r>
          </w:p>
        </w:tc>
        <w:tc>
          <w:tcPr>
            <w:tcW w:w="2693" w:type="dxa"/>
            <w:shd w:val="clear" w:color="auto" w:fill="auto"/>
            <w:noWrap/>
            <w:vAlign w:val="bottom"/>
            <w:hideMark/>
          </w:tcPr>
          <w:p w14:paraId="57553BB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7BE1371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7BC31405" w14:textId="77777777" w:rsidTr="003070DB">
        <w:trPr>
          <w:trHeight w:val="600"/>
        </w:trPr>
        <w:tc>
          <w:tcPr>
            <w:tcW w:w="4106" w:type="dxa"/>
            <w:shd w:val="clear" w:color="auto" w:fill="auto"/>
            <w:vAlign w:val="bottom"/>
            <w:hideMark/>
          </w:tcPr>
          <w:p w14:paraId="75B2DF0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Additional flavour or type of sweetening </w:t>
            </w:r>
          </w:p>
        </w:tc>
        <w:tc>
          <w:tcPr>
            <w:tcW w:w="2693" w:type="dxa"/>
            <w:shd w:val="clear" w:color="auto" w:fill="auto"/>
            <w:noWrap/>
            <w:vAlign w:val="bottom"/>
            <w:hideMark/>
          </w:tcPr>
          <w:p w14:paraId="6A23352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63BA43A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374A56" w14:paraId="50CB3EAD" w14:textId="77777777" w:rsidTr="003070DB">
        <w:trPr>
          <w:trHeight w:val="600"/>
        </w:trPr>
        <w:tc>
          <w:tcPr>
            <w:tcW w:w="4106" w:type="dxa"/>
            <w:shd w:val="clear" w:color="auto" w:fill="auto"/>
            <w:vAlign w:val="bottom"/>
            <w:hideMark/>
          </w:tcPr>
          <w:p w14:paraId="05E3EB4C" w14:textId="77777777" w:rsidR="00C028D1" w:rsidRPr="00374A56" w:rsidRDefault="00C028D1" w:rsidP="003070DB">
            <w:pPr>
              <w:spacing w:after="0" w:line="240" w:lineRule="auto"/>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 xml:space="preserve">New Medicine Application Provisional Consent Fees </w:t>
            </w:r>
          </w:p>
        </w:tc>
        <w:tc>
          <w:tcPr>
            <w:tcW w:w="2693" w:type="dxa"/>
            <w:shd w:val="clear" w:color="auto" w:fill="auto"/>
            <w:noWrap/>
            <w:vAlign w:val="bottom"/>
            <w:hideMark/>
          </w:tcPr>
          <w:p w14:paraId="13C6703E"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p>
        </w:tc>
        <w:tc>
          <w:tcPr>
            <w:tcW w:w="2694" w:type="dxa"/>
            <w:shd w:val="clear" w:color="auto" w:fill="auto"/>
            <w:noWrap/>
            <w:vAlign w:val="bottom"/>
            <w:hideMark/>
          </w:tcPr>
          <w:p w14:paraId="3ECCC5C0" w14:textId="77777777" w:rsidR="00C028D1" w:rsidRPr="00374A56" w:rsidRDefault="00C028D1" w:rsidP="003070DB">
            <w:pPr>
              <w:spacing w:after="0" w:line="240" w:lineRule="auto"/>
              <w:rPr>
                <w:rFonts w:ascii="Times New Roman" w:eastAsia="Times New Roman" w:hAnsi="Times New Roman" w:cs="Times New Roman"/>
                <w:sz w:val="20"/>
                <w:szCs w:val="20"/>
                <w:highlight w:val="yellow"/>
                <w:lang w:eastAsia="en-NZ"/>
              </w:rPr>
            </w:pPr>
          </w:p>
        </w:tc>
      </w:tr>
      <w:tr w:rsidR="00C028D1" w:rsidRPr="00374A56" w14:paraId="3B41E459" w14:textId="77777777" w:rsidTr="003070DB">
        <w:trPr>
          <w:trHeight w:val="900"/>
        </w:trPr>
        <w:tc>
          <w:tcPr>
            <w:tcW w:w="4106" w:type="dxa"/>
            <w:shd w:val="clear" w:color="auto" w:fill="auto"/>
            <w:vAlign w:val="bottom"/>
            <w:hideMark/>
          </w:tcPr>
          <w:p w14:paraId="20304A37"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Application for provisional consent to distribute a new medicine – clinical need</w:t>
            </w:r>
          </w:p>
        </w:tc>
        <w:tc>
          <w:tcPr>
            <w:tcW w:w="2693" w:type="dxa"/>
            <w:shd w:val="clear" w:color="auto" w:fill="auto"/>
            <w:noWrap/>
            <w:vAlign w:val="bottom"/>
            <w:hideMark/>
          </w:tcPr>
          <w:p w14:paraId="779BF1E0" w14:textId="77777777" w:rsidR="00C028D1" w:rsidRPr="00374A56" w:rsidRDefault="00C028D1" w:rsidP="003070DB">
            <w:pPr>
              <w:spacing w:after="0" w:line="240" w:lineRule="auto"/>
              <w:jc w:val="right"/>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8,437</w:t>
            </w:r>
          </w:p>
        </w:tc>
        <w:tc>
          <w:tcPr>
            <w:tcW w:w="2694" w:type="dxa"/>
            <w:shd w:val="clear" w:color="auto" w:fill="auto"/>
            <w:noWrap/>
            <w:vAlign w:val="bottom"/>
            <w:hideMark/>
          </w:tcPr>
          <w:p w14:paraId="349B0CAC" w14:textId="77777777" w:rsidR="00C028D1" w:rsidRPr="00374A56" w:rsidRDefault="00C028D1" w:rsidP="003070DB">
            <w:pPr>
              <w:spacing w:after="0" w:line="240" w:lineRule="auto"/>
              <w:jc w:val="right"/>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63,902 (or 85,202 if NCE)</w:t>
            </w:r>
          </w:p>
        </w:tc>
      </w:tr>
      <w:tr w:rsidR="00C028D1" w:rsidRPr="00374A56" w14:paraId="408B7D62" w14:textId="77777777" w:rsidTr="003070DB">
        <w:trPr>
          <w:trHeight w:val="600"/>
        </w:trPr>
        <w:tc>
          <w:tcPr>
            <w:tcW w:w="4106" w:type="dxa"/>
            <w:shd w:val="clear" w:color="auto" w:fill="auto"/>
            <w:vAlign w:val="bottom"/>
          </w:tcPr>
          <w:p w14:paraId="69E1F735"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Application for provisional consent to distribute a new medicine – stock shortage</w:t>
            </w:r>
          </w:p>
        </w:tc>
        <w:tc>
          <w:tcPr>
            <w:tcW w:w="2693" w:type="dxa"/>
            <w:shd w:val="clear" w:color="auto" w:fill="auto"/>
            <w:noWrap/>
            <w:vAlign w:val="bottom"/>
          </w:tcPr>
          <w:p w14:paraId="1CD59408" w14:textId="77777777" w:rsidR="00C028D1" w:rsidRPr="00374A56" w:rsidRDefault="00C028D1" w:rsidP="003070DB">
            <w:pPr>
              <w:spacing w:after="0" w:line="240" w:lineRule="auto"/>
              <w:jc w:val="right"/>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8,437</w:t>
            </w:r>
          </w:p>
        </w:tc>
        <w:tc>
          <w:tcPr>
            <w:tcW w:w="2694" w:type="dxa"/>
            <w:shd w:val="clear" w:color="auto" w:fill="auto"/>
            <w:noWrap/>
            <w:vAlign w:val="bottom"/>
          </w:tcPr>
          <w:p w14:paraId="489CC056" w14:textId="77777777" w:rsidR="00C028D1" w:rsidRPr="00374A56" w:rsidRDefault="00C028D1" w:rsidP="003070DB">
            <w:pPr>
              <w:spacing w:after="0" w:line="240" w:lineRule="auto"/>
              <w:jc w:val="right"/>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15,975 (or 21,301 if NCE)</w:t>
            </w:r>
          </w:p>
        </w:tc>
      </w:tr>
      <w:tr w:rsidR="00C028D1" w:rsidRPr="00374A56" w14:paraId="312C3D52" w14:textId="77777777" w:rsidTr="003070DB">
        <w:trPr>
          <w:trHeight w:val="600"/>
        </w:trPr>
        <w:tc>
          <w:tcPr>
            <w:tcW w:w="4106" w:type="dxa"/>
            <w:shd w:val="clear" w:color="auto" w:fill="auto"/>
            <w:vAlign w:val="bottom"/>
          </w:tcPr>
          <w:p w14:paraId="4255DFC9" w14:textId="77777777" w:rsidR="00C028D1" w:rsidRPr="00374A56" w:rsidRDefault="00C028D1" w:rsidP="003070DB">
            <w:pPr>
              <w:spacing w:after="0" w:line="240" w:lineRule="auto"/>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Provisional conversion to s20 – clinical need</w:t>
            </w:r>
          </w:p>
        </w:tc>
        <w:tc>
          <w:tcPr>
            <w:tcW w:w="2693" w:type="dxa"/>
            <w:shd w:val="clear" w:color="auto" w:fill="auto"/>
            <w:noWrap/>
            <w:vAlign w:val="bottom"/>
          </w:tcPr>
          <w:p w14:paraId="7376EAEC" w14:textId="77777777" w:rsidR="00C028D1" w:rsidRPr="00374A56" w:rsidRDefault="00C028D1" w:rsidP="003070DB">
            <w:pPr>
              <w:spacing w:after="0" w:line="240" w:lineRule="auto"/>
              <w:jc w:val="right"/>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w:t>
            </w:r>
          </w:p>
        </w:tc>
        <w:tc>
          <w:tcPr>
            <w:tcW w:w="2694" w:type="dxa"/>
            <w:shd w:val="clear" w:color="auto" w:fill="auto"/>
            <w:noWrap/>
            <w:vAlign w:val="bottom"/>
          </w:tcPr>
          <w:p w14:paraId="341F55D3" w14:textId="77777777" w:rsidR="00C028D1" w:rsidRPr="00374A56" w:rsidRDefault="00C028D1" w:rsidP="003070DB">
            <w:pPr>
              <w:spacing w:after="0" w:line="240" w:lineRule="auto"/>
              <w:jc w:val="right"/>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15,975 (or 21,301 if NCE)</w:t>
            </w:r>
          </w:p>
        </w:tc>
      </w:tr>
      <w:tr w:rsidR="00C028D1" w:rsidRPr="00374A56" w14:paraId="200EBDD3" w14:textId="77777777" w:rsidTr="003070DB">
        <w:trPr>
          <w:trHeight w:val="600"/>
        </w:trPr>
        <w:tc>
          <w:tcPr>
            <w:tcW w:w="4106" w:type="dxa"/>
            <w:shd w:val="clear" w:color="auto" w:fill="auto"/>
            <w:vAlign w:val="bottom"/>
          </w:tcPr>
          <w:p w14:paraId="09393913"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b/>
                <w:bCs/>
                <w:color w:val="000000"/>
                <w:highlight w:val="yellow"/>
                <w:lang w:eastAsia="en-NZ"/>
              </w:rPr>
              <w:t>Provisional conversion to s20 – stock shortage</w:t>
            </w:r>
          </w:p>
        </w:tc>
        <w:tc>
          <w:tcPr>
            <w:tcW w:w="2693" w:type="dxa"/>
            <w:shd w:val="clear" w:color="auto" w:fill="auto"/>
            <w:noWrap/>
            <w:vAlign w:val="bottom"/>
          </w:tcPr>
          <w:p w14:paraId="734F4FE9" w14:textId="77777777" w:rsidR="00C028D1" w:rsidRPr="00374A56" w:rsidRDefault="00C028D1" w:rsidP="003070DB">
            <w:pPr>
              <w:spacing w:after="0" w:line="240" w:lineRule="auto"/>
              <w:jc w:val="right"/>
              <w:rPr>
                <w:rFonts w:ascii="Calibri" w:eastAsia="Times New Roman" w:hAnsi="Calibri" w:cs="Times New Roman"/>
                <w:color w:val="000000"/>
                <w:highlight w:val="yellow"/>
                <w:lang w:eastAsia="en-NZ"/>
              </w:rPr>
            </w:pPr>
            <w:r w:rsidRPr="00374A56">
              <w:rPr>
                <w:rFonts w:ascii="Calibri" w:eastAsia="Times New Roman" w:hAnsi="Calibri" w:cs="Times New Roman"/>
                <w:b/>
                <w:bCs/>
                <w:color w:val="000000"/>
                <w:highlight w:val="yellow"/>
                <w:lang w:eastAsia="en-NZ"/>
              </w:rPr>
              <w:t>-</w:t>
            </w:r>
          </w:p>
        </w:tc>
        <w:tc>
          <w:tcPr>
            <w:tcW w:w="2694" w:type="dxa"/>
            <w:shd w:val="clear" w:color="auto" w:fill="auto"/>
            <w:noWrap/>
            <w:vAlign w:val="bottom"/>
          </w:tcPr>
          <w:p w14:paraId="44B99ED2" w14:textId="77777777" w:rsidR="00C028D1" w:rsidRPr="00374A56" w:rsidRDefault="00C028D1" w:rsidP="003070DB">
            <w:pPr>
              <w:spacing w:after="0" w:line="240" w:lineRule="auto"/>
              <w:jc w:val="right"/>
              <w:rPr>
                <w:rFonts w:ascii="Calibri" w:eastAsia="Times New Roman" w:hAnsi="Calibri" w:cs="Times New Roman"/>
                <w:color w:val="000000"/>
                <w:highlight w:val="yellow"/>
                <w:lang w:eastAsia="en-NZ"/>
              </w:rPr>
            </w:pPr>
            <w:r w:rsidRPr="00374A56">
              <w:rPr>
                <w:rFonts w:ascii="Calibri" w:eastAsia="Times New Roman" w:hAnsi="Calibri" w:cs="Times New Roman"/>
                <w:b/>
                <w:bCs/>
                <w:color w:val="000000"/>
                <w:highlight w:val="yellow"/>
                <w:lang w:eastAsia="en-NZ"/>
              </w:rPr>
              <w:t>63,902 (or 85,202 if NCE)</w:t>
            </w:r>
          </w:p>
        </w:tc>
      </w:tr>
      <w:tr w:rsidR="00C028D1" w:rsidRPr="002017C6" w14:paraId="5CD0B88D" w14:textId="77777777" w:rsidTr="003070DB">
        <w:trPr>
          <w:trHeight w:val="600"/>
        </w:trPr>
        <w:tc>
          <w:tcPr>
            <w:tcW w:w="4106" w:type="dxa"/>
            <w:shd w:val="clear" w:color="auto" w:fill="auto"/>
            <w:vAlign w:val="bottom"/>
          </w:tcPr>
          <w:p w14:paraId="709511D4"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 xml:space="preserve">Application for renewal of provisional consent </w:t>
            </w:r>
          </w:p>
        </w:tc>
        <w:tc>
          <w:tcPr>
            <w:tcW w:w="2693" w:type="dxa"/>
            <w:shd w:val="clear" w:color="auto" w:fill="auto"/>
            <w:noWrap/>
            <w:vAlign w:val="bottom"/>
          </w:tcPr>
          <w:p w14:paraId="21D9EB7A" w14:textId="77777777" w:rsidR="00C028D1" w:rsidRPr="00374A56" w:rsidRDefault="00C028D1" w:rsidP="003070DB">
            <w:pPr>
              <w:spacing w:after="0" w:line="240" w:lineRule="auto"/>
              <w:jc w:val="right"/>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500</w:t>
            </w:r>
          </w:p>
        </w:tc>
        <w:tc>
          <w:tcPr>
            <w:tcW w:w="2694" w:type="dxa"/>
            <w:shd w:val="clear" w:color="auto" w:fill="auto"/>
            <w:noWrap/>
            <w:vAlign w:val="bottom"/>
          </w:tcPr>
          <w:p w14:paraId="402B6BBB" w14:textId="77777777" w:rsidR="00C028D1" w:rsidRPr="00EC6685" w:rsidRDefault="00C028D1" w:rsidP="003070DB">
            <w:pPr>
              <w:spacing w:after="0" w:line="240" w:lineRule="auto"/>
              <w:jc w:val="right"/>
              <w:rPr>
                <w:rFonts w:ascii="Calibri" w:eastAsia="Times New Roman" w:hAnsi="Calibri" w:cs="Times New Roman"/>
                <w:b/>
                <w:bCs/>
                <w:color w:val="000000"/>
                <w:lang w:eastAsia="en-NZ"/>
              </w:rPr>
            </w:pPr>
            <w:r w:rsidRPr="00374A56">
              <w:rPr>
                <w:rFonts w:ascii="Calibri" w:eastAsia="Times New Roman" w:hAnsi="Calibri" w:cs="Times New Roman"/>
                <w:b/>
                <w:bCs/>
                <w:color w:val="000000"/>
                <w:highlight w:val="yellow"/>
                <w:lang w:eastAsia="en-NZ"/>
              </w:rPr>
              <w:t>27,957 (or 37,276 if NCE)</w:t>
            </w:r>
          </w:p>
        </w:tc>
      </w:tr>
      <w:tr w:rsidR="00C028D1" w:rsidRPr="002017C6" w14:paraId="091BE4B9" w14:textId="77777777" w:rsidTr="003070DB">
        <w:trPr>
          <w:trHeight w:val="2311"/>
        </w:trPr>
        <w:tc>
          <w:tcPr>
            <w:tcW w:w="9493" w:type="dxa"/>
            <w:gridSpan w:val="3"/>
            <w:shd w:val="clear" w:color="auto" w:fill="auto"/>
            <w:vAlign w:val="bottom"/>
            <w:hideMark/>
          </w:tcPr>
          <w:p w14:paraId="4E44EE56"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Changed Medicine Notifications (CMN) Fees</w:t>
            </w:r>
          </w:p>
          <w:p w14:paraId="45782F69"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Non-Biological Medicine (CMN Form A)</w:t>
            </w:r>
          </w:p>
          <w:p w14:paraId="2EBFA4A4" w14:textId="77777777" w:rsidR="00C028D1" w:rsidRPr="002017C6" w:rsidRDefault="00C028D1" w:rsidP="003070DB">
            <w:pPr>
              <w:spacing w:after="0" w:line="240" w:lineRule="auto"/>
              <w:jc w:val="right"/>
              <w:rPr>
                <w:rFonts w:ascii="Times New Roman" w:eastAsia="Times New Roman" w:hAnsi="Times New Roman" w:cs="Times New Roman"/>
                <w:sz w:val="20"/>
                <w:szCs w:val="20"/>
                <w:lang w:eastAsia="en-NZ"/>
              </w:rPr>
            </w:pPr>
            <w:r w:rsidRPr="00EC6685">
              <w:rPr>
                <w:rFonts w:ascii="Calibri" w:eastAsia="Times New Roman" w:hAnsi="Calibri" w:cs="Times New Roman"/>
                <w:i/>
                <w:iCs/>
                <w:color w:val="000000"/>
                <w:lang w:eastAsia="en-NZ"/>
              </w:rPr>
              <w:t>Notifying a material change (including self-assessable changes) to an approved Type I product (lower- risk medicine) or a Type II product (intermediate- or higher-risk medicine other than a biological or biotechnological product − but including antibiotics and like substances derived from micro-organisms). Note: In no case will the CMN/Change Related Product Notification (CRPN) fee for a single product exceed the fee for a new medicine application for a product of the same type</w:t>
            </w:r>
          </w:p>
        </w:tc>
      </w:tr>
      <w:tr w:rsidR="00C028D1" w:rsidRPr="002017C6" w14:paraId="55014DBA" w14:textId="77777777" w:rsidTr="003070DB">
        <w:trPr>
          <w:trHeight w:val="300"/>
        </w:trPr>
        <w:tc>
          <w:tcPr>
            <w:tcW w:w="4106" w:type="dxa"/>
            <w:shd w:val="clear" w:color="auto" w:fill="auto"/>
            <w:vAlign w:val="bottom"/>
            <w:hideMark/>
          </w:tcPr>
          <w:p w14:paraId="0E224914"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Product name</w:t>
            </w:r>
          </w:p>
        </w:tc>
        <w:tc>
          <w:tcPr>
            <w:tcW w:w="2693" w:type="dxa"/>
            <w:shd w:val="clear" w:color="auto" w:fill="auto"/>
            <w:noWrap/>
            <w:vAlign w:val="bottom"/>
            <w:hideMark/>
          </w:tcPr>
          <w:p w14:paraId="545A3CC3"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24D9DD0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4A112426" w14:textId="77777777" w:rsidTr="003070DB">
        <w:trPr>
          <w:trHeight w:val="300"/>
        </w:trPr>
        <w:tc>
          <w:tcPr>
            <w:tcW w:w="4106" w:type="dxa"/>
            <w:shd w:val="clear" w:color="auto" w:fill="auto"/>
            <w:vAlign w:val="bottom"/>
            <w:hideMark/>
          </w:tcPr>
          <w:p w14:paraId="2E0FBFE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Product name, for each new name </w:t>
            </w:r>
          </w:p>
        </w:tc>
        <w:tc>
          <w:tcPr>
            <w:tcW w:w="2693" w:type="dxa"/>
            <w:shd w:val="clear" w:color="auto" w:fill="auto"/>
            <w:noWrap/>
            <w:vAlign w:val="bottom"/>
            <w:hideMark/>
          </w:tcPr>
          <w:p w14:paraId="2D41A08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49B89AA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45CDCD2D" w14:textId="77777777" w:rsidTr="003070DB">
        <w:trPr>
          <w:trHeight w:val="300"/>
        </w:trPr>
        <w:tc>
          <w:tcPr>
            <w:tcW w:w="4106" w:type="dxa"/>
            <w:shd w:val="clear" w:color="auto" w:fill="auto"/>
            <w:vAlign w:val="bottom"/>
            <w:hideMark/>
          </w:tcPr>
          <w:p w14:paraId="0EA4A3D8"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Formulation</w:t>
            </w:r>
          </w:p>
        </w:tc>
        <w:tc>
          <w:tcPr>
            <w:tcW w:w="2693" w:type="dxa"/>
            <w:shd w:val="clear" w:color="auto" w:fill="auto"/>
            <w:noWrap/>
            <w:vAlign w:val="bottom"/>
            <w:hideMark/>
          </w:tcPr>
          <w:p w14:paraId="5D2E475F"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5374E04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5A31BA4" w14:textId="77777777" w:rsidTr="003070DB">
        <w:trPr>
          <w:trHeight w:val="300"/>
        </w:trPr>
        <w:tc>
          <w:tcPr>
            <w:tcW w:w="4106" w:type="dxa"/>
            <w:shd w:val="clear" w:color="auto" w:fill="auto"/>
            <w:vAlign w:val="bottom"/>
            <w:hideMark/>
          </w:tcPr>
          <w:p w14:paraId="0345241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Formulation − Grade 1, Type 1</w:t>
            </w:r>
          </w:p>
        </w:tc>
        <w:tc>
          <w:tcPr>
            <w:tcW w:w="2693" w:type="dxa"/>
            <w:shd w:val="clear" w:color="auto" w:fill="auto"/>
            <w:noWrap/>
            <w:vAlign w:val="bottom"/>
            <w:hideMark/>
          </w:tcPr>
          <w:p w14:paraId="0E858F8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34DFB80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0D38E540" w14:textId="77777777" w:rsidTr="003070DB">
        <w:trPr>
          <w:trHeight w:val="300"/>
        </w:trPr>
        <w:tc>
          <w:tcPr>
            <w:tcW w:w="4106" w:type="dxa"/>
            <w:shd w:val="clear" w:color="auto" w:fill="auto"/>
            <w:vAlign w:val="bottom"/>
            <w:hideMark/>
          </w:tcPr>
          <w:p w14:paraId="5D68202B"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1, Type 2 </w:t>
            </w:r>
          </w:p>
        </w:tc>
        <w:tc>
          <w:tcPr>
            <w:tcW w:w="2693" w:type="dxa"/>
            <w:shd w:val="clear" w:color="auto" w:fill="auto"/>
            <w:noWrap/>
            <w:vAlign w:val="bottom"/>
            <w:hideMark/>
          </w:tcPr>
          <w:p w14:paraId="7EA6F74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666A0B1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59</w:t>
            </w:r>
            <w:r>
              <w:rPr>
                <w:rFonts w:ascii="Calibri" w:eastAsia="Times New Roman" w:hAnsi="Calibri" w:cs="Times New Roman"/>
                <w:color w:val="000000"/>
                <w:lang w:eastAsia="en-NZ"/>
              </w:rPr>
              <w:t>5</w:t>
            </w:r>
          </w:p>
        </w:tc>
      </w:tr>
      <w:tr w:rsidR="00C028D1" w:rsidRPr="002017C6" w14:paraId="7C8C7F2C" w14:textId="77777777" w:rsidTr="003070DB">
        <w:trPr>
          <w:trHeight w:val="300"/>
        </w:trPr>
        <w:tc>
          <w:tcPr>
            <w:tcW w:w="4106" w:type="dxa"/>
            <w:shd w:val="clear" w:color="auto" w:fill="auto"/>
            <w:vAlign w:val="bottom"/>
            <w:hideMark/>
          </w:tcPr>
          <w:p w14:paraId="5ABF84F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2, Type 1 </w:t>
            </w:r>
          </w:p>
        </w:tc>
        <w:tc>
          <w:tcPr>
            <w:tcW w:w="2693" w:type="dxa"/>
            <w:shd w:val="clear" w:color="auto" w:fill="auto"/>
            <w:noWrap/>
            <w:vAlign w:val="bottom"/>
            <w:hideMark/>
          </w:tcPr>
          <w:p w14:paraId="005BF05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621FE47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7024C9EA" w14:textId="77777777" w:rsidTr="003070DB">
        <w:trPr>
          <w:trHeight w:val="300"/>
        </w:trPr>
        <w:tc>
          <w:tcPr>
            <w:tcW w:w="4106" w:type="dxa"/>
            <w:shd w:val="clear" w:color="auto" w:fill="auto"/>
            <w:vAlign w:val="bottom"/>
            <w:hideMark/>
          </w:tcPr>
          <w:p w14:paraId="34F7B05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3, Type 1 </w:t>
            </w:r>
          </w:p>
        </w:tc>
        <w:tc>
          <w:tcPr>
            <w:tcW w:w="2693" w:type="dxa"/>
            <w:shd w:val="clear" w:color="auto" w:fill="auto"/>
            <w:noWrap/>
            <w:vAlign w:val="bottom"/>
            <w:hideMark/>
          </w:tcPr>
          <w:p w14:paraId="1D34250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2,075</w:t>
            </w:r>
          </w:p>
        </w:tc>
        <w:tc>
          <w:tcPr>
            <w:tcW w:w="2694" w:type="dxa"/>
            <w:shd w:val="clear" w:color="auto" w:fill="auto"/>
            <w:noWrap/>
            <w:vAlign w:val="bottom"/>
            <w:hideMark/>
          </w:tcPr>
          <w:p w14:paraId="747CBB2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162</w:t>
            </w:r>
          </w:p>
        </w:tc>
      </w:tr>
      <w:tr w:rsidR="00C028D1" w:rsidRPr="002017C6" w14:paraId="50E1A0E5" w14:textId="77777777" w:rsidTr="003070DB">
        <w:trPr>
          <w:trHeight w:val="300"/>
        </w:trPr>
        <w:tc>
          <w:tcPr>
            <w:tcW w:w="4106" w:type="dxa"/>
            <w:shd w:val="clear" w:color="auto" w:fill="auto"/>
            <w:vAlign w:val="bottom"/>
            <w:hideMark/>
          </w:tcPr>
          <w:p w14:paraId="4E6314DC"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4, Type 1 </w:t>
            </w:r>
          </w:p>
        </w:tc>
        <w:tc>
          <w:tcPr>
            <w:tcW w:w="2693" w:type="dxa"/>
            <w:shd w:val="clear" w:color="auto" w:fill="auto"/>
            <w:noWrap/>
            <w:vAlign w:val="bottom"/>
            <w:hideMark/>
          </w:tcPr>
          <w:p w14:paraId="4A2429B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6860491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59</w:t>
            </w:r>
            <w:r>
              <w:rPr>
                <w:rFonts w:ascii="Calibri" w:eastAsia="Times New Roman" w:hAnsi="Calibri" w:cs="Times New Roman"/>
                <w:color w:val="000000"/>
                <w:lang w:eastAsia="en-NZ"/>
              </w:rPr>
              <w:t>5</w:t>
            </w:r>
          </w:p>
        </w:tc>
      </w:tr>
      <w:tr w:rsidR="00C028D1" w:rsidRPr="002017C6" w14:paraId="50E92152" w14:textId="77777777" w:rsidTr="003070DB">
        <w:trPr>
          <w:trHeight w:val="300"/>
        </w:trPr>
        <w:tc>
          <w:tcPr>
            <w:tcW w:w="4106" w:type="dxa"/>
            <w:shd w:val="clear" w:color="auto" w:fill="auto"/>
            <w:vAlign w:val="bottom"/>
            <w:hideMark/>
          </w:tcPr>
          <w:p w14:paraId="7AE6565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4, Type 2 </w:t>
            </w:r>
          </w:p>
        </w:tc>
        <w:tc>
          <w:tcPr>
            <w:tcW w:w="2693" w:type="dxa"/>
            <w:shd w:val="clear" w:color="auto" w:fill="auto"/>
            <w:noWrap/>
            <w:vAlign w:val="bottom"/>
            <w:hideMark/>
          </w:tcPr>
          <w:p w14:paraId="718B500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088AD3B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334</w:t>
            </w:r>
          </w:p>
        </w:tc>
      </w:tr>
      <w:tr w:rsidR="00C028D1" w:rsidRPr="002017C6" w14:paraId="6141E6E0" w14:textId="77777777" w:rsidTr="003070DB">
        <w:trPr>
          <w:trHeight w:val="300"/>
        </w:trPr>
        <w:tc>
          <w:tcPr>
            <w:tcW w:w="4106" w:type="dxa"/>
            <w:shd w:val="clear" w:color="auto" w:fill="auto"/>
            <w:vAlign w:val="bottom"/>
            <w:hideMark/>
          </w:tcPr>
          <w:p w14:paraId="1AB01AB6"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 xml:space="preserve">Active ingredient </w:t>
            </w:r>
          </w:p>
        </w:tc>
        <w:tc>
          <w:tcPr>
            <w:tcW w:w="2693" w:type="dxa"/>
            <w:shd w:val="clear" w:color="auto" w:fill="auto"/>
            <w:noWrap/>
            <w:vAlign w:val="bottom"/>
            <w:hideMark/>
          </w:tcPr>
          <w:p w14:paraId="70FD7C60"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47995AE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615FDB6D" w14:textId="77777777" w:rsidTr="003070DB">
        <w:trPr>
          <w:trHeight w:val="600"/>
        </w:trPr>
        <w:tc>
          <w:tcPr>
            <w:tcW w:w="4106" w:type="dxa"/>
            <w:shd w:val="clear" w:color="auto" w:fill="auto"/>
            <w:vAlign w:val="bottom"/>
            <w:hideMark/>
          </w:tcPr>
          <w:p w14:paraId="384302BB"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Active ingredient manufacturing site</w:t>
            </w:r>
          </w:p>
        </w:tc>
        <w:tc>
          <w:tcPr>
            <w:tcW w:w="2693" w:type="dxa"/>
            <w:shd w:val="clear" w:color="auto" w:fill="auto"/>
            <w:noWrap/>
            <w:vAlign w:val="bottom"/>
            <w:hideMark/>
          </w:tcPr>
          <w:p w14:paraId="7DCC943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C5F5C2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499D6127" w14:textId="77777777" w:rsidTr="003070DB">
        <w:trPr>
          <w:trHeight w:val="600"/>
        </w:trPr>
        <w:tc>
          <w:tcPr>
            <w:tcW w:w="4106" w:type="dxa"/>
            <w:shd w:val="clear" w:color="auto" w:fill="auto"/>
            <w:vAlign w:val="bottom"/>
            <w:hideMark/>
          </w:tcPr>
          <w:p w14:paraId="3571BD7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manufacturing process − Grade 1, Type 1 </w:t>
            </w:r>
          </w:p>
        </w:tc>
        <w:tc>
          <w:tcPr>
            <w:tcW w:w="2693" w:type="dxa"/>
            <w:shd w:val="clear" w:color="auto" w:fill="auto"/>
            <w:noWrap/>
            <w:vAlign w:val="bottom"/>
            <w:hideMark/>
          </w:tcPr>
          <w:p w14:paraId="677E420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1B8623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3189E4CC" w14:textId="77777777" w:rsidTr="003070DB">
        <w:trPr>
          <w:trHeight w:val="600"/>
        </w:trPr>
        <w:tc>
          <w:tcPr>
            <w:tcW w:w="4106" w:type="dxa"/>
            <w:shd w:val="clear" w:color="auto" w:fill="auto"/>
            <w:vAlign w:val="bottom"/>
            <w:hideMark/>
          </w:tcPr>
          <w:p w14:paraId="35A4E86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manufacturing process - Grade 1, Type 2 </w:t>
            </w:r>
          </w:p>
        </w:tc>
        <w:tc>
          <w:tcPr>
            <w:tcW w:w="2693" w:type="dxa"/>
            <w:shd w:val="clear" w:color="auto" w:fill="auto"/>
            <w:noWrap/>
            <w:vAlign w:val="bottom"/>
            <w:hideMark/>
          </w:tcPr>
          <w:p w14:paraId="1274FCC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D12491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2BD5F557" w14:textId="77777777" w:rsidTr="003070DB">
        <w:trPr>
          <w:trHeight w:val="600"/>
        </w:trPr>
        <w:tc>
          <w:tcPr>
            <w:tcW w:w="4106" w:type="dxa"/>
            <w:shd w:val="clear" w:color="auto" w:fill="auto"/>
            <w:vAlign w:val="bottom"/>
            <w:hideMark/>
          </w:tcPr>
          <w:p w14:paraId="121B34D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manufacturing process − Grade 2, Type 1 </w:t>
            </w:r>
          </w:p>
        </w:tc>
        <w:tc>
          <w:tcPr>
            <w:tcW w:w="2693" w:type="dxa"/>
            <w:shd w:val="clear" w:color="auto" w:fill="auto"/>
            <w:noWrap/>
            <w:vAlign w:val="bottom"/>
            <w:hideMark/>
          </w:tcPr>
          <w:p w14:paraId="38C7B21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6007F1D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334</w:t>
            </w:r>
          </w:p>
        </w:tc>
      </w:tr>
      <w:tr w:rsidR="00C028D1" w:rsidRPr="002017C6" w14:paraId="3E5870CC" w14:textId="77777777" w:rsidTr="003070DB">
        <w:trPr>
          <w:trHeight w:val="600"/>
        </w:trPr>
        <w:tc>
          <w:tcPr>
            <w:tcW w:w="4106" w:type="dxa"/>
            <w:shd w:val="clear" w:color="auto" w:fill="auto"/>
            <w:vAlign w:val="bottom"/>
            <w:hideMark/>
          </w:tcPr>
          <w:p w14:paraId="4A31C67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manufacturing process − Grade 2, Type 2 </w:t>
            </w:r>
          </w:p>
        </w:tc>
        <w:tc>
          <w:tcPr>
            <w:tcW w:w="2693" w:type="dxa"/>
            <w:shd w:val="clear" w:color="auto" w:fill="auto"/>
            <w:noWrap/>
            <w:vAlign w:val="bottom"/>
            <w:hideMark/>
          </w:tcPr>
          <w:p w14:paraId="7297EED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49B1A01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334</w:t>
            </w:r>
          </w:p>
        </w:tc>
      </w:tr>
      <w:tr w:rsidR="00C028D1" w:rsidRPr="002017C6" w14:paraId="0EA9BEE3" w14:textId="77777777" w:rsidTr="003070DB">
        <w:trPr>
          <w:trHeight w:val="600"/>
        </w:trPr>
        <w:tc>
          <w:tcPr>
            <w:tcW w:w="4106" w:type="dxa"/>
            <w:shd w:val="clear" w:color="auto" w:fill="auto"/>
            <w:vAlign w:val="bottom"/>
            <w:hideMark/>
          </w:tcPr>
          <w:p w14:paraId="61EC0A0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manufacturing process − Grade 3, Type 1 </w:t>
            </w:r>
          </w:p>
        </w:tc>
        <w:tc>
          <w:tcPr>
            <w:tcW w:w="2693" w:type="dxa"/>
            <w:shd w:val="clear" w:color="auto" w:fill="auto"/>
            <w:noWrap/>
            <w:vAlign w:val="bottom"/>
            <w:hideMark/>
          </w:tcPr>
          <w:p w14:paraId="374A09D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E6909C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0FCC04B9" w14:textId="77777777" w:rsidTr="003070DB">
        <w:trPr>
          <w:trHeight w:val="600"/>
        </w:trPr>
        <w:tc>
          <w:tcPr>
            <w:tcW w:w="4106" w:type="dxa"/>
            <w:shd w:val="clear" w:color="auto" w:fill="auto"/>
            <w:vAlign w:val="bottom"/>
            <w:hideMark/>
          </w:tcPr>
          <w:p w14:paraId="210CD3E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Active ingredient manufacturing process − Grade 3, Type 2 </w:t>
            </w:r>
          </w:p>
        </w:tc>
        <w:tc>
          <w:tcPr>
            <w:tcW w:w="2693" w:type="dxa"/>
            <w:shd w:val="clear" w:color="auto" w:fill="auto"/>
            <w:noWrap/>
            <w:vAlign w:val="bottom"/>
            <w:hideMark/>
          </w:tcPr>
          <w:p w14:paraId="0429D25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376CE0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790A0BCB" w14:textId="77777777" w:rsidTr="003070DB">
        <w:trPr>
          <w:trHeight w:val="900"/>
        </w:trPr>
        <w:tc>
          <w:tcPr>
            <w:tcW w:w="4106" w:type="dxa"/>
            <w:shd w:val="clear" w:color="auto" w:fill="auto"/>
            <w:vAlign w:val="bottom"/>
            <w:hideMark/>
          </w:tcPr>
          <w:p w14:paraId="20DDD69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1 </w:t>
            </w:r>
          </w:p>
        </w:tc>
        <w:tc>
          <w:tcPr>
            <w:tcW w:w="2693" w:type="dxa"/>
            <w:shd w:val="clear" w:color="auto" w:fill="auto"/>
            <w:noWrap/>
            <w:vAlign w:val="bottom"/>
            <w:hideMark/>
          </w:tcPr>
          <w:p w14:paraId="797D5CB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595A520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432</w:t>
            </w:r>
          </w:p>
        </w:tc>
      </w:tr>
      <w:tr w:rsidR="00C028D1" w:rsidRPr="002017C6" w14:paraId="3783EEAA" w14:textId="77777777" w:rsidTr="003070DB">
        <w:trPr>
          <w:trHeight w:val="900"/>
        </w:trPr>
        <w:tc>
          <w:tcPr>
            <w:tcW w:w="4106" w:type="dxa"/>
            <w:shd w:val="clear" w:color="auto" w:fill="auto"/>
            <w:vAlign w:val="bottom"/>
            <w:hideMark/>
          </w:tcPr>
          <w:p w14:paraId="1173538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2 </w:t>
            </w:r>
          </w:p>
        </w:tc>
        <w:tc>
          <w:tcPr>
            <w:tcW w:w="2693" w:type="dxa"/>
            <w:shd w:val="clear" w:color="auto" w:fill="auto"/>
            <w:noWrap/>
            <w:vAlign w:val="bottom"/>
            <w:hideMark/>
          </w:tcPr>
          <w:p w14:paraId="1057069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5A434A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7E3453EB" w14:textId="77777777" w:rsidTr="003070DB">
        <w:trPr>
          <w:trHeight w:val="900"/>
        </w:trPr>
        <w:tc>
          <w:tcPr>
            <w:tcW w:w="4106" w:type="dxa"/>
            <w:shd w:val="clear" w:color="auto" w:fill="auto"/>
            <w:vAlign w:val="bottom"/>
            <w:hideMark/>
          </w:tcPr>
          <w:p w14:paraId="5B67B21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3 </w:t>
            </w:r>
          </w:p>
        </w:tc>
        <w:tc>
          <w:tcPr>
            <w:tcW w:w="2693" w:type="dxa"/>
            <w:shd w:val="clear" w:color="auto" w:fill="auto"/>
            <w:noWrap/>
            <w:vAlign w:val="bottom"/>
            <w:hideMark/>
          </w:tcPr>
          <w:p w14:paraId="34272CD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DF0E95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0B363DFF" w14:textId="77777777" w:rsidTr="003070DB">
        <w:trPr>
          <w:trHeight w:val="900"/>
        </w:trPr>
        <w:tc>
          <w:tcPr>
            <w:tcW w:w="4106" w:type="dxa"/>
            <w:shd w:val="clear" w:color="auto" w:fill="auto"/>
            <w:vAlign w:val="bottom"/>
            <w:hideMark/>
          </w:tcPr>
          <w:p w14:paraId="388449B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4, Type 1 </w:t>
            </w:r>
          </w:p>
        </w:tc>
        <w:tc>
          <w:tcPr>
            <w:tcW w:w="2693" w:type="dxa"/>
            <w:shd w:val="clear" w:color="auto" w:fill="auto"/>
            <w:noWrap/>
            <w:vAlign w:val="bottom"/>
            <w:hideMark/>
          </w:tcPr>
          <w:p w14:paraId="460DE31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DCE378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228A4400" w14:textId="77777777" w:rsidTr="003070DB">
        <w:trPr>
          <w:trHeight w:val="900"/>
        </w:trPr>
        <w:tc>
          <w:tcPr>
            <w:tcW w:w="4106" w:type="dxa"/>
            <w:shd w:val="clear" w:color="auto" w:fill="auto"/>
            <w:vAlign w:val="bottom"/>
            <w:hideMark/>
          </w:tcPr>
          <w:p w14:paraId="3AF5195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4, Type 2 </w:t>
            </w:r>
          </w:p>
        </w:tc>
        <w:tc>
          <w:tcPr>
            <w:tcW w:w="2693" w:type="dxa"/>
            <w:shd w:val="clear" w:color="auto" w:fill="auto"/>
            <w:noWrap/>
            <w:vAlign w:val="bottom"/>
            <w:hideMark/>
          </w:tcPr>
          <w:p w14:paraId="67D9A67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23D44C9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5A85C267" w14:textId="77777777" w:rsidTr="003070DB">
        <w:trPr>
          <w:trHeight w:val="300"/>
        </w:trPr>
        <w:tc>
          <w:tcPr>
            <w:tcW w:w="4106" w:type="dxa"/>
            <w:shd w:val="clear" w:color="auto" w:fill="auto"/>
            <w:vAlign w:val="bottom"/>
            <w:hideMark/>
          </w:tcPr>
          <w:p w14:paraId="2D5F6800"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 xml:space="preserve">Excipient </w:t>
            </w:r>
          </w:p>
        </w:tc>
        <w:tc>
          <w:tcPr>
            <w:tcW w:w="2693" w:type="dxa"/>
            <w:shd w:val="clear" w:color="auto" w:fill="auto"/>
            <w:noWrap/>
            <w:vAlign w:val="bottom"/>
            <w:hideMark/>
          </w:tcPr>
          <w:p w14:paraId="4025A416"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7F14C2E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5B6C5B14" w14:textId="77777777" w:rsidTr="003070DB">
        <w:trPr>
          <w:trHeight w:val="600"/>
        </w:trPr>
        <w:tc>
          <w:tcPr>
            <w:tcW w:w="4106" w:type="dxa"/>
            <w:shd w:val="clear" w:color="auto" w:fill="auto"/>
            <w:vAlign w:val="bottom"/>
            <w:hideMark/>
          </w:tcPr>
          <w:p w14:paraId="587FC2F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Excipient specifications/test methods − Grade 1 </w:t>
            </w:r>
          </w:p>
        </w:tc>
        <w:tc>
          <w:tcPr>
            <w:tcW w:w="2693" w:type="dxa"/>
            <w:shd w:val="clear" w:color="auto" w:fill="auto"/>
            <w:noWrap/>
            <w:vAlign w:val="bottom"/>
            <w:hideMark/>
          </w:tcPr>
          <w:p w14:paraId="38670D2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6470EE2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432</w:t>
            </w:r>
          </w:p>
        </w:tc>
      </w:tr>
      <w:tr w:rsidR="00C028D1" w:rsidRPr="002017C6" w14:paraId="106DDC35" w14:textId="77777777" w:rsidTr="003070DB">
        <w:trPr>
          <w:trHeight w:val="600"/>
        </w:trPr>
        <w:tc>
          <w:tcPr>
            <w:tcW w:w="4106" w:type="dxa"/>
            <w:shd w:val="clear" w:color="auto" w:fill="auto"/>
            <w:vAlign w:val="bottom"/>
            <w:hideMark/>
          </w:tcPr>
          <w:p w14:paraId="66EEE81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Excipient specifications/test methods − Grade 2 </w:t>
            </w:r>
          </w:p>
        </w:tc>
        <w:tc>
          <w:tcPr>
            <w:tcW w:w="2693" w:type="dxa"/>
            <w:shd w:val="clear" w:color="auto" w:fill="auto"/>
            <w:noWrap/>
            <w:vAlign w:val="bottom"/>
            <w:hideMark/>
          </w:tcPr>
          <w:p w14:paraId="764B257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3BE9B91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6C4A63FD" w14:textId="77777777" w:rsidTr="003070DB">
        <w:trPr>
          <w:trHeight w:val="600"/>
        </w:trPr>
        <w:tc>
          <w:tcPr>
            <w:tcW w:w="4106" w:type="dxa"/>
            <w:shd w:val="clear" w:color="auto" w:fill="auto"/>
            <w:vAlign w:val="bottom"/>
            <w:hideMark/>
          </w:tcPr>
          <w:p w14:paraId="61A5899C"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Excipient specifications/test methods − Grade 3 </w:t>
            </w:r>
          </w:p>
        </w:tc>
        <w:tc>
          <w:tcPr>
            <w:tcW w:w="2693" w:type="dxa"/>
            <w:shd w:val="clear" w:color="auto" w:fill="auto"/>
            <w:noWrap/>
            <w:vAlign w:val="bottom"/>
            <w:hideMark/>
          </w:tcPr>
          <w:p w14:paraId="269D13E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310F31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5B733003" w14:textId="77777777" w:rsidTr="003070DB">
        <w:trPr>
          <w:trHeight w:val="300"/>
        </w:trPr>
        <w:tc>
          <w:tcPr>
            <w:tcW w:w="4106" w:type="dxa"/>
            <w:shd w:val="clear" w:color="auto" w:fill="auto"/>
            <w:vAlign w:val="bottom"/>
            <w:hideMark/>
          </w:tcPr>
          <w:p w14:paraId="7CEAC862"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Finished product</w:t>
            </w:r>
          </w:p>
        </w:tc>
        <w:tc>
          <w:tcPr>
            <w:tcW w:w="2693" w:type="dxa"/>
            <w:shd w:val="clear" w:color="auto" w:fill="auto"/>
            <w:noWrap/>
            <w:vAlign w:val="bottom"/>
            <w:hideMark/>
          </w:tcPr>
          <w:p w14:paraId="561651F5"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315315A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497871F6" w14:textId="77777777" w:rsidTr="003070DB">
        <w:trPr>
          <w:trHeight w:val="600"/>
        </w:trPr>
        <w:tc>
          <w:tcPr>
            <w:tcW w:w="4106" w:type="dxa"/>
            <w:shd w:val="clear" w:color="auto" w:fill="auto"/>
            <w:vAlign w:val="bottom"/>
            <w:hideMark/>
          </w:tcPr>
          <w:p w14:paraId="6D05DCB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packing site − Grade 1 </w:t>
            </w:r>
          </w:p>
        </w:tc>
        <w:tc>
          <w:tcPr>
            <w:tcW w:w="2693" w:type="dxa"/>
            <w:shd w:val="clear" w:color="auto" w:fill="auto"/>
            <w:noWrap/>
            <w:vAlign w:val="bottom"/>
            <w:hideMark/>
          </w:tcPr>
          <w:p w14:paraId="14F0914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6C02FB8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0F11AC8C" w14:textId="77777777" w:rsidTr="003070DB">
        <w:trPr>
          <w:trHeight w:val="600"/>
        </w:trPr>
        <w:tc>
          <w:tcPr>
            <w:tcW w:w="4106" w:type="dxa"/>
            <w:shd w:val="clear" w:color="auto" w:fill="auto"/>
            <w:vAlign w:val="bottom"/>
            <w:hideMark/>
          </w:tcPr>
          <w:p w14:paraId="2CB8D76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packing site − Grade 2 </w:t>
            </w:r>
          </w:p>
        </w:tc>
        <w:tc>
          <w:tcPr>
            <w:tcW w:w="2693" w:type="dxa"/>
            <w:shd w:val="clear" w:color="auto" w:fill="auto"/>
            <w:noWrap/>
            <w:vAlign w:val="bottom"/>
            <w:hideMark/>
          </w:tcPr>
          <w:p w14:paraId="4A2BD5D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0EB69F8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30D18D12" w14:textId="77777777" w:rsidTr="003070DB">
        <w:trPr>
          <w:trHeight w:val="600"/>
        </w:trPr>
        <w:tc>
          <w:tcPr>
            <w:tcW w:w="4106" w:type="dxa"/>
            <w:shd w:val="clear" w:color="auto" w:fill="auto"/>
            <w:vAlign w:val="bottom"/>
            <w:hideMark/>
          </w:tcPr>
          <w:p w14:paraId="34152F6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1, Type 1 </w:t>
            </w:r>
          </w:p>
        </w:tc>
        <w:tc>
          <w:tcPr>
            <w:tcW w:w="2693" w:type="dxa"/>
            <w:shd w:val="clear" w:color="auto" w:fill="auto"/>
            <w:noWrap/>
            <w:vAlign w:val="bottom"/>
            <w:hideMark/>
          </w:tcPr>
          <w:p w14:paraId="2BC96E1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699268F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08ECDF0D" w14:textId="77777777" w:rsidTr="003070DB">
        <w:trPr>
          <w:trHeight w:val="600"/>
        </w:trPr>
        <w:tc>
          <w:tcPr>
            <w:tcW w:w="4106" w:type="dxa"/>
            <w:shd w:val="clear" w:color="auto" w:fill="auto"/>
            <w:vAlign w:val="bottom"/>
            <w:hideMark/>
          </w:tcPr>
          <w:p w14:paraId="721DADF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1, Type 2 </w:t>
            </w:r>
          </w:p>
        </w:tc>
        <w:tc>
          <w:tcPr>
            <w:tcW w:w="2693" w:type="dxa"/>
            <w:shd w:val="clear" w:color="auto" w:fill="auto"/>
            <w:noWrap/>
            <w:vAlign w:val="bottom"/>
            <w:hideMark/>
          </w:tcPr>
          <w:p w14:paraId="77A9144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2C7B154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2,595</w:t>
            </w:r>
          </w:p>
        </w:tc>
      </w:tr>
      <w:tr w:rsidR="00C028D1" w:rsidRPr="002017C6" w14:paraId="3C1D018A" w14:textId="77777777" w:rsidTr="003070DB">
        <w:trPr>
          <w:trHeight w:val="600"/>
        </w:trPr>
        <w:tc>
          <w:tcPr>
            <w:tcW w:w="4106" w:type="dxa"/>
            <w:shd w:val="clear" w:color="auto" w:fill="auto"/>
            <w:vAlign w:val="bottom"/>
            <w:hideMark/>
          </w:tcPr>
          <w:p w14:paraId="0235B26B"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2, Type 1 </w:t>
            </w:r>
          </w:p>
        </w:tc>
        <w:tc>
          <w:tcPr>
            <w:tcW w:w="2693" w:type="dxa"/>
            <w:shd w:val="clear" w:color="auto" w:fill="auto"/>
            <w:noWrap/>
            <w:vAlign w:val="bottom"/>
            <w:hideMark/>
          </w:tcPr>
          <w:p w14:paraId="610A6B4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67C2ED7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2,595</w:t>
            </w:r>
          </w:p>
        </w:tc>
      </w:tr>
      <w:tr w:rsidR="00C028D1" w:rsidRPr="002017C6" w14:paraId="5F782769" w14:textId="77777777" w:rsidTr="003070DB">
        <w:trPr>
          <w:trHeight w:val="600"/>
        </w:trPr>
        <w:tc>
          <w:tcPr>
            <w:tcW w:w="4106" w:type="dxa"/>
            <w:shd w:val="clear" w:color="auto" w:fill="auto"/>
            <w:vAlign w:val="bottom"/>
            <w:hideMark/>
          </w:tcPr>
          <w:p w14:paraId="3FD0E90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2, Type 2 </w:t>
            </w:r>
          </w:p>
        </w:tc>
        <w:tc>
          <w:tcPr>
            <w:tcW w:w="2693" w:type="dxa"/>
            <w:shd w:val="clear" w:color="auto" w:fill="auto"/>
            <w:noWrap/>
            <w:vAlign w:val="bottom"/>
            <w:hideMark/>
          </w:tcPr>
          <w:p w14:paraId="4C882F2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1F857F7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3F8A46C1" w14:textId="77777777" w:rsidTr="003070DB">
        <w:trPr>
          <w:trHeight w:val="900"/>
        </w:trPr>
        <w:tc>
          <w:tcPr>
            <w:tcW w:w="4106" w:type="dxa"/>
            <w:shd w:val="clear" w:color="auto" w:fill="auto"/>
            <w:vAlign w:val="bottom"/>
            <w:hideMark/>
          </w:tcPr>
          <w:p w14:paraId="1F8CDAE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specifications/test methods − Grade 1 </w:t>
            </w:r>
          </w:p>
        </w:tc>
        <w:tc>
          <w:tcPr>
            <w:tcW w:w="2693" w:type="dxa"/>
            <w:shd w:val="clear" w:color="auto" w:fill="auto"/>
            <w:noWrap/>
            <w:vAlign w:val="bottom"/>
            <w:hideMark/>
          </w:tcPr>
          <w:p w14:paraId="79B6E87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9013CE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432</w:t>
            </w:r>
          </w:p>
        </w:tc>
      </w:tr>
      <w:tr w:rsidR="00C028D1" w:rsidRPr="002017C6" w14:paraId="3726A50B" w14:textId="77777777" w:rsidTr="003070DB">
        <w:trPr>
          <w:trHeight w:val="900"/>
        </w:trPr>
        <w:tc>
          <w:tcPr>
            <w:tcW w:w="4106" w:type="dxa"/>
            <w:shd w:val="clear" w:color="auto" w:fill="auto"/>
            <w:vAlign w:val="bottom"/>
            <w:hideMark/>
          </w:tcPr>
          <w:p w14:paraId="36C9360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specifications/test methods − Grade 2 </w:t>
            </w:r>
          </w:p>
        </w:tc>
        <w:tc>
          <w:tcPr>
            <w:tcW w:w="2693" w:type="dxa"/>
            <w:shd w:val="clear" w:color="auto" w:fill="auto"/>
            <w:noWrap/>
            <w:vAlign w:val="bottom"/>
            <w:hideMark/>
          </w:tcPr>
          <w:p w14:paraId="602B65B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BE9106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3330A645" w14:textId="77777777" w:rsidTr="003070DB">
        <w:trPr>
          <w:trHeight w:val="900"/>
        </w:trPr>
        <w:tc>
          <w:tcPr>
            <w:tcW w:w="4106" w:type="dxa"/>
            <w:shd w:val="clear" w:color="auto" w:fill="auto"/>
            <w:vAlign w:val="bottom"/>
            <w:hideMark/>
          </w:tcPr>
          <w:p w14:paraId="6096733B"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Finished product specifications/test methods − Grade 3 </w:t>
            </w:r>
          </w:p>
        </w:tc>
        <w:tc>
          <w:tcPr>
            <w:tcW w:w="2693" w:type="dxa"/>
            <w:shd w:val="clear" w:color="auto" w:fill="auto"/>
            <w:noWrap/>
            <w:vAlign w:val="bottom"/>
            <w:hideMark/>
          </w:tcPr>
          <w:p w14:paraId="06CF8F4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63B85F6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4614D63E" w14:textId="77777777" w:rsidTr="003070DB">
        <w:trPr>
          <w:trHeight w:val="900"/>
        </w:trPr>
        <w:tc>
          <w:tcPr>
            <w:tcW w:w="4106" w:type="dxa"/>
            <w:shd w:val="clear" w:color="auto" w:fill="auto"/>
            <w:vAlign w:val="bottom"/>
            <w:hideMark/>
          </w:tcPr>
          <w:p w14:paraId="6C67733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specifications/test methods − Grade 4 </w:t>
            </w:r>
          </w:p>
        </w:tc>
        <w:tc>
          <w:tcPr>
            <w:tcW w:w="2693" w:type="dxa"/>
            <w:shd w:val="clear" w:color="auto" w:fill="auto"/>
            <w:noWrap/>
            <w:vAlign w:val="bottom"/>
            <w:hideMark/>
          </w:tcPr>
          <w:p w14:paraId="57BBF02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FF7F23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DD65440" w14:textId="77777777" w:rsidTr="003070DB">
        <w:trPr>
          <w:trHeight w:val="900"/>
        </w:trPr>
        <w:tc>
          <w:tcPr>
            <w:tcW w:w="4106" w:type="dxa"/>
            <w:shd w:val="clear" w:color="auto" w:fill="auto"/>
            <w:vAlign w:val="bottom"/>
            <w:hideMark/>
          </w:tcPr>
          <w:p w14:paraId="286BD85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specifications/test methods − Grade 5, Type 1 </w:t>
            </w:r>
          </w:p>
        </w:tc>
        <w:tc>
          <w:tcPr>
            <w:tcW w:w="2693" w:type="dxa"/>
            <w:shd w:val="clear" w:color="auto" w:fill="auto"/>
            <w:noWrap/>
            <w:vAlign w:val="bottom"/>
            <w:hideMark/>
          </w:tcPr>
          <w:p w14:paraId="4C56ACC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342F838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3EEFEE57" w14:textId="77777777" w:rsidTr="003070DB">
        <w:trPr>
          <w:trHeight w:val="900"/>
        </w:trPr>
        <w:tc>
          <w:tcPr>
            <w:tcW w:w="4106" w:type="dxa"/>
            <w:shd w:val="clear" w:color="auto" w:fill="auto"/>
            <w:vAlign w:val="bottom"/>
            <w:hideMark/>
          </w:tcPr>
          <w:p w14:paraId="426ACC2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specifications/test methods − Grade 5, Type 2 </w:t>
            </w:r>
          </w:p>
        </w:tc>
        <w:tc>
          <w:tcPr>
            <w:tcW w:w="2693" w:type="dxa"/>
            <w:shd w:val="clear" w:color="auto" w:fill="auto"/>
            <w:noWrap/>
            <w:vAlign w:val="bottom"/>
            <w:hideMark/>
          </w:tcPr>
          <w:p w14:paraId="1627CBA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0FBC1EA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71699147" w14:textId="77777777" w:rsidTr="003070DB">
        <w:trPr>
          <w:trHeight w:val="300"/>
        </w:trPr>
        <w:tc>
          <w:tcPr>
            <w:tcW w:w="4106" w:type="dxa"/>
            <w:shd w:val="clear" w:color="auto" w:fill="auto"/>
            <w:vAlign w:val="bottom"/>
            <w:hideMark/>
          </w:tcPr>
          <w:p w14:paraId="15975002"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 xml:space="preserve">Product stability and packaging </w:t>
            </w:r>
          </w:p>
        </w:tc>
        <w:tc>
          <w:tcPr>
            <w:tcW w:w="2693" w:type="dxa"/>
            <w:shd w:val="clear" w:color="auto" w:fill="auto"/>
            <w:noWrap/>
            <w:vAlign w:val="bottom"/>
            <w:hideMark/>
          </w:tcPr>
          <w:p w14:paraId="68E50C61"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3618D32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4B86DF35" w14:textId="77777777" w:rsidTr="003070DB">
        <w:trPr>
          <w:trHeight w:val="600"/>
        </w:trPr>
        <w:tc>
          <w:tcPr>
            <w:tcW w:w="4106" w:type="dxa"/>
            <w:shd w:val="clear" w:color="auto" w:fill="auto"/>
            <w:vAlign w:val="bottom"/>
            <w:hideMark/>
          </w:tcPr>
          <w:p w14:paraId="79F7324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Shelf life/storage conditions − Grade 1</w:t>
            </w:r>
          </w:p>
        </w:tc>
        <w:tc>
          <w:tcPr>
            <w:tcW w:w="2693" w:type="dxa"/>
            <w:shd w:val="clear" w:color="auto" w:fill="auto"/>
            <w:noWrap/>
            <w:vAlign w:val="bottom"/>
            <w:hideMark/>
          </w:tcPr>
          <w:p w14:paraId="1B508D6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C4DB0D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101893EA" w14:textId="77777777" w:rsidTr="003070DB">
        <w:trPr>
          <w:trHeight w:val="600"/>
        </w:trPr>
        <w:tc>
          <w:tcPr>
            <w:tcW w:w="4106" w:type="dxa"/>
            <w:shd w:val="clear" w:color="auto" w:fill="auto"/>
            <w:vAlign w:val="bottom"/>
            <w:hideMark/>
          </w:tcPr>
          <w:p w14:paraId="102DD4B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Grade 2 </w:t>
            </w:r>
          </w:p>
        </w:tc>
        <w:tc>
          <w:tcPr>
            <w:tcW w:w="2693" w:type="dxa"/>
            <w:shd w:val="clear" w:color="auto" w:fill="auto"/>
            <w:noWrap/>
            <w:vAlign w:val="bottom"/>
            <w:hideMark/>
          </w:tcPr>
          <w:p w14:paraId="4945350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7F0F7C1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01AEEE9D" w14:textId="77777777" w:rsidTr="003070DB">
        <w:trPr>
          <w:trHeight w:val="600"/>
        </w:trPr>
        <w:tc>
          <w:tcPr>
            <w:tcW w:w="4106" w:type="dxa"/>
            <w:shd w:val="clear" w:color="auto" w:fill="auto"/>
            <w:vAlign w:val="bottom"/>
            <w:hideMark/>
          </w:tcPr>
          <w:p w14:paraId="19EF40C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1      </w:t>
            </w:r>
          </w:p>
        </w:tc>
        <w:tc>
          <w:tcPr>
            <w:tcW w:w="2693" w:type="dxa"/>
            <w:shd w:val="clear" w:color="auto" w:fill="auto"/>
            <w:noWrap/>
            <w:vAlign w:val="bottom"/>
            <w:hideMark/>
          </w:tcPr>
          <w:p w14:paraId="0A9460F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959B62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2BD0510A" w14:textId="77777777" w:rsidTr="003070DB">
        <w:trPr>
          <w:trHeight w:val="600"/>
        </w:trPr>
        <w:tc>
          <w:tcPr>
            <w:tcW w:w="4106" w:type="dxa"/>
            <w:shd w:val="clear" w:color="auto" w:fill="auto"/>
            <w:vAlign w:val="bottom"/>
            <w:hideMark/>
          </w:tcPr>
          <w:p w14:paraId="2F049FB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Container/closure/packaging − Grade 2</w:t>
            </w:r>
          </w:p>
        </w:tc>
        <w:tc>
          <w:tcPr>
            <w:tcW w:w="2693" w:type="dxa"/>
            <w:shd w:val="clear" w:color="auto" w:fill="auto"/>
            <w:noWrap/>
            <w:vAlign w:val="bottom"/>
            <w:hideMark/>
          </w:tcPr>
          <w:p w14:paraId="5F70803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9F44A3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0C88129A" w14:textId="77777777" w:rsidTr="003070DB">
        <w:trPr>
          <w:trHeight w:val="600"/>
        </w:trPr>
        <w:tc>
          <w:tcPr>
            <w:tcW w:w="4106" w:type="dxa"/>
            <w:shd w:val="clear" w:color="auto" w:fill="auto"/>
            <w:vAlign w:val="bottom"/>
            <w:hideMark/>
          </w:tcPr>
          <w:p w14:paraId="71C1A87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3 </w:t>
            </w:r>
          </w:p>
        </w:tc>
        <w:tc>
          <w:tcPr>
            <w:tcW w:w="2693" w:type="dxa"/>
            <w:shd w:val="clear" w:color="auto" w:fill="auto"/>
            <w:noWrap/>
            <w:vAlign w:val="bottom"/>
            <w:hideMark/>
          </w:tcPr>
          <w:p w14:paraId="2D6A155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59C242C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60E320E7" w14:textId="77777777" w:rsidTr="003070DB">
        <w:trPr>
          <w:trHeight w:val="600"/>
        </w:trPr>
        <w:tc>
          <w:tcPr>
            <w:tcW w:w="4106" w:type="dxa"/>
            <w:shd w:val="clear" w:color="auto" w:fill="auto"/>
            <w:vAlign w:val="bottom"/>
            <w:hideMark/>
          </w:tcPr>
          <w:p w14:paraId="5B3E56A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4 </w:t>
            </w:r>
          </w:p>
        </w:tc>
        <w:tc>
          <w:tcPr>
            <w:tcW w:w="2693" w:type="dxa"/>
            <w:shd w:val="clear" w:color="auto" w:fill="auto"/>
            <w:noWrap/>
            <w:vAlign w:val="bottom"/>
            <w:hideMark/>
          </w:tcPr>
          <w:p w14:paraId="018FA4D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7EB42B0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2,595</w:t>
            </w:r>
          </w:p>
        </w:tc>
      </w:tr>
      <w:tr w:rsidR="00C028D1" w:rsidRPr="002017C6" w14:paraId="155EB71D" w14:textId="77777777" w:rsidTr="003070DB">
        <w:trPr>
          <w:trHeight w:val="600"/>
        </w:trPr>
        <w:tc>
          <w:tcPr>
            <w:tcW w:w="4106" w:type="dxa"/>
            <w:shd w:val="clear" w:color="auto" w:fill="auto"/>
            <w:vAlign w:val="bottom"/>
            <w:hideMark/>
          </w:tcPr>
          <w:p w14:paraId="04722B3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5 </w:t>
            </w:r>
          </w:p>
        </w:tc>
        <w:tc>
          <w:tcPr>
            <w:tcW w:w="2693" w:type="dxa"/>
            <w:shd w:val="clear" w:color="auto" w:fill="auto"/>
            <w:noWrap/>
            <w:vAlign w:val="bottom"/>
            <w:hideMark/>
          </w:tcPr>
          <w:p w14:paraId="2AF19D8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1234F9C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1B925E12" w14:textId="77777777" w:rsidTr="003070DB">
        <w:trPr>
          <w:trHeight w:val="300"/>
        </w:trPr>
        <w:tc>
          <w:tcPr>
            <w:tcW w:w="4106" w:type="dxa"/>
            <w:shd w:val="clear" w:color="auto" w:fill="auto"/>
            <w:vAlign w:val="bottom"/>
            <w:hideMark/>
          </w:tcPr>
          <w:p w14:paraId="6DA37E04"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Indications and dosage</w:t>
            </w:r>
          </w:p>
        </w:tc>
        <w:tc>
          <w:tcPr>
            <w:tcW w:w="2693" w:type="dxa"/>
            <w:shd w:val="clear" w:color="auto" w:fill="auto"/>
            <w:noWrap/>
            <w:vAlign w:val="bottom"/>
            <w:hideMark/>
          </w:tcPr>
          <w:p w14:paraId="34265F48"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3F22228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2CF7A4B2" w14:textId="77777777" w:rsidTr="003070DB">
        <w:trPr>
          <w:trHeight w:val="300"/>
        </w:trPr>
        <w:tc>
          <w:tcPr>
            <w:tcW w:w="4106" w:type="dxa"/>
            <w:shd w:val="clear" w:color="auto" w:fill="auto"/>
            <w:vAlign w:val="bottom"/>
            <w:hideMark/>
          </w:tcPr>
          <w:p w14:paraId="592F9CA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1   </w:t>
            </w:r>
          </w:p>
        </w:tc>
        <w:tc>
          <w:tcPr>
            <w:tcW w:w="2693" w:type="dxa"/>
            <w:shd w:val="clear" w:color="auto" w:fill="auto"/>
            <w:noWrap/>
            <w:vAlign w:val="bottom"/>
            <w:hideMark/>
          </w:tcPr>
          <w:p w14:paraId="12996A6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229443B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14A3DAAA" w14:textId="77777777" w:rsidTr="003070DB">
        <w:trPr>
          <w:trHeight w:val="300"/>
        </w:trPr>
        <w:tc>
          <w:tcPr>
            <w:tcW w:w="4106" w:type="dxa"/>
            <w:shd w:val="clear" w:color="auto" w:fill="auto"/>
            <w:vAlign w:val="bottom"/>
            <w:hideMark/>
          </w:tcPr>
          <w:p w14:paraId="3375FDE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2 </w:t>
            </w:r>
          </w:p>
        </w:tc>
        <w:tc>
          <w:tcPr>
            <w:tcW w:w="2693" w:type="dxa"/>
            <w:shd w:val="clear" w:color="auto" w:fill="auto"/>
            <w:noWrap/>
            <w:vAlign w:val="bottom"/>
            <w:hideMark/>
          </w:tcPr>
          <w:p w14:paraId="509989F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2D4D96E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6CEA206F" w14:textId="77777777" w:rsidTr="003070DB">
        <w:trPr>
          <w:trHeight w:val="300"/>
        </w:trPr>
        <w:tc>
          <w:tcPr>
            <w:tcW w:w="4106" w:type="dxa"/>
            <w:shd w:val="clear" w:color="auto" w:fill="auto"/>
            <w:vAlign w:val="bottom"/>
            <w:hideMark/>
          </w:tcPr>
          <w:p w14:paraId="6D087A0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3 </w:t>
            </w:r>
          </w:p>
        </w:tc>
        <w:tc>
          <w:tcPr>
            <w:tcW w:w="2693" w:type="dxa"/>
            <w:shd w:val="clear" w:color="auto" w:fill="auto"/>
            <w:noWrap/>
            <w:vAlign w:val="bottom"/>
            <w:hideMark/>
          </w:tcPr>
          <w:p w14:paraId="793F642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0FF2B3D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761FDED1" w14:textId="77777777" w:rsidTr="003070DB">
        <w:trPr>
          <w:trHeight w:val="300"/>
        </w:trPr>
        <w:tc>
          <w:tcPr>
            <w:tcW w:w="4106" w:type="dxa"/>
            <w:shd w:val="clear" w:color="auto" w:fill="auto"/>
            <w:vAlign w:val="bottom"/>
            <w:hideMark/>
          </w:tcPr>
          <w:p w14:paraId="6CEB40A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4     </w:t>
            </w:r>
          </w:p>
        </w:tc>
        <w:tc>
          <w:tcPr>
            <w:tcW w:w="2693" w:type="dxa"/>
            <w:shd w:val="clear" w:color="auto" w:fill="auto"/>
            <w:noWrap/>
            <w:vAlign w:val="bottom"/>
            <w:hideMark/>
          </w:tcPr>
          <w:p w14:paraId="181C2A1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0B87DC6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D929583" w14:textId="77777777" w:rsidTr="003070DB">
        <w:trPr>
          <w:trHeight w:val="300"/>
        </w:trPr>
        <w:tc>
          <w:tcPr>
            <w:tcW w:w="4106" w:type="dxa"/>
            <w:shd w:val="clear" w:color="auto" w:fill="auto"/>
            <w:vAlign w:val="bottom"/>
            <w:hideMark/>
          </w:tcPr>
          <w:p w14:paraId="3FB3F1FC"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5 </w:t>
            </w:r>
          </w:p>
        </w:tc>
        <w:tc>
          <w:tcPr>
            <w:tcW w:w="2693" w:type="dxa"/>
            <w:shd w:val="clear" w:color="auto" w:fill="auto"/>
            <w:noWrap/>
            <w:vAlign w:val="bottom"/>
            <w:hideMark/>
          </w:tcPr>
          <w:p w14:paraId="7557265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B66B09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66D51392" w14:textId="77777777" w:rsidTr="003070DB">
        <w:trPr>
          <w:trHeight w:val="600"/>
        </w:trPr>
        <w:tc>
          <w:tcPr>
            <w:tcW w:w="4106" w:type="dxa"/>
            <w:shd w:val="clear" w:color="auto" w:fill="auto"/>
            <w:vAlign w:val="bottom"/>
            <w:hideMark/>
          </w:tcPr>
          <w:p w14:paraId="1B7E7C96" w14:textId="77777777" w:rsidR="00C028D1" w:rsidRPr="002017C6" w:rsidRDefault="00C028D1" w:rsidP="003070DB">
            <w:pPr>
              <w:spacing w:after="0" w:line="240" w:lineRule="auto"/>
              <w:rPr>
                <w:rFonts w:ascii="Calibri" w:eastAsia="Times New Roman" w:hAnsi="Calibri" w:cs="Times New Roman"/>
                <w:color w:val="000000"/>
                <w:lang w:eastAsia="en-NZ"/>
              </w:rPr>
            </w:pPr>
            <w:proofErr w:type="spellStart"/>
            <w:proofErr w:type="gramStart"/>
            <w:r w:rsidRPr="002017C6">
              <w:rPr>
                <w:rFonts w:ascii="Calibri" w:eastAsia="Times New Roman" w:hAnsi="Calibri" w:cs="Times New Roman"/>
                <w:color w:val="000000"/>
                <w:lang w:eastAsia="en-NZ"/>
              </w:rPr>
              <w:t>Contraindications,Warnings</w:t>
            </w:r>
            <w:proofErr w:type="spellEnd"/>
            <w:proofErr w:type="gramEnd"/>
            <w:r w:rsidRPr="002017C6">
              <w:rPr>
                <w:rFonts w:ascii="Calibri" w:eastAsia="Times New Roman" w:hAnsi="Calibri" w:cs="Times New Roman"/>
                <w:color w:val="000000"/>
                <w:lang w:eastAsia="en-NZ"/>
              </w:rPr>
              <w:t xml:space="preserve"> and Precautions </w:t>
            </w:r>
          </w:p>
        </w:tc>
        <w:tc>
          <w:tcPr>
            <w:tcW w:w="2693" w:type="dxa"/>
            <w:shd w:val="clear" w:color="auto" w:fill="auto"/>
            <w:noWrap/>
            <w:vAlign w:val="bottom"/>
            <w:hideMark/>
          </w:tcPr>
          <w:p w14:paraId="5E7E509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2EE6C9B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6592E01C" w14:textId="77777777" w:rsidTr="003070DB">
        <w:trPr>
          <w:trHeight w:val="600"/>
        </w:trPr>
        <w:tc>
          <w:tcPr>
            <w:tcW w:w="4106" w:type="dxa"/>
            <w:shd w:val="clear" w:color="auto" w:fill="auto"/>
            <w:vAlign w:val="bottom"/>
            <w:hideMark/>
          </w:tcPr>
          <w:p w14:paraId="175CBAA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Data sheet Data sheet − miscellaneous changes </w:t>
            </w:r>
          </w:p>
        </w:tc>
        <w:tc>
          <w:tcPr>
            <w:tcW w:w="2693" w:type="dxa"/>
            <w:shd w:val="clear" w:color="auto" w:fill="auto"/>
            <w:noWrap/>
            <w:vAlign w:val="bottom"/>
            <w:hideMark/>
          </w:tcPr>
          <w:p w14:paraId="5B727B9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51FCAD5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61427969" w14:textId="77777777" w:rsidTr="003070DB">
        <w:trPr>
          <w:trHeight w:val="900"/>
        </w:trPr>
        <w:tc>
          <w:tcPr>
            <w:tcW w:w="4106" w:type="dxa"/>
            <w:shd w:val="clear" w:color="auto" w:fill="auto"/>
            <w:vAlign w:val="bottom"/>
            <w:hideMark/>
          </w:tcPr>
          <w:p w14:paraId="4EAC758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Data sheet − format change (an administration fee applies if this is the sole change) </w:t>
            </w:r>
          </w:p>
        </w:tc>
        <w:tc>
          <w:tcPr>
            <w:tcW w:w="2693" w:type="dxa"/>
            <w:shd w:val="clear" w:color="auto" w:fill="auto"/>
            <w:noWrap/>
            <w:vAlign w:val="bottom"/>
            <w:hideMark/>
          </w:tcPr>
          <w:p w14:paraId="4925905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0</w:t>
            </w:r>
          </w:p>
        </w:tc>
        <w:tc>
          <w:tcPr>
            <w:tcW w:w="2694" w:type="dxa"/>
            <w:shd w:val="clear" w:color="auto" w:fill="auto"/>
            <w:noWrap/>
            <w:vAlign w:val="bottom"/>
          </w:tcPr>
          <w:p w14:paraId="411F1A5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3CB0BFE3" w14:textId="77777777" w:rsidTr="003070DB">
        <w:trPr>
          <w:trHeight w:val="300"/>
        </w:trPr>
        <w:tc>
          <w:tcPr>
            <w:tcW w:w="4106" w:type="dxa"/>
            <w:shd w:val="clear" w:color="auto" w:fill="auto"/>
            <w:vAlign w:val="bottom"/>
            <w:hideMark/>
          </w:tcPr>
          <w:p w14:paraId="4E388A02"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Labelling</w:t>
            </w:r>
          </w:p>
        </w:tc>
        <w:tc>
          <w:tcPr>
            <w:tcW w:w="2693" w:type="dxa"/>
            <w:shd w:val="clear" w:color="auto" w:fill="auto"/>
            <w:noWrap/>
            <w:vAlign w:val="bottom"/>
            <w:hideMark/>
          </w:tcPr>
          <w:p w14:paraId="6A1358E6"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0346582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01C8C84" w14:textId="77777777" w:rsidTr="003070DB">
        <w:trPr>
          <w:trHeight w:val="300"/>
        </w:trPr>
        <w:tc>
          <w:tcPr>
            <w:tcW w:w="4106" w:type="dxa"/>
            <w:shd w:val="clear" w:color="auto" w:fill="auto"/>
            <w:vAlign w:val="bottom"/>
            <w:hideMark/>
          </w:tcPr>
          <w:p w14:paraId="63BE3AA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1        </w:t>
            </w:r>
          </w:p>
        </w:tc>
        <w:tc>
          <w:tcPr>
            <w:tcW w:w="2693" w:type="dxa"/>
            <w:shd w:val="clear" w:color="auto" w:fill="auto"/>
            <w:noWrap/>
            <w:vAlign w:val="bottom"/>
            <w:hideMark/>
          </w:tcPr>
          <w:p w14:paraId="13DC618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0896112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6749D33C" w14:textId="77777777" w:rsidTr="003070DB">
        <w:trPr>
          <w:trHeight w:val="300"/>
        </w:trPr>
        <w:tc>
          <w:tcPr>
            <w:tcW w:w="4106" w:type="dxa"/>
            <w:shd w:val="clear" w:color="auto" w:fill="auto"/>
            <w:vAlign w:val="bottom"/>
            <w:hideMark/>
          </w:tcPr>
          <w:p w14:paraId="62474FC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2 </w:t>
            </w:r>
          </w:p>
        </w:tc>
        <w:tc>
          <w:tcPr>
            <w:tcW w:w="2693" w:type="dxa"/>
            <w:shd w:val="clear" w:color="auto" w:fill="auto"/>
            <w:noWrap/>
            <w:vAlign w:val="bottom"/>
            <w:hideMark/>
          </w:tcPr>
          <w:p w14:paraId="64CCB5D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C6845C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27389350" w14:textId="77777777" w:rsidTr="003070DB">
        <w:trPr>
          <w:trHeight w:val="300"/>
        </w:trPr>
        <w:tc>
          <w:tcPr>
            <w:tcW w:w="4106" w:type="dxa"/>
            <w:shd w:val="clear" w:color="auto" w:fill="auto"/>
            <w:vAlign w:val="bottom"/>
            <w:hideMark/>
          </w:tcPr>
          <w:p w14:paraId="16398CE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3 </w:t>
            </w:r>
          </w:p>
        </w:tc>
        <w:tc>
          <w:tcPr>
            <w:tcW w:w="2693" w:type="dxa"/>
            <w:shd w:val="clear" w:color="auto" w:fill="auto"/>
            <w:noWrap/>
            <w:vAlign w:val="bottom"/>
            <w:hideMark/>
          </w:tcPr>
          <w:p w14:paraId="38DE2C5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3E56E91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0CDE352C" w14:textId="77777777" w:rsidTr="003070DB">
        <w:trPr>
          <w:trHeight w:val="300"/>
        </w:trPr>
        <w:tc>
          <w:tcPr>
            <w:tcW w:w="4106" w:type="dxa"/>
            <w:shd w:val="clear" w:color="auto" w:fill="auto"/>
            <w:vAlign w:val="bottom"/>
            <w:hideMark/>
          </w:tcPr>
          <w:p w14:paraId="40781EE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Other Sponsor </w:t>
            </w:r>
          </w:p>
        </w:tc>
        <w:tc>
          <w:tcPr>
            <w:tcW w:w="2693" w:type="dxa"/>
            <w:shd w:val="clear" w:color="auto" w:fill="auto"/>
            <w:noWrap/>
            <w:vAlign w:val="bottom"/>
            <w:hideMark/>
          </w:tcPr>
          <w:p w14:paraId="5B458E2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166A738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4E0DE444" w14:textId="77777777" w:rsidTr="003070DB">
        <w:trPr>
          <w:trHeight w:val="300"/>
        </w:trPr>
        <w:tc>
          <w:tcPr>
            <w:tcW w:w="4106" w:type="dxa"/>
            <w:shd w:val="clear" w:color="auto" w:fill="auto"/>
            <w:vAlign w:val="bottom"/>
            <w:hideMark/>
          </w:tcPr>
          <w:p w14:paraId="43AA7E8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Change in ownership </w:t>
            </w:r>
          </w:p>
        </w:tc>
        <w:tc>
          <w:tcPr>
            <w:tcW w:w="2693" w:type="dxa"/>
            <w:shd w:val="clear" w:color="auto" w:fill="auto"/>
            <w:noWrap/>
            <w:vAlign w:val="bottom"/>
            <w:hideMark/>
          </w:tcPr>
          <w:p w14:paraId="7EC4B49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B5103D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268350C2" w14:textId="77777777" w:rsidTr="003070DB">
        <w:trPr>
          <w:trHeight w:val="300"/>
        </w:trPr>
        <w:tc>
          <w:tcPr>
            <w:tcW w:w="4106" w:type="dxa"/>
            <w:shd w:val="clear" w:color="auto" w:fill="auto"/>
            <w:vAlign w:val="bottom"/>
            <w:hideMark/>
          </w:tcPr>
          <w:p w14:paraId="05FADA4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Self-assessable change(s) </w:t>
            </w:r>
          </w:p>
        </w:tc>
        <w:tc>
          <w:tcPr>
            <w:tcW w:w="2693" w:type="dxa"/>
            <w:shd w:val="clear" w:color="auto" w:fill="auto"/>
            <w:noWrap/>
            <w:vAlign w:val="bottom"/>
            <w:hideMark/>
          </w:tcPr>
          <w:p w14:paraId="0394738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121533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17802366" w14:textId="77777777" w:rsidTr="003070DB">
        <w:trPr>
          <w:trHeight w:val="300"/>
        </w:trPr>
        <w:tc>
          <w:tcPr>
            <w:tcW w:w="4106" w:type="dxa"/>
            <w:shd w:val="clear" w:color="auto" w:fill="auto"/>
            <w:vAlign w:val="bottom"/>
            <w:hideMark/>
          </w:tcPr>
          <w:p w14:paraId="16BDF73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Administration Fee </w:t>
            </w:r>
          </w:p>
        </w:tc>
        <w:tc>
          <w:tcPr>
            <w:tcW w:w="2693" w:type="dxa"/>
            <w:shd w:val="clear" w:color="auto" w:fill="auto"/>
            <w:noWrap/>
            <w:vAlign w:val="bottom"/>
            <w:hideMark/>
          </w:tcPr>
          <w:p w14:paraId="10C209E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F0254E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09B8F048" w14:textId="77777777" w:rsidTr="003070DB">
        <w:trPr>
          <w:trHeight w:val="4500"/>
        </w:trPr>
        <w:tc>
          <w:tcPr>
            <w:tcW w:w="4106" w:type="dxa"/>
            <w:shd w:val="clear" w:color="auto" w:fill="auto"/>
            <w:vAlign w:val="bottom"/>
            <w:hideMark/>
          </w:tcPr>
          <w:p w14:paraId="29DAAEBD" w14:textId="77777777" w:rsidR="00C028D1" w:rsidRPr="00EC6685" w:rsidRDefault="00C028D1" w:rsidP="003070DB">
            <w:pPr>
              <w:spacing w:after="0" w:line="240" w:lineRule="auto"/>
              <w:rPr>
                <w:rFonts w:ascii="Calibri" w:eastAsia="Times New Roman" w:hAnsi="Calibri" w:cs="Times New Roman"/>
                <w:i/>
                <w:iCs/>
                <w:color w:val="000000"/>
                <w:lang w:eastAsia="en-NZ"/>
              </w:rPr>
            </w:pPr>
            <w:r w:rsidRPr="00EC6685">
              <w:rPr>
                <w:rFonts w:ascii="Calibri" w:eastAsia="Times New Roman" w:hAnsi="Calibri" w:cs="Times New Roman"/>
                <w:i/>
                <w:iCs/>
                <w:color w:val="000000"/>
                <w:lang w:eastAsia="en-NZ"/>
              </w:rPr>
              <w:t>Biological or Biotechnological Medicine (CMN Form B) Notifying a material change (including self-assessable changes) to an approved Type III (biological or biotechnological) product (</w:t>
            </w:r>
            <w:proofErr w:type="spellStart"/>
            <w:r w:rsidRPr="00EC6685">
              <w:rPr>
                <w:rFonts w:ascii="Calibri" w:eastAsia="Times New Roman" w:hAnsi="Calibri" w:cs="Times New Roman"/>
                <w:i/>
                <w:iCs/>
                <w:color w:val="000000"/>
                <w:lang w:eastAsia="en-NZ"/>
              </w:rPr>
              <w:t>ie</w:t>
            </w:r>
            <w:proofErr w:type="spellEnd"/>
            <w:r w:rsidRPr="00EC6685">
              <w:rPr>
                <w:rFonts w:ascii="Calibri" w:eastAsia="Times New Roman" w:hAnsi="Calibri" w:cs="Times New Roman"/>
                <w:i/>
                <w:iCs/>
                <w:color w:val="000000"/>
                <w:lang w:eastAsia="en-NZ"/>
              </w:rPr>
              <w:t xml:space="preserve">, a vaccine, recombinant product, monoclonal antibody or variant thereof, or a medicinal product derived from blood or plasma). Note: In no case will the CMN/CRPN fee for a single product exceed the fee for a new medicine application for a product of the same type. </w:t>
            </w:r>
          </w:p>
        </w:tc>
        <w:tc>
          <w:tcPr>
            <w:tcW w:w="2693" w:type="dxa"/>
            <w:shd w:val="clear" w:color="auto" w:fill="auto"/>
            <w:noWrap/>
            <w:vAlign w:val="bottom"/>
            <w:hideMark/>
          </w:tcPr>
          <w:p w14:paraId="456E425B"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31F471A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E5CA47D" w14:textId="77777777" w:rsidTr="003070DB">
        <w:trPr>
          <w:trHeight w:val="300"/>
        </w:trPr>
        <w:tc>
          <w:tcPr>
            <w:tcW w:w="4106" w:type="dxa"/>
            <w:shd w:val="clear" w:color="auto" w:fill="auto"/>
            <w:vAlign w:val="bottom"/>
            <w:hideMark/>
          </w:tcPr>
          <w:p w14:paraId="16E6C11E"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Product name</w:t>
            </w:r>
          </w:p>
        </w:tc>
        <w:tc>
          <w:tcPr>
            <w:tcW w:w="2693" w:type="dxa"/>
            <w:shd w:val="clear" w:color="auto" w:fill="auto"/>
            <w:noWrap/>
            <w:vAlign w:val="bottom"/>
            <w:hideMark/>
          </w:tcPr>
          <w:p w14:paraId="2D8B4FE6"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548506A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695D09B3" w14:textId="77777777" w:rsidTr="003070DB">
        <w:trPr>
          <w:trHeight w:val="300"/>
        </w:trPr>
        <w:tc>
          <w:tcPr>
            <w:tcW w:w="4106" w:type="dxa"/>
            <w:shd w:val="clear" w:color="auto" w:fill="auto"/>
            <w:vAlign w:val="bottom"/>
            <w:hideMark/>
          </w:tcPr>
          <w:p w14:paraId="131EF9E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Product name, for each new name </w:t>
            </w:r>
          </w:p>
        </w:tc>
        <w:tc>
          <w:tcPr>
            <w:tcW w:w="2693" w:type="dxa"/>
            <w:shd w:val="clear" w:color="auto" w:fill="auto"/>
            <w:noWrap/>
            <w:vAlign w:val="bottom"/>
            <w:hideMark/>
          </w:tcPr>
          <w:p w14:paraId="26659FA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3AAC53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A866842" w14:textId="77777777" w:rsidTr="003070DB">
        <w:trPr>
          <w:trHeight w:val="300"/>
        </w:trPr>
        <w:tc>
          <w:tcPr>
            <w:tcW w:w="4106" w:type="dxa"/>
            <w:shd w:val="clear" w:color="auto" w:fill="auto"/>
            <w:vAlign w:val="bottom"/>
            <w:hideMark/>
          </w:tcPr>
          <w:p w14:paraId="314A0ABE"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Formulation/excipients</w:t>
            </w:r>
          </w:p>
        </w:tc>
        <w:tc>
          <w:tcPr>
            <w:tcW w:w="2693" w:type="dxa"/>
            <w:shd w:val="clear" w:color="auto" w:fill="auto"/>
            <w:noWrap/>
            <w:vAlign w:val="bottom"/>
            <w:hideMark/>
          </w:tcPr>
          <w:p w14:paraId="008AF863"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6E67ADE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7E10864" w14:textId="77777777" w:rsidTr="003070DB">
        <w:trPr>
          <w:trHeight w:val="300"/>
        </w:trPr>
        <w:tc>
          <w:tcPr>
            <w:tcW w:w="4106" w:type="dxa"/>
            <w:shd w:val="clear" w:color="auto" w:fill="auto"/>
            <w:vAlign w:val="bottom"/>
            <w:hideMark/>
          </w:tcPr>
          <w:p w14:paraId="315A70F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1 </w:t>
            </w:r>
          </w:p>
        </w:tc>
        <w:tc>
          <w:tcPr>
            <w:tcW w:w="2693" w:type="dxa"/>
            <w:shd w:val="clear" w:color="auto" w:fill="auto"/>
            <w:noWrap/>
            <w:vAlign w:val="bottom"/>
            <w:hideMark/>
          </w:tcPr>
          <w:p w14:paraId="75AD588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162AED5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3AC3B54C" w14:textId="77777777" w:rsidTr="003070DB">
        <w:trPr>
          <w:trHeight w:val="300"/>
        </w:trPr>
        <w:tc>
          <w:tcPr>
            <w:tcW w:w="4106" w:type="dxa"/>
            <w:shd w:val="clear" w:color="auto" w:fill="auto"/>
            <w:vAlign w:val="bottom"/>
            <w:hideMark/>
          </w:tcPr>
          <w:p w14:paraId="5F0BA49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2            </w:t>
            </w:r>
          </w:p>
        </w:tc>
        <w:tc>
          <w:tcPr>
            <w:tcW w:w="2693" w:type="dxa"/>
            <w:shd w:val="clear" w:color="auto" w:fill="auto"/>
            <w:noWrap/>
            <w:vAlign w:val="bottom"/>
            <w:hideMark/>
          </w:tcPr>
          <w:p w14:paraId="5CB7156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6BC8EE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458110D2" w14:textId="77777777" w:rsidTr="003070DB">
        <w:trPr>
          <w:trHeight w:val="300"/>
        </w:trPr>
        <w:tc>
          <w:tcPr>
            <w:tcW w:w="4106" w:type="dxa"/>
            <w:shd w:val="clear" w:color="auto" w:fill="auto"/>
            <w:vAlign w:val="bottom"/>
            <w:hideMark/>
          </w:tcPr>
          <w:p w14:paraId="010EFC0E" w14:textId="77777777" w:rsidR="00C028D1" w:rsidRPr="00EC6685" w:rsidRDefault="00C028D1" w:rsidP="003070DB">
            <w:pPr>
              <w:spacing w:after="0" w:line="240" w:lineRule="auto"/>
              <w:rPr>
                <w:rFonts w:ascii="Calibri" w:eastAsia="Times New Roman" w:hAnsi="Calibri" w:cs="Times New Roman"/>
                <w:b/>
                <w:bCs/>
                <w:color w:val="000000"/>
                <w:lang w:eastAsia="en-NZ"/>
              </w:rPr>
            </w:pPr>
            <w:r w:rsidRPr="00EC6685">
              <w:rPr>
                <w:rFonts w:ascii="Calibri" w:eastAsia="Times New Roman" w:hAnsi="Calibri" w:cs="Times New Roman"/>
                <w:b/>
                <w:bCs/>
                <w:color w:val="000000"/>
                <w:lang w:eastAsia="en-NZ"/>
              </w:rPr>
              <w:t>Bulk active</w:t>
            </w:r>
          </w:p>
        </w:tc>
        <w:tc>
          <w:tcPr>
            <w:tcW w:w="2693" w:type="dxa"/>
            <w:shd w:val="clear" w:color="auto" w:fill="auto"/>
            <w:noWrap/>
            <w:vAlign w:val="bottom"/>
            <w:hideMark/>
          </w:tcPr>
          <w:p w14:paraId="36E85797"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0A74FFA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495BA3C2" w14:textId="77777777" w:rsidTr="003070DB">
        <w:trPr>
          <w:trHeight w:val="600"/>
        </w:trPr>
        <w:tc>
          <w:tcPr>
            <w:tcW w:w="4106" w:type="dxa"/>
            <w:shd w:val="clear" w:color="auto" w:fill="auto"/>
            <w:vAlign w:val="bottom"/>
            <w:hideMark/>
          </w:tcPr>
          <w:p w14:paraId="036F2FF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manufacturing site </w:t>
            </w:r>
          </w:p>
        </w:tc>
        <w:tc>
          <w:tcPr>
            <w:tcW w:w="2693" w:type="dxa"/>
            <w:shd w:val="clear" w:color="auto" w:fill="auto"/>
            <w:noWrap/>
            <w:vAlign w:val="bottom"/>
            <w:hideMark/>
          </w:tcPr>
          <w:p w14:paraId="5B90E5B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60CA3B8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056A1FE4" w14:textId="77777777" w:rsidTr="003070DB">
        <w:trPr>
          <w:trHeight w:val="600"/>
        </w:trPr>
        <w:tc>
          <w:tcPr>
            <w:tcW w:w="4106" w:type="dxa"/>
            <w:shd w:val="clear" w:color="auto" w:fill="auto"/>
            <w:vAlign w:val="bottom"/>
            <w:hideMark/>
          </w:tcPr>
          <w:p w14:paraId="5BA615E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method of manufacture – Grade 1 </w:t>
            </w:r>
          </w:p>
        </w:tc>
        <w:tc>
          <w:tcPr>
            <w:tcW w:w="2693" w:type="dxa"/>
            <w:shd w:val="clear" w:color="auto" w:fill="auto"/>
            <w:noWrap/>
            <w:vAlign w:val="bottom"/>
            <w:hideMark/>
          </w:tcPr>
          <w:p w14:paraId="0DA3234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468C0A0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490128D1" w14:textId="77777777" w:rsidTr="003070DB">
        <w:trPr>
          <w:trHeight w:val="600"/>
        </w:trPr>
        <w:tc>
          <w:tcPr>
            <w:tcW w:w="4106" w:type="dxa"/>
            <w:shd w:val="clear" w:color="auto" w:fill="auto"/>
            <w:vAlign w:val="bottom"/>
            <w:hideMark/>
          </w:tcPr>
          <w:p w14:paraId="535623C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method of manufacture – Grade 2 </w:t>
            </w:r>
          </w:p>
        </w:tc>
        <w:tc>
          <w:tcPr>
            <w:tcW w:w="2693" w:type="dxa"/>
            <w:shd w:val="clear" w:color="auto" w:fill="auto"/>
            <w:noWrap/>
            <w:vAlign w:val="bottom"/>
            <w:hideMark/>
          </w:tcPr>
          <w:p w14:paraId="2AA75AB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150EF8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9999579" w14:textId="77777777" w:rsidTr="003070DB">
        <w:trPr>
          <w:trHeight w:val="600"/>
        </w:trPr>
        <w:tc>
          <w:tcPr>
            <w:tcW w:w="4106" w:type="dxa"/>
            <w:shd w:val="clear" w:color="auto" w:fill="auto"/>
            <w:vAlign w:val="bottom"/>
            <w:hideMark/>
          </w:tcPr>
          <w:p w14:paraId="4C87A4A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method of manufacture – grade 3 </w:t>
            </w:r>
          </w:p>
        </w:tc>
        <w:tc>
          <w:tcPr>
            <w:tcW w:w="2693" w:type="dxa"/>
            <w:shd w:val="clear" w:color="auto" w:fill="auto"/>
            <w:noWrap/>
            <w:vAlign w:val="bottom"/>
            <w:hideMark/>
          </w:tcPr>
          <w:p w14:paraId="0AC3920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0BC4D7D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0D2CF605" w14:textId="77777777" w:rsidTr="003070DB">
        <w:trPr>
          <w:trHeight w:val="600"/>
        </w:trPr>
        <w:tc>
          <w:tcPr>
            <w:tcW w:w="4106" w:type="dxa"/>
            <w:shd w:val="clear" w:color="auto" w:fill="auto"/>
            <w:vAlign w:val="bottom"/>
            <w:hideMark/>
          </w:tcPr>
          <w:p w14:paraId="3407FD2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site </w:t>
            </w:r>
          </w:p>
        </w:tc>
        <w:tc>
          <w:tcPr>
            <w:tcW w:w="2693" w:type="dxa"/>
            <w:shd w:val="clear" w:color="auto" w:fill="auto"/>
            <w:noWrap/>
            <w:vAlign w:val="bottom"/>
            <w:hideMark/>
          </w:tcPr>
          <w:p w14:paraId="3188865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5D97372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75A67096" w14:textId="77777777" w:rsidTr="003070DB">
        <w:trPr>
          <w:trHeight w:val="600"/>
        </w:trPr>
        <w:tc>
          <w:tcPr>
            <w:tcW w:w="4106" w:type="dxa"/>
            <w:shd w:val="clear" w:color="auto" w:fill="auto"/>
            <w:vAlign w:val="bottom"/>
            <w:hideMark/>
          </w:tcPr>
          <w:p w14:paraId="10E6DF8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secondary packing site </w:t>
            </w:r>
          </w:p>
        </w:tc>
        <w:tc>
          <w:tcPr>
            <w:tcW w:w="2693" w:type="dxa"/>
            <w:shd w:val="clear" w:color="auto" w:fill="auto"/>
            <w:noWrap/>
            <w:vAlign w:val="bottom"/>
            <w:hideMark/>
          </w:tcPr>
          <w:p w14:paraId="041A235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9CAD6F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4A76DF3E" w14:textId="77777777" w:rsidTr="003070DB">
        <w:trPr>
          <w:trHeight w:val="300"/>
        </w:trPr>
        <w:tc>
          <w:tcPr>
            <w:tcW w:w="4106" w:type="dxa"/>
            <w:shd w:val="clear" w:color="auto" w:fill="auto"/>
            <w:vAlign w:val="bottom"/>
            <w:hideMark/>
          </w:tcPr>
          <w:p w14:paraId="0D3A323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testing site </w:t>
            </w:r>
          </w:p>
        </w:tc>
        <w:tc>
          <w:tcPr>
            <w:tcW w:w="2693" w:type="dxa"/>
            <w:shd w:val="clear" w:color="auto" w:fill="auto"/>
            <w:noWrap/>
            <w:vAlign w:val="bottom"/>
            <w:hideMark/>
          </w:tcPr>
          <w:p w14:paraId="0CA4337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1257B99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0B16E87A" w14:textId="77777777" w:rsidTr="003070DB">
        <w:trPr>
          <w:trHeight w:val="600"/>
        </w:trPr>
        <w:tc>
          <w:tcPr>
            <w:tcW w:w="4106" w:type="dxa"/>
            <w:shd w:val="clear" w:color="auto" w:fill="auto"/>
            <w:vAlign w:val="bottom"/>
            <w:hideMark/>
          </w:tcPr>
          <w:p w14:paraId="4D5F391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1 </w:t>
            </w:r>
          </w:p>
        </w:tc>
        <w:tc>
          <w:tcPr>
            <w:tcW w:w="2693" w:type="dxa"/>
            <w:shd w:val="clear" w:color="auto" w:fill="auto"/>
            <w:noWrap/>
            <w:vAlign w:val="bottom"/>
            <w:hideMark/>
          </w:tcPr>
          <w:p w14:paraId="591F2DC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1C2D25F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20E731D0" w14:textId="77777777" w:rsidTr="003070DB">
        <w:trPr>
          <w:trHeight w:val="600"/>
        </w:trPr>
        <w:tc>
          <w:tcPr>
            <w:tcW w:w="4106" w:type="dxa"/>
            <w:shd w:val="clear" w:color="auto" w:fill="auto"/>
            <w:vAlign w:val="bottom"/>
            <w:hideMark/>
          </w:tcPr>
          <w:p w14:paraId="08E13F1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2 </w:t>
            </w:r>
          </w:p>
        </w:tc>
        <w:tc>
          <w:tcPr>
            <w:tcW w:w="2693" w:type="dxa"/>
            <w:shd w:val="clear" w:color="auto" w:fill="auto"/>
            <w:noWrap/>
            <w:vAlign w:val="bottom"/>
            <w:hideMark/>
          </w:tcPr>
          <w:p w14:paraId="443DA2E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0BA054F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317B22FC" w14:textId="77777777" w:rsidTr="003070DB">
        <w:trPr>
          <w:trHeight w:val="600"/>
        </w:trPr>
        <w:tc>
          <w:tcPr>
            <w:tcW w:w="4106" w:type="dxa"/>
            <w:shd w:val="clear" w:color="auto" w:fill="auto"/>
            <w:vAlign w:val="bottom"/>
            <w:hideMark/>
          </w:tcPr>
          <w:p w14:paraId="606EBBF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3        </w:t>
            </w:r>
          </w:p>
        </w:tc>
        <w:tc>
          <w:tcPr>
            <w:tcW w:w="2693" w:type="dxa"/>
            <w:shd w:val="clear" w:color="auto" w:fill="auto"/>
            <w:noWrap/>
            <w:vAlign w:val="bottom"/>
            <w:hideMark/>
          </w:tcPr>
          <w:p w14:paraId="132F11C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0FC91D7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7D2640D8" w14:textId="77777777" w:rsidTr="003070DB">
        <w:trPr>
          <w:trHeight w:val="600"/>
        </w:trPr>
        <w:tc>
          <w:tcPr>
            <w:tcW w:w="4106" w:type="dxa"/>
            <w:shd w:val="clear" w:color="auto" w:fill="auto"/>
            <w:vAlign w:val="bottom"/>
            <w:hideMark/>
          </w:tcPr>
          <w:p w14:paraId="5BF9FA75"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4 </w:t>
            </w:r>
          </w:p>
        </w:tc>
        <w:tc>
          <w:tcPr>
            <w:tcW w:w="2693" w:type="dxa"/>
            <w:shd w:val="clear" w:color="auto" w:fill="auto"/>
            <w:noWrap/>
            <w:vAlign w:val="bottom"/>
            <w:hideMark/>
          </w:tcPr>
          <w:p w14:paraId="200A3D5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43DFD61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1ACBB787" w14:textId="77777777" w:rsidTr="003070DB">
        <w:trPr>
          <w:trHeight w:val="300"/>
        </w:trPr>
        <w:tc>
          <w:tcPr>
            <w:tcW w:w="4106" w:type="dxa"/>
            <w:shd w:val="clear" w:color="auto" w:fill="auto"/>
            <w:vAlign w:val="bottom"/>
            <w:hideMark/>
          </w:tcPr>
          <w:p w14:paraId="3F9299A7"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lastRenderedPageBreak/>
              <w:t>Excipient</w:t>
            </w:r>
          </w:p>
        </w:tc>
        <w:tc>
          <w:tcPr>
            <w:tcW w:w="2693" w:type="dxa"/>
            <w:shd w:val="clear" w:color="auto" w:fill="auto"/>
            <w:noWrap/>
            <w:vAlign w:val="bottom"/>
            <w:hideMark/>
          </w:tcPr>
          <w:p w14:paraId="761D66D1"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60FE673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1A15B268" w14:textId="77777777" w:rsidTr="003070DB">
        <w:trPr>
          <w:trHeight w:val="600"/>
        </w:trPr>
        <w:tc>
          <w:tcPr>
            <w:tcW w:w="4106" w:type="dxa"/>
            <w:shd w:val="clear" w:color="auto" w:fill="auto"/>
            <w:vAlign w:val="bottom"/>
            <w:hideMark/>
          </w:tcPr>
          <w:p w14:paraId="144C6F2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Excipient specifications/test methods – Grade 1 </w:t>
            </w:r>
          </w:p>
        </w:tc>
        <w:tc>
          <w:tcPr>
            <w:tcW w:w="2693" w:type="dxa"/>
            <w:shd w:val="clear" w:color="auto" w:fill="auto"/>
            <w:noWrap/>
            <w:vAlign w:val="bottom"/>
            <w:hideMark/>
          </w:tcPr>
          <w:p w14:paraId="53507B4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51969D1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25DC898D" w14:textId="77777777" w:rsidTr="003070DB">
        <w:trPr>
          <w:trHeight w:val="600"/>
        </w:trPr>
        <w:tc>
          <w:tcPr>
            <w:tcW w:w="4106" w:type="dxa"/>
            <w:shd w:val="clear" w:color="auto" w:fill="auto"/>
            <w:vAlign w:val="bottom"/>
            <w:hideMark/>
          </w:tcPr>
          <w:p w14:paraId="4D6A0FF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Excipient specifications/test methods – Grade 2 </w:t>
            </w:r>
          </w:p>
        </w:tc>
        <w:tc>
          <w:tcPr>
            <w:tcW w:w="2693" w:type="dxa"/>
            <w:shd w:val="clear" w:color="auto" w:fill="auto"/>
            <w:noWrap/>
            <w:vAlign w:val="bottom"/>
            <w:hideMark/>
          </w:tcPr>
          <w:p w14:paraId="78F2EB1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A32B1D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6526355E" w14:textId="77777777" w:rsidTr="003070DB">
        <w:trPr>
          <w:trHeight w:val="600"/>
        </w:trPr>
        <w:tc>
          <w:tcPr>
            <w:tcW w:w="4106" w:type="dxa"/>
            <w:shd w:val="clear" w:color="auto" w:fill="auto"/>
            <w:vAlign w:val="bottom"/>
            <w:hideMark/>
          </w:tcPr>
          <w:p w14:paraId="1895ABE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Excipient specifications/test methods – Grade 3 </w:t>
            </w:r>
          </w:p>
        </w:tc>
        <w:tc>
          <w:tcPr>
            <w:tcW w:w="2693" w:type="dxa"/>
            <w:shd w:val="clear" w:color="auto" w:fill="auto"/>
            <w:noWrap/>
            <w:vAlign w:val="bottom"/>
            <w:hideMark/>
          </w:tcPr>
          <w:p w14:paraId="40F0BA4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6E26E4D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50517A9B" w14:textId="77777777" w:rsidTr="003070DB">
        <w:trPr>
          <w:trHeight w:val="900"/>
        </w:trPr>
        <w:tc>
          <w:tcPr>
            <w:tcW w:w="4106" w:type="dxa"/>
            <w:shd w:val="clear" w:color="auto" w:fill="auto"/>
            <w:vAlign w:val="bottom"/>
            <w:hideMark/>
          </w:tcPr>
          <w:p w14:paraId="05DA3D9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Test methods and specifications Test methods and specifications − Grade 1 </w:t>
            </w:r>
          </w:p>
        </w:tc>
        <w:tc>
          <w:tcPr>
            <w:tcW w:w="2693" w:type="dxa"/>
            <w:shd w:val="clear" w:color="auto" w:fill="auto"/>
            <w:noWrap/>
            <w:vAlign w:val="bottom"/>
            <w:hideMark/>
          </w:tcPr>
          <w:p w14:paraId="207915D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60484A2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6FBDC03D" w14:textId="77777777" w:rsidTr="003070DB">
        <w:trPr>
          <w:trHeight w:val="600"/>
        </w:trPr>
        <w:tc>
          <w:tcPr>
            <w:tcW w:w="4106" w:type="dxa"/>
            <w:shd w:val="clear" w:color="auto" w:fill="auto"/>
            <w:vAlign w:val="bottom"/>
            <w:hideMark/>
          </w:tcPr>
          <w:p w14:paraId="60D96E3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Test methods and specifications − Grade 2 </w:t>
            </w:r>
          </w:p>
        </w:tc>
        <w:tc>
          <w:tcPr>
            <w:tcW w:w="2693" w:type="dxa"/>
            <w:shd w:val="clear" w:color="auto" w:fill="auto"/>
            <w:noWrap/>
            <w:vAlign w:val="bottom"/>
            <w:hideMark/>
          </w:tcPr>
          <w:p w14:paraId="1067038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5AFE7AE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242EA61C" w14:textId="77777777" w:rsidTr="003070DB">
        <w:trPr>
          <w:trHeight w:val="600"/>
        </w:trPr>
        <w:tc>
          <w:tcPr>
            <w:tcW w:w="4106" w:type="dxa"/>
            <w:shd w:val="clear" w:color="auto" w:fill="auto"/>
            <w:vAlign w:val="bottom"/>
            <w:hideMark/>
          </w:tcPr>
          <w:p w14:paraId="5D84D99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Test methods and specifications − Grade 3 </w:t>
            </w:r>
          </w:p>
        </w:tc>
        <w:tc>
          <w:tcPr>
            <w:tcW w:w="2693" w:type="dxa"/>
            <w:shd w:val="clear" w:color="auto" w:fill="auto"/>
            <w:noWrap/>
            <w:vAlign w:val="bottom"/>
            <w:hideMark/>
          </w:tcPr>
          <w:p w14:paraId="4C9BA82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0A8ED28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5E131743" w14:textId="77777777" w:rsidTr="003070DB">
        <w:trPr>
          <w:trHeight w:val="600"/>
        </w:trPr>
        <w:tc>
          <w:tcPr>
            <w:tcW w:w="4106" w:type="dxa"/>
            <w:shd w:val="clear" w:color="auto" w:fill="auto"/>
            <w:vAlign w:val="bottom"/>
            <w:hideMark/>
          </w:tcPr>
          <w:p w14:paraId="2CA754B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Test methods and specifications − Grade 4       </w:t>
            </w:r>
          </w:p>
        </w:tc>
        <w:tc>
          <w:tcPr>
            <w:tcW w:w="2693" w:type="dxa"/>
            <w:shd w:val="clear" w:color="auto" w:fill="auto"/>
            <w:noWrap/>
            <w:vAlign w:val="bottom"/>
            <w:hideMark/>
          </w:tcPr>
          <w:p w14:paraId="2A68DFF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146411F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53988743" w14:textId="77777777" w:rsidTr="003070DB">
        <w:trPr>
          <w:trHeight w:val="600"/>
        </w:trPr>
        <w:tc>
          <w:tcPr>
            <w:tcW w:w="4106" w:type="dxa"/>
            <w:shd w:val="clear" w:color="auto" w:fill="auto"/>
            <w:vAlign w:val="bottom"/>
            <w:hideMark/>
          </w:tcPr>
          <w:p w14:paraId="1D7044F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Test methods and specifications − Grade 5 </w:t>
            </w:r>
          </w:p>
        </w:tc>
        <w:tc>
          <w:tcPr>
            <w:tcW w:w="2693" w:type="dxa"/>
            <w:shd w:val="clear" w:color="auto" w:fill="auto"/>
            <w:noWrap/>
            <w:vAlign w:val="bottom"/>
            <w:hideMark/>
          </w:tcPr>
          <w:p w14:paraId="7711EF6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061AF79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7D9D3FFE" w14:textId="77777777" w:rsidTr="003070DB">
        <w:trPr>
          <w:trHeight w:val="600"/>
        </w:trPr>
        <w:tc>
          <w:tcPr>
            <w:tcW w:w="4106" w:type="dxa"/>
            <w:shd w:val="clear" w:color="auto" w:fill="auto"/>
            <w:vAlign w:val="bottom"/>
            <w:hideMark/>
          </w:tcPr>
          <w:p w14:paraId="1D89EC6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Test methods and specifications − Grade 6 </w:t>
            </w:r>
          </w:p>
        </w:tc>
        <w:tc>
          <w:tcPr>
            <w:tcW w:w="2693" w:type="dxa"/>
            <w:shd w:val="clear" w:color="auto" w:fill="auto"/>
            <w:noWrap/>
            <w:vAlign w:val="bottom"/>
            <w:hideMark/>
          </w:tcPr>
          <w:p w14:paraId="4F3F2E2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45DB000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4F58D3CE" w14:textId="77777777" w:rsidTr="003070DB">
        <w:trPr>
          <w:trHeight w:val="300"/>
        </w:trPr>
        <w:tc>
          <w:tcPr>
            <w:tcW w:w="4106" w:type="dxa"/>
            <w:shd w:val="clear" w:color="auto" w:fill="auto"/>
            <w:vAlign w:val="bottom"/>
            <w:hideMark/>
          </w:tcPr>
          <w:p w14:paraId="14ACF49A"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Product stability and packaging</w:t>
            </w:r>
          </w:p>
        </w:tc>
        <w:tc>
          <w:tcPr>
            <w:tcW w:w="2693" w:type="dxa"/>
            <w:shd w:val="clear" w:color="auto" w:fill="auto"/>
            <w:noWrap/>
            <w:vAlign w:val="bottom"/>
            <w:hideMark/>
          </w:tcPr>
          <w:p w14:paraId="4A307F34"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418CBDC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E576E93" w14:textId="77777777" w:rsidTr="003070DB">
        <w:trPr>
          <w:trHeight w:val="900"/>
        </w:trPr>
        <w:tc>
          <w:tcPr>
            <w:tcW w:w="4106" w:type="dxa"/>
            <w:shd w:val="clear" w:color="auto" w:fill="auto"/>
            <w:vAlign w:val="bottom"/>
            <w:hideMark/>
          </w:tcPr>
          <w:p w14:paraId="1DC26A3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active ingredient and intermediate bulks </w:t>
            </w:r>
          </w:p>
        </w:tc>
        <w:tc>
          <w:tcPr>
            <w:tcW w:w="2693" w:type="dxa"/>
            <w:shd w:val="clear" w:color="auto" w:fill="auto"/>
            <w:noWrap/>
            <w:vAlign w:val="bottom"/>
            <w:hideMark/>
          </w:tcPr>
          <w:p w14:paraId="46728F4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33EFB74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298AA7E8" w14:textId="77777777" w:rsidTr="003070DB">
        <w:trPr>
          <w:trHeight w:val="600"/>
        </w:trPr>
        <w:tc>
          <w:tcPr>
            <w:tcW w:w="4106" w:type="dxa"/>
            <w:shd w:val="clear" w:color="auto" w:fill="auto"/>
            <w:vAlign w:val="bottom"/>
            <w:hideMark/>
          </w:tcPr>
          <w:p w14:paraId="4B39A4F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finished product </w:t>
            </w:r>
          </w:p>
        </w:tc>
        <w:tc>
          <w:tcPr>
            <w:tcW w:w="2693" w:type="dxa"/>
            <w:shd w:val="clear" w:color="auto" w:fill="auto"/>
            <w:noWrap/>
            <w:vAlign w:val="bottom"/>
            <w:hideMark/>
          </w:tcPr>
          <w:p w14:paraId="7D7A6DF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5CD9C5E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3B4666D4" w14:textId="77777777" w:rsidTr="003070DB">
        <w:trPr>
          <w:trHeight w:val="600"/>
        </w:trPr>
        <w:tc>
          <w:tcPr>
            <w:tcW w:w="4106" w:type="dxa"/>
            <w:shd w:val="clear" w:color="auto" w:fill="auto"/>
            <w:vAlign w:val="bottom"/>
            <w:hideMark/>
          </w:tcPr>
          <w:p w14:paraId="4758397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Reference standard – Grade 1 </w:t>
            </w:r>
          </w:p>
        </w:tc>
        <w:tc>
          <w:tcPr>
            <w:tcW w:w="2693" w:type="dxa"/>
            <w:shd w:val="clear" w:color="auto" w:fill="auto"/>
            <w:noWrap/>
            <w:vAlign w:val="bottom"/>
            <w:hideMark/>
          </w:tcPr>
          <w:p w14:paraId="1EA136F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29C6661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31729105" w14:textId="77777777" w:rsidTr="003070DB">
        <w:trPr>
          <w:trHeight w:val="600"/>
        </w:trPr>
        <w:tc>
          <w:tcPr>
            <w:tcW w:w="4106" w:type="dxa"/>
            <w:shd w:val="clear" w:color="auto" w:fill="auto"/>
            <w:vAlign w:val="bottom"/>
            <w:hideMark/>
          </w:tcPr>
          <w:p w14:paraId="16E3A5E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Reference standard – Grade 2 </w:t>
            </w:r>
          </w:p>
        </w:tc>
        <w:tc>
          <w:tcPr>
            <w:tcW w:w="2693" w:type="dxa"/>
            <w:shd w:val="clear" w:color="auto" w:fill="auto"/>
            <w:noWrap/>
            <w:vAlign w:val="bottom"/>
            <w:hideMark/>
          </w:tcPr>
          <w:p w14:paraId="365FCB4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14057BF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38C31E86" w14:textId="77777777" w:rsidTr="003070DB">
        <w:trPr>
          <w:trHeight w:val="600"/>
        </w:trPr>
        <w:tc>
          <w:tcPr>
            <w:tcW w:w="4106" w:type="dxa"/>
            <w:shd w:val="clear" w:color="auto" w:fill="auto"/>
            <w:vAlign w:val="bottom"/>
            <w:hideMark/>
          </w:tcPr>
          <w:p w14:paraId="13324D2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1 </w:t>
            </w:r>
          </w:p>
        </w:tc>
        <w:tc>
          <w:tcPr>
            <w:tcW w:w="2693" w:type="dxa"/>
            <w:shd w:val="clear" w:color="auto" w:fill="auto"/>
            <w:noWrap/>
            <w:vAlign w:val="bottom"/>
            <w:hideMark/>
          </w:tcPr>
          <w:p w14:paraId="0BC7817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7FBE0B4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327DE5B3" w14:textId="77777777" w:rsidTr="003070DB">
        <w:trPr>
          <w:trHeight w:val="600"/>
        </w:trPr>
        <w:tc>
          <w:tcPr>
            <w:tcW w:w="4106" w:type="dxa"/>
            <w:shd w:val="clear" w:color="auto" w:fill="auto"/>
            <w:vAlign w:val="bottom"/>
            <w:hideMark/>
          </w:tcPr>
          <w:p w14:paraId="3076C70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2 </w:t>
            </w:r>
          </w:p>
        </w:tc>
        <w:tc>
          <w:tcPr>
            <w:tcW w:w="2693" w:type="dxa"/>
            <w:shd w:val="clear" w:color="auto" w:fill="auto"/>
            <w:noWrap/>
            <w:vAlign w:val="bottom"/>
            <w:hideMark/>
          </w:tcPr>
          <w:p w14:paraId="57BE5B4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3CC025F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47BF1128" w14:textId="77777777" w:rsidTr="003070DB">
        <w:trPr>
          <w:trHeight w:val="600"/>
        </w:trPr>
        <w:tc>
          <w:tcPr>
            <w:tcW w:w="4106" w:type="dxa"/>
            <w:shd w:val="clear" w:color="auto" w:fill="auto"/>
            <w:vAlign w:val="bottom"/>
            <w:hideMark/>
          </w:tcPr>
          <w:p w14:paraId="22E1E3D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3           </w:t>
            </w:r>
          </w:p>
        </w:tc>
        <w:tc>
          <w:tcPr>
            <w:tcW w:w="2693" w:type="dxa"/>
            <w:shd w:val="clear" w:color="auto" w:fill="auto"/>
            <w:noWrap/>
            <w:vAlign w:val="bottom"/>
            <w:hideMark/>
          </w:tcPr>
          <w:p w14:paraId="4EEF54F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4E9BBD6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5BD4EC77" w14:textId="77777777" w:rsidTr="003070DB">
        <w:trPr>
          <w:trHeight w:val="600"/>
        </w:trPr>
        <w:tc>
          <w:tcPr>
            <w:tcW w:w="4106" w:type="dxa"/>
            <w:shd w:val="clear" w:color="auto" w:fill="auto"/>
            <w:vAlign w:val="bottom"/>
            <w:hideMark/>
          </w:tcPr>
          <w:p w14:paraId="0802107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4 </w:t>
            </w:r>
          </w:p>
        </w:tc>
        <w:tc>
          <w:tcPr>
            <w:tcW w:w="2693" w:type="dxa"/>
            <w:shd w:val="clear" w:color="auto" w:fill="auto"/>
            <w:noWrap/>
            <w:vAlign w:val="bottom"/>
            <w:hideMark/>
          </w:tcPr>
          <w:p w14:paraId="523E4C0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3AF81F4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6D52E7D1" w14:textId="77777777" w:rsidTr="003070DB">
        <w:trPr>
          <w:trHeight w:val="600"/>
        </w:trPr>
        <w:tc>
          <w:tcPr>
            <w:tcW w:w="4106" w:type="dxa"/>
            <w:shd w:val="clear" w:color="auto" w:fill="auto"/>
            <w:vAlign w:val="bottom"/>
            <w:hideMark/>
          </w:tcPr>
          <w:p w14:paraId="12806CD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 and dosage Indications/dosage − Grade 1 </w:t>
            </w:r>
          </w:p>
        </w:tc>
        <w:tc>
          <w:tcPr>
            <w:tcW w:w="2693" w:type="dxa"/>
            <w:shd w:val="clear" w:color="auto" w:fill="auto"/>
            <w:noWrap/>
            <w:vAlign w:val="bottom"/>
            <w:hideMark/>
          </w:tcPr>
          <w:p w14:paraId="63DD601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3EBCD56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62422413" w14:textId="77777777" w:rsidTr="003070DB">
        <w:trPr>
          <w:trHeight w:val="300"/>
        </w:trPr>
        <w:tc>
          <w:tcPr>
            <w:tcW w:w="4106" w:type="dxa"/>
            <w:shd w:val="clear" w:color="auto" w:fill="auto"/>
            <w:vAlign w:val="bottom"/>
            <w:hideMark/>
          </w:tcPr>
          <w:p w14:paraId="2094274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2 </w:t>
            </w:r>
          </w:p>
        </w:tc>
        <w:tc>
          <w:tcPr>
            <w:tcW w:w="2693" w:type="dxa"/>
            <w:shd w:val="clear" w:color="auto" w:fill="auto"/>
            <w:noWrap/>
            <w:vAlign w:val="bottom"/>
            <w:hideMark/>
          </w:tcPr>
          <w:p w14:paraId="6EB2927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53AB009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08EB9176" w14:textId="77777777" w:rsidTr="003070DB">
        <w:trPr>
          <w:trHeight w:val="300"/>
        </w:trPr>
        <w:tc>
          <w:tcPr>
            <w:tcW w:w="4106" w:type="dxa"/>
            <w:shd w:val="clear" w:color="auto" w:fill="auto"/>
            <w:vAlign w:val="bottom"/>
            <w:hideMark/>
          </w:tcPr>
          <w:p w14:paraId="1E6EE5D7"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3 </w:t>
            </w:r>
          </w:p>
        </w:tc>
        <w:tc>
          <w:tcPr>
            <w:tcW w:w="2693" w:type="dxa"/>
            <w:shd w:val="clear" w:color="auto" w:fill="auto"/>
            <w:noWrap/>
            <w:vAlign w:val="bottom"/>
            <w:hideMark/>
          </w:tcPr>
          <w:p w14:paraId="1F74230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457086A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03C47015" w14:textId="77777777" w:rsidTr="003070DB">
        <w:trPr>
          <w:trHeight w:val="300"/>
        </w:trPr>
        <w:tc>
          <w:tcPr>
            <w:tcW w:w="4106" w:type="dxa"/>
            <w:shd w:val="clear" w:color="auto" w:fill="auto"/>
            <w:vAlign w:val="bottom"/>
            <w:hideMark/>
          </w:tcPr>
          <w:p w14:paraId="503823F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4 </w:t>
            </w:r>
          </w:p>
        </w:tc>
        <w:tc>
          <w:tcPr>
            <w:tcW w:w="2693" w:type="dxa"/>
            <w:shd w:val="clear" w:color="auto" w:fill="auto"/>
            <w:noWrap/>
            <w:vAlign w:val="bottom"/>
            <w:hideMark/>
          </w:tcPr>
          <w:p w14:paraId="14C7F11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57850E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211C597B" w14:textId="77777777" w:rsidTr="003070DB">
        <w:trPr>
          <w:trHeight w:val="300"/>
        </w:trPr>
        <w:tc>
          <w:tcPr>
            <w:tcW w:w="4106" w:type="dxa"/>
            <w:shd w:val="clear" w:color="auto" w:fill="auto"/>
            <w:vAlign w:val="bottom"/>
            <w:hideMark/>
          </w:tcPr>
          <w:p w14:paraId="220C980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5 </w:t>
            </w:r>
          </w:p>
        </w:tc>
        <w:tc>
          <w:tcPr>
            <w:tcW w:w="2693" w:type="dxa"/>
            <w:shd w:val="clear" w:color="auto" w:fill="auto"/>
            <w:noWrap/>
            <w:vAlign w:val="bottom"/>
            <w:hideMark/>
          </w:tcPr>
          <w:p w14:paraId="5830A8B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DC6725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3CF62D52" w14:textId="77777777" w:rsidTr="003070DB">
        <w:trPr>
          <w:trHeight w:val="300"/>
        </w:trPr>
        <w:tc>
          <w:tcPr>
            <w:tcW w:w="4106" w:type="dxa"/>
            <w:shd w:val="clear" w:color="auto" w:fill="auto"/>
            <w:vAlign w:val="bottom"/>
            <w:hideMark/>
          </w:tcPr>
          <w:p w14:paraId="57A1852B"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5 </w:t>
            </w:r>
          </w:p>
        </w:tc>
        <w:tc>
          <w:tcPr>
            <w:tcW w:w="2693" w:type="dxa"/>
            <w:shd w:val="clear" w:color="auto" w:fill="auto"/>
            <w:noWrap/>
            <w:vAlign w:val="bottom"/>
            <w:hideMark/>
          </w:tcPr>
          <w:p w14:paraId="6A7EB96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A9ABA9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57E7EB63" w14:textId="77777777" w:rsidTr="003070DB">
        <w:trPr>
          <w:trHeight w:val="600"/>
        </w:trPr>
        <w:tc>
          <w:tcPr>
            <w:tcW w:w="4106" w:type="dxa"/>
            <w:shd w:val="clear" w:color="auto" w:fill="auto"/>
            <w:vAlign w:val="bottom"/>
            <w:hideMark/>
          </w:tcPr>
          <w:p w14:paraId="4B35682C"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Contraindications, Warnings and Precautions </w:t>
            </w:r>
          </w:p>
        </w:tc>
        <w:tc>
          <w:tcPr>
            <w:tcW w:w="2693" w:type="dxa"/>
            <w:shd w:val="clear" w:color="auto" w:fill="auto"/>
            <w:noWrap/>
            <w:vAlign w:val="bottom"/>
            <w:hideMark/>
          </w:tcPr>
          <w:p w14:paraId="5AEA417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67DE582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14948D7B" w14:textId="77777777" w:rsidTr="003070DB">
        <w:trPr>
          <w:trHeight w:val="300"/>
        </w:trPr>
        <w:tc>
          <w:tcPr>
            <w:tcW w:w="4106" w:type="dxa"/>
            <w:shd w:val="clear" w:color="auto" w:fill="auto"/>
            <w:vAlign w:val="bottom"/>
            <w:hideMark/>
          </w:tcPr>
          <w:p w14:paraId="773E2966"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Labelling</w:t>
            </w:r>
          </w:p>
        </w:tc>
        <w:tc>
          <w:tcPr>
            <w:tcW w:w="2693" w:type="dxa"/>
            <w:shd w:val="clear" w:color="auto" w:fill="auto"/>
            <w:noWrap/>
            <w:vAlign w:val="bottom"/>
            <w:hideMark/>
          </w:tcPr>
          <w:p w14:paraId="26C73899"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43D319E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CBC04EA" w14:textId="77777777" w:rsidTr="003070DB">
        <w:trPr>
          <w:trHeight w:val="300"/>
        </w:trPr>
        <w:tc>
          <w:tcPr>
            <w:tcW w:w="4106" w:type="dxa"/>
            <w:shd w:val="clear" w:color="auto" w:fill="auto"/>
            <w:vAlign w:val="bottom"/>
            <w:hideMark/>
          </w:tcPr>
          <w:p w14:paraId="220458C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1 </w:t>
            </w:r>
          </w:p>
        </w:tc>
        <w:tc>
          <w:tcPr>
            <w:tcW w:w="2693" w:type="dxa"/>
            <w:shd w:val="clear" w:color="auto" w:fill="auto"/>
            <w:noWrap/>
            <w:vAlign w:val="bottom"/>
            <w:hideMark/>
          </w:tcPr>
          <w:p w14:paraId="1BCE09B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4A57289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3FF7B13B" w14:textId="77777777" w:rsidTr="003070DB">
        <w:trPr>
          <w:trHeight w:val="300"/>
        </w:trPr>
        <w:tc>
          <w:tcPr>
            <w:tcW w:w="4106" w:type="dxa"/>
            <w:shd w:val="clear" w:color="auto" w:fill="auto"/>
            <w:vAlign w:val="bottom"/>
            <w:hideMark/>
          </w:tcPr>
          <w:p w14:paraId="24154E5D"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2 </w:t>
            </w:r>
          </w:p>
        </w:tc>
        <w:tc>
          <w:tcPr>
            <w:tcW w:w="2693" w:type="dxa"/>
            <w:shd w:val="clear" w:color="auto" w:fill="auto"/>
            <w:noWrap/>
            <w:vAlign w:val="bottom"/>
            <w:hideMark/>
          </w:tcPr>
          <w:p w14:paraId="606C18F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E063A4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3FD5120" w14:textId="77777777" w:rsidTr="003070DB">
        <w:trPr>
          <w:trHeight w:val="300"/>
        </w:trPr>
        <w:tc>
          <w:tcPr>
            <w:tcW w:w="4106" w:type="dxa"/>
            <w:shd w:val="clear" w:color="auto" w:fill="auto"/>
            <w:vAlign w:val="bottom"/>
            <w:hideMark/>
          </w:tcPr>
          <w:p w14:paraId="1C56F7A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3 </w:t>
            </w:r>
          </w:p>
        </w:tc>
        <w:tc>
          <w:tcPr>
            <w:tcW w:w="2693" w:type="dxa"/>
            <w:shd w:val="clear" w:color="auto" w:fill="auto"/>
            <w:noWrap/>
            <w:vAlign w:val="bottom"/>
            <w:hideMark/>
          </w:tcPr>
          <w:p w14:paraId="4F68A07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7BE1797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12CF1A9" w14:textId="77777777" w:rsidTr="003070DB">
        <w:trPr>
          <w:trHeight w:val="600"/>
        </w:trPr>
        <w:tc>
          <w:tcPr>
            <w:tcW w:w="4106" w:type="dxa"/>
            <w:shd w:val="clear" w:color="auto" w:fill="auto"/>
            <w:vAlign w:val="bottom"/>
            <w:hideMark/>
          </w:tcPr>
          <w:p w14:paraId="781E075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Data Sheet Data sheet − miscellaneous changes </w:t>
            </w:r>
          </w:p>
        </w:tc>
        <w:tc>
          <w:tcPr>
            <w:tcW w:w="2693" w:type="dxa"/>
            <w:shd w:val="clear" w:color="auto" w:fill="auto"/>
            <w:noWrap/>
            <w:vAlign w:val="bottom"/>
            <w:hideMark/>
          </w:tcPr>
          <w:p w14:paraId="330DC40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3226AFA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7256F75C" w14:textId="77777777" w:rsidTr="003070DB">
        <w:trPr>
          <w:trHeight w:val="900"/>
        </w:trPr>
        <w:tc>
          <w:tcPr>
            <w:tcW w:w="4106" w:type="dxa"/>
            <w:shd w:val="clear" w:color="auto" w:fill="auto"/>
            <w:vAlign w:val="bottom"/>
            <w:hideMark/>
          </w:tcPr>
          <w:p w14:paraId="043F940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Data sheet − format change (an administration fee applies if this is the sole </w:t>
            </w:r>
            <w:proofErr w:type="gramStart"/>
            <w:r w:rsidRPr="002017C6">
              <w:rPr>
                <w:rFonts w:ascii="Calibri" w:eastAsia="Times New Roman" w:hAnsi="Calibri" w:cs="Times New Roman"/>
                <w:color w:val="000000"/>
                <w:lang w:eastAsia="en-NZ"/>
              </w:rPr>
              <w:t xml:space="preserve">change)   </w:t>
            </w:r>
            <w:proofErr w:type="gramEnd"/>
            <w:r w:rsidRPr="002017C6">
              <w:rPr>
                <w:rFonts w:ascii="Calibri" w:eastAsia="Times New Roman" w:hAnsi="Calibri" w:cs="Times New Roman"/>
                <w:color w:val="000000"/>
                <w:lang w:eastAsia="en-NZ"/>
              </w:rPr>
              <w:t xml:space="preserve"> </w:t>
            </w:r>
          </w:p>
        </w:tc>
        <w:tc>
          <w:tcPr>
            <w:tcW w:w="2693" w:type="dxa"/>
            <w:shd w:val="clear" w:color="auto" w:fill="auto"/>
            <w:noWrap/>
            <w:vAlign w:val="bottom"/>
            <w:hideMark/>
          </w:tcPr>
          <w:p w14:paraId="161E636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0</w:t>
            </w:r>
          </w:p>
        </w:tc>
        <w:tc>
          <w:tcPr>
            <w:tcW w:w="2694" w:type="dxa"/>
            <w:shd w:val="clear" w:color="auto" w:fill="auto"/>
            <w:noWrap/>
            <w:vAlign w:val="bottom"/>
            <w:hideMark/>
          </w:tcPr>
          <w:p w14:paraId="26D91DB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7CAEE36F" w14:textId="77777777" w:rsidTr="003070DB">
        <w:trPr>
          <w:trHeight w:val="300"/>
        </w:trPr>
        <w:tc>
          <w:tcPr>
            <w:tcW w:w="4106" w:type="dxa"/>
            <w:shd w:val="clear" w:color="auto" w:fill="auto"/>
            <w:vAlign w:val="bottom"/>
            <w:hideMark/>
          </w:tcPr>
          <w:p w14:paraId="0D5C6F7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Other Sponsor  </w:t>
            </w:r>
          </w:p>
        </w:tc>
        <w:tc>
          <w:tcPr>
            <w:tcW w:w="2693" w:type="dxa"/>
            <w:shd w:val="clear" w:color="auto" w:fill="auto"/>
            <w:noWrap/>
            <w:vAlign w:val="bottom"/>
            <w:hideMark/>
          </w:tcPr>
          <w:p w14:paraId="2E2E245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3B35093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17D18627" w14:textId="77777777" w:rsidTr="003070DB">
        <w:trPr>
          <w:trHeight w:val="300"/>
        </w:trPr>
        <w:tc>
          <w:tcPr>
            <w:tcW w:w="4106" w:type="dxa"/>
            <w:shd w:val="clear" w:color="auto" w:fill="auto"/>
            <w:vAlign w:val="bottom"/>
            <w:hideMark/>
          </w:tcPr>
          <w:p w14:paraId="5C58077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Change in ownership </w:t>
            </w:r>
          </w:p>
        </w:tc>
        <w:tc>
          <w:tcPr>
            <w:tcW w:w="2693" w:type="dxa"/>
            <w:shd w:val="clear" w:color="auto" w:fill="auto"/>
            <w:noWrap/>
            <w:vAlign w:val="bottom"/>
            <w:hideMark/>
          </w:tcPr>
          <w:p w14:paraId="3823610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404E52F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4BF2A452" w14:textId="77777777" w:rsidTr="003070DB">
        <w:trPr>
          <w:trHeight w:val="300"/>
        </w:trPr>
        <w:tc>
          <w:tcPr>
            <w:tcW w:w="4106" w:type="dxa"/>
            <w:shd w:val="clear" w:color="auto" w:fill="auto"/>
            <w:vAlign w:val="bottom"/>
            <w:hideMark/>
          </w:tcPr>
          <w:p w14:paraId="5C14576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Self-assessable change(s) </w:t>
            </w:r>
          </w:p>
        </w:tc>
        <w:tc>
          <w:tcPr>
            <w:tcW w:w="2693" w:type="dxa"/>
            <w:shd w:val="clear" w:color="auto" w:fill="auto"/>
            <w:noWrap/>
            <w:vAlign w:val="bottom"/>
            <w:hideMark/>
          </w:tcPr>
          <w:p w14:paraId="13696D4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4E91D70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4C31FD6A" w14:textId="77777777" w:rsidTr="003070DB">
        <w:trPr>
          <w:trHeight w:val="300"/>
        </w:trPr>
        <w:tc>
          <w:tcPr>
            <w:tcW w:w="4106" w:type="dxa"/>
            <w:shd w:val="clear" w:color="auto" w:fill="auto"/>
            <w:vAlign w:val="bottom"/>
            <w:hideMark/>
          </w:tcPr>
          <w:p w14:paraId="3696BEE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Administration fee </w:t>
            </w:r>
          </w:p>
        </w:tc>
        <w:tc>
          <w:tcPr>
            <w:tcW w:w="2693" w:type="dxa"/>
            <w:shd w:val="clear" w:color="auto" w:fill="auto"/>
            <w:noWrap/>
            <w:vAlign w:val="bottom"/>
            <w:hideMark/>
          </w:tcPr>
          <w:p w14:paraId="5026409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6689B6A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374A56" w14:paraId="61687227" w14:textId="77777777" w:rsidTr="003070DB">
        <w:trPr>
          <w:trHeight w:val="680"/>
        </w:trPr>
        <w:tc>
          <w:tcPr>
            <w:tcW w:w="4106" w:type="dxa"/>
            <w:shd w:val="clear" w:color="auto" w:fill="auto"/>
          </w:tcPr>
          <w:p w14:paraId="34D39AEF" w14:textId="77777777" w:rsidR="00C028D1" w:rsidRPr="00374A56" w:rsidRDefault="00C028D1" w:rsidP="003070DB">
            <w:pPr>
              <w:spacing w:after="0" w:line="240" w:lineRule="auto"/>
              <w:rPr>
                <w:rFonts w:ascii="Calibri" w:eastAsia="Times New Roman" w:hAnsi="Calibri" w:cs="Times New Roman"/>
                <w:b/>
                <w:bCs/>
                <w:color w:val="000000"/>
                <w:highlight w:val="yellow"/>
                <w:lang w:eastAsia="en-NZ"/>
              </w:rPr>
            </w:pPr>
            <w:r w:rsidRPr="00374A56">
              <w:rPr>
                <w:rFonts w:ascii="Calibri" w:eastAsia="Times New Roman" w:hAnsi="Calibri" w:cs="Times New Roman"/>
                <w:b/>
                <w:bCs/>
                <w:color w:val="000000"/>
                <w:highlight w:val="yellow"/>
                <w:lang w:eastAsia="en-NZ"/>
              </w:rPr>
              <w:t>Section 24(5) – automatic referrals only</w:t>
            </w:r>
          </w:p>
        </w:tc>
        <w:tc>
          <w:tcPr>
            <w:tcW w:w="2693" w:type="dxa"/>
            <w:shd w:val="clear" w:color="auto" w:fill="auto"/>
            <w:noWrap/>
          </w:tcPr>
          <w:p w14:paraId="34EB8AFB"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p>
        </w:tc>
        <w:tc>
          <w:tcPr>
            <w:tcW w:w="2694" w:type="dxa"/>
            <w:shd w:val="clear" w:color="auto" w:fill="auto"/>
            <w:noWrap/>
          </w:tcPr>
          <w:p w14:paraId="4B3F95F3"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p>
        </w:tc>
      </w:tr>
      <w:tr w:rsidR="00C028D1" w:rsidRPr="00374A56" w14:paraId="2B533044" w14:textId="77777777" w:rsidTr="003070DB">
        <w:trPr>
          <w:trHeight w:val="680"/>
        </w:trPr>
        <w:tc>
          <w:tcPr>
            <w:tcW w:w="4106" w:type="dxa"/>
            <w:shd w:val="clear" w:color="auto" w:fill="auto"/>
          </w:tcPr>
          <w:p w14:paraId="7EF02B10"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 xml:space="preserve">New indication – NCE </w:t>
            </w:r>
          </w:p>
        </w:tc>
        <w:tc>
          <w:tcPr>
            <w:tcW w:w="2693" w:type="dxa"/>
            <w:shd w:val="clear" w:color="auto" w:fill="auto"/>
            <w:noWrap/>
          </w:tcPr>
          <w:p w14:paraId="5EB11067"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49CF288B"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70,292</w:t>
            </w:r>
          </w:p>
        </w:tc>
      </w:tr>
      <w:tr w:rsidR="00C028D1" w:rsidRPr="00374A56" w14:paraId="66FC2005" w14:textId="77777777" w:rsidTr="003070DB">
        <w:trPr>
          <w:trHeight w:val="680"/>
        </w:trPr>
        <w:tc>
          <w:tcPr>
            <w:tcW w:w="4106" w:type="dxa"/>
            <w:shd w:val="clear" w:color="auto" w:fill="auto"/>
          </w:tcPr>
          <w:p w14:paraId="316F7D64" w14:textId="77777777" w:rsidR="00C028D1" w:rsidRPr="00374A56" w:rsidRDefault="00C028D1" w:rsidP="003070DB">
            <w:pPr>
              <w:spacing w:after="0" w:line="240" w:lineRule="auto"/>
              <w:rPr>
                <w:rFonts w:ascii="Calibri" w:eastAsia="Times New Roman" w:hAnsi="Calibri" w:cs="Times New Roman"/>
                <w:b/>
                <w:bCs/>
                <w:color w:val="000000"/>
                <w:highlight w:val="yellow"/>
                <w:lang w:eastAsia="en-NZ"/>
              </w:rPr>
            </w:pPr>
            <w:r w:rsidRPr="00374A56">
              <w:rPr>
                <w:rFonts w:ascii="Calibri" w:eastAsia="Times New Roman" w:hAnsi="Calibri" w:cs="Times New Roman"/>
                <w:color w:val="000000"/>
                <w:highlight w:val="yellow"/>
                <w:lang w:eastAsia="en-NZ"/>
              </w:rPr>
              <w:t xml:space="preserve">New indication – other high risk </w:t>
            </w:r>
          </w:p>
        </w:tc>
        <w:tc>
          <w:tcPr>
            <w:tcW w:w="2693" w:type="dxa"/>
            <w:shd w:val="clear" w:color="auto" w:fill="auto"/>
            <w:noWrap/>
          </w:tcPr>
          <w:p w14:paraId="1D2A3342"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76FD1ADA"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52,719</w:t>
            </w:r>
          </w:p>
        </w:tc>
      </w:tr>
      <w:tr w:rsidR="00C028D1" w:rsidRPr="00374A56" w14:paraId="02582B09" w14:textId="77777777" w:rsidTr="003070DB">
        <w:trPr>
          <w:trHeight w:val="680"/>
        </w:trPr>
        <w:tc>
          <w:tcPr>
            <w:tcW w:w="4106" w:type="dxa"/>
            <w:shd w:val="clear" w:color="auto" w:fill="auto"/>
          </w:tcPr>
          <w:p w14:paraId="71653F59"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 xml:space="preserve">New indication – intermediate risk </w:t>
            </w:r>
          </w:p>
        </w:tc>
        <w:tc>
          <w:tcPr>
            <w:tcW w:w="2693" w:type="dxa"/>
            <w:shd w:val="clear" w:color="auto" w:fill="auto"/>
            <w:noWrap/>
          </w:tcPr>
          <w:p w14:paraId="543C29E0"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231F499F"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35,146</w:t>
            </w:r>
          </w:p>
        </w:tc>
      </w:tr>
      <w:tr w:rsidR="00C028D1" w:rsidRPr="00374A56" w14:paraId="7CEEB877" w14:textId="77777777" w:rsidTr="003070DB">
        <w:trPr>
          <w:trHeight w:val="680"/>
        </w:trPr>
        <w:tc>
          <w:tcPr>
            <w:tcW w:w="4106" w:type="dxa"/>
            <w:shd w:val="clear" w:color="auto" w:fill="auto"/>
          </w:tcPr>
          <w:p w14:paraId="0B77BCAF"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 xml:space="preserve">Extended indication – NCE </w:t>
            </w:r>
          </w:p>
        </w:tc>
        <w:tc>
          <w:tcPr>
            <w:tcW w:w="2693" w:type="dxa"/>
            <w:shd w:val="clear" w:color="auto" w:fill="auto"/>
            <w:noWrap/>
          </w:tcPr>
          <w:p w14:paraId="0B8E32D6"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6940FB1F"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53,252</w:t>
            </w:r>
          </w:p>
        </w:tc>
      </w:tr>
      <w:tr w:rsidR="00C028D1" w:rsidRPr="00374A56" w14:paraId="5B602565" w14:textId="77777777" w:rsidTr="003070DB">
        <w:trPr>
          <w:trHeight w:val="680"/>
        </w:trPr>
        <w:tc>
          <w:tcPr>
            <w:tcW w:w="4106" w:type="dxa"/>
            <w:shd w:val="clear" w:color="auto" w:fill="auto"/>
          </w:tcPr>
          <w:p w14:paraId="6D27AF3B"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Extended indication – other high risk</w:t>
            </w:r>
          </w:p>
        </w:tc>
        <w:tc>
          <w:tcPr>
            <w:tcW w:w="2693" w:type="dxa"/>
            <w:shd w:val="clear" w:color="auto" w:fill="auto"/>
            <w:noWrap/>
          </w:tcPr>
          <w:p w14:paraId="267A49F8"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3C747959"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39,939</w:t>
            </w:r>
          </w:p>
        </w:tc>
      </w:tr>
      <w:tr w:rsidR="00C028D1" w:rsidRPr="00374A56" w14:paraId="5829E1CD" w14:textId="77777777" w:rsidTr="003070DB">
        <w:trPr>
          <w:trHeight w:val="680"/>
        </w:trPr>
        <w:tc>
          <w:tcPr>
            <w:tcW w:w="4106" w:type="dxa"/>
            <w:shd w:val="clear" w:color="auto" w:fill="auto"/>
          </w:tcPr>
          <w:p w14:paraId="12877A45"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 xml:space="preserve">Extended indication – intermediate risk </w:t>
            </w:r>
          </w:p>
        </w:tc>
        <w:tc>
          <w:tcPr>
            <w:tcW w:w="2693" w:type="dxa"/>
            <w:shd w:val="clear" w:color="auto" w:fill="auto"/>
            <w:noWrap/>
          </w:tcPr>
          <w:p w14:paraId="726A7617"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79414611"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26,626</w:t>
            </w:r>
          </w:p>
        </w:tc>
      </w:tr>
      <w:tr w:rsidR="00C028D1" w:rsidRPr="00374A56" w14:paraId="182F1E24" w14:textId="77777777" w:rsidTr="003070DB">
        <w:trPr>
          <w:trHeight w:val="680"/>
        </w:trPr>
        <w:tc>
          <w:tcPr>
            <w:tcW w:w="4106" w:type="dxa"/>
            <w:shd w:val="clear" w:color="auto" w:fill="auto"/>
          </w:tcPr>
          <w:p w14:paraId="59C85767"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cstheme="minorHAnsi"/>
                <w:bCs/>
                <w:sz w:val="24"/>
                <w:szCs w:val="24"/>
                <w:highlight w:val="yellow"/>
              </w:rPr>
              <w:t>Active ingredient manufacturing process Grades 1 and 2</w:t>
            </w:r>
            <w:r w:rsidRPr="00374A56">
              <w:rPr>
                <w:rFonts w:ascii="Calibri" w:eastAsia="Times New Roman" w:hAnsi="Calibri" w:cs="Times New Roman"/>
                <w:color w:val="000000"/>
                <w:highlight w:val="yellow"/>
                <w:lang w:eastAsia="en-NZ"/>
              </w:rPr>
              <w:t xml:space="preserve">– NCE </w:t>
            </w:r>
          </w:p>
        </w:tc>
        <w:tc>
          <w:tcPr>
            <w:tcW w:w="2693" w:type="dxa"/>
            <w:shd w:val="clear" w:color="auto" w:fill="auto"/>
            <w:noWrap/>
          </w:tcPr>
          <w:p w14:paraId="75CDF3C4"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790D8EE0"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31,951</w:t>
            </w:r>
          </w:p>
        </w:tc>
      </w:tr>
      <w:tr w:rsidR="00C028D1" w:rsidRPr="00374A56" w14:paraId="34627A3C" w14:textId="77777777" w:rsidTr="003070DB">
        <w:trPr>
          <w:trHeight w:val="680"/>
        </w:trPr>
        <w:tc>
          <w:tcPr>
            <w:tcW w:w="4106" w:type="dxa"/>
            <w:shd w:val="clear" w:color="auto" w:fill="auto"/>
          </w:tcPr>
          <w:p w14:paraId="62A3FACE"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cstheme="minorHAnsi"/>
                <w:bCs/>
                <w:sz w:val="24"/>
                <w:szCs w:val="24"/>
                <w:highlight w:val="yellow"/>
              </w:rPr>
              <w:t>Active ingredient manufacturing process Grades 1 and 2</w:t>
            </w:r>
            <w:r w:rsidRPr="00374A56">
              <w:rPr>
                <w:rFonts w:ascii="Calibri" w:eastAsia="Times New Roman" w:hAnsi="Calibri" w:cs="Times New Roman"/>
                <w:color w:val="000000"/>
                <w:highlight w:val="yellow"/>
                <w:lang w:eastAsia="en-NZ"/>
              </w:rPr>
              <w:t>– other high risk</w:t>
            </w:r>
          </w:p>
        </w:tc>
        <w:tc>
          <w:tcPr>
            <w:tcW w:w="2693" w:type="dxa"/>
            <w:shd w:val="clear" w:color="auto" w:fill="auto"/>
            <w:noWrap/>
          </w:tcPr>
          <w:p w14:paraId="47D9A5B9"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03B791D6"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23,963</w:t>
            </w:r>
          </w:p>
        </w:tc>
      </w:tr>
      <w:tr w:rsidR="00C028D1" w:rsidRPr="002017C6" w14:paraId="68E21AE6" w14:textId="77777777" w:rsidTr="003070DB">
        <w:trPr>
          <w:trHeight w:val="680"/>
        </w:trPr>
        <w:tc>
          <w:tcPr>
            <w:tcW w:w="4106" w:type="dxa"/>
            <w:shd w:val="clear" w:color="auto" w:fill="auto"/>
          </w:tcPr>
          <w:p w14:paraId="40F8322E"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cstheme="minorHAnsi"/>
                <w:bCs/>
                <w:sz w:val="24"/>
                <w:szCs w:val="24"/>
                <w:highlight w:val="yellow"/>
              </w:rPr>
              <w:t>Active ingredient manufacturing process Grades 1 and 2</w:t>
            </w:r>
            <w:r w:rsidRPr="00374A56">
              <w:rPr>
                <w:rFonts w:ascii="Calibri" w:eastAsia="Times New Roman" w:hAnsi="Calibri" w:cs="Times New Roman"/>
                <w:color w:val="000000"/>
                <w:highlight w:val="yellow"/>
                <w:lang w:eastAsia="en-NZ"/>
              </w:rPr>
              <w:t xml:space="preserve">– intermediate risk </w:t>
            </w:r>
          </w:p>
        </w:tc>
        <w:tc>
          <w:tcPr>
            <w:tcW w:w="2693" w:type="dxa"/>
            <w:shd w:val="clear" w:color="auto" w:fill="auto"/>
            <w:noWrap/>
          </w:tcPr>
          <w:p w14:paraId="0CA9D526" w14:textId="77777777" w:rsidR="00C028D1" w:rsidRPr="00374A56" w:rsidRDefault="00C028D1" w:rsidP="003070DB">
            <w:pPr>
              <w:spacing w:after="0" w:line="240" w:lineRule="auto"/>
              <w:rPr>
                <w:rFonts w:ascii="Calibri" w:eastAsia="Times New Roman" w:hAnsi="Calibri" w:cs="Times New Roman"/>
                <w:color w:val="000000"/>
                <w:highlight w:val="yellow"/>
                <w:lang w:eastAsia="en-NZ"/>
              </w:rPr>
            </w:pPr>
            <w:r w:rsidRPr="00374A56">
              <w:rPr>
                <w:rFonts w:ascii="Calibri" w:eastAsia="Times New Roman" w:hAnsi="Calibri" w:cs="Times New Roman"/>
                <w:color w:val="000000"/>
                <w:highlight w:val="yellow"/>
                <w:lang w:eastAsia="en-NZ"/>
              </w:rPr>
              <w:t>3,200</w:t>
            </w:r>
          </w:p>
        </w:tc>
        <w:tc>
          <w:tcPr>
            <w:tcW w:w="2694" w:type="dxa"/>
            <w:shd w:val="clear" w:color="auto" w:fill="auto"/>
            <w:noWrap/>
          </w:tcPr>
          <w:p w14:paraId="6A62BC63" w14:textId="77777777" w:rsidR="00C028D1" w:rsidRDefault="00C028D1" w:rsidP="003070DB">
            <w:pPr>
              <w:spacing w:after="0" w:line="240" w:lineRule="auto"/>
              <w:rPr>
                <w:rFonts w:ascii="Calibri" w:eastAsia="Times New Roman" w:hAnsi="Calibri" w:cs="Times New Roman"/>
                <w:color w:val="000000"/>
                <w:lang w:eastAsia="en-NZ"/>
              </w:rPr>
            </w:pPr>
            <w:r w:rsidRPr="00374A56">
              <w:rPr>
                <w:rFonts w:ascii="Calibri" w:eastAsia="Times New Roman" w:hAnsi="Calibri" w:cs="Times New Roman"/>
                <w:color w:val="000000"/>
                <w:highlight w:val="yellow"/>
                <w:lang w:eastAsia="en-NZ"/>
              </w:rPr>
              <w:t>15,976</w:t>
            </w:r>
          </w:p>
        </w:tc>
      </w:tr>
      <w:tr w:rsidR="00C028D1" w:rsidRPr="002017C6" w14:paraId="3D47D10A" w14:textId="77777777" w:rsidTr="003070DB">
        <w:trPr>
          <w:trHeight w:val="2268"/>
        </w:trPr>
        <w:tc>
          <w:tcPr>
            <w:tcW w:w="4106" w:type="dxa"/>
            <w:shd w:val="clear" w:color="auto" w:fill="auto"/>
            <w:hideMark/>
          </w:tcPr>
          <w:p w14:paraId="452EC9D6" w14:textId="77777777" w:rsidR="00C028D1" w:rsidRPr="00A013F8" w:rsidRDefault="00C028D1" w:rsidP="003070DB">
            <w:pPr>
              <w:spacing w:after="0" w:line="240" w:lineRule="auto"/>
              <w:rPr>
                <w:rFonts w:ascii="Calibri" w:eastAsia="Times New Roman" w:hAnsi="Calibri" w:cs="Times New Roman"/>
                <w:b/>
                <w:bCs/>
                <w:color w:val="000000"/>
                <w:lang w:eastAsia="en-NZ"/>
              </w:rPr>
            </w:pPr>
            <w:r w:rsidRPr="00A013F8">
              <w:rPr>
                <w:rFonts w:ascii="Calibri" w:eastAsia="Times New Roman" w:hAnsi="Calibri" w:cs="Times New Roman"/>
                <w:b/>
                <w:bCs/>
                <w:color w:val="000000"/>
                <w:lang w:eastAsia="en-NZ"/>
              </w:rPr>
              <w:lastRenderedPageBreak/>
              <w:t xml:space="preserve">Change Related Product Notification (CRPN) </w:t>
            </w:r>
          </w:p>
          <w:p w14:paraId="2F02003E" w14:textId="77777777" w:rsidR="00C028D1" w:rsidRPr="000F15D1" w:rsidRDefault="00C028D1" w:rsidP="003070DB">
            <w:pPr>
              <w:spacing w:after="0" w:line="240" w:lineRule="auto"/>
              <w:rPr>
                <w:rFonts w:ascii="Calibri" w:eastAsia="Times New Roman" w:hAnsi="Calibri" w:cs="Times New Roman"/>
                <w:i/>
                <w:iCs/>
                <w:color w:val="000000"/>
                <w:lang w:eastAsia="en-NZ"/>
              </w:rPr>
            </w:pPr>
            <w:r w:rsidRPr="000F15D1">
              <w:rPr>
                <w:rFonts w:ascii="Calibri" w:eastAsia="Times New Roman" w:hAnsi="Calibri" w:cs="Times New Roman"/>
                <w:i/>
                <w:iCs/>
                <w:color w:val="000000"/>
                <w:lang w:eastAsia="en-NZ"/>
              </w:rPr>
              <w:t>Fees Notifying a material change (including self-assessable changes) to an approved related product. Note: In no case will the CMN/CRPN fee for a single product exceed the fee for a new medicine application for a product of the same type.</w:t>
            </w:r>
          </w:p>
        </w:tc>
        <w:tc>
          <w:tcPr>
            <w:tcW w:w="2693" w:type="dxa"/>
            <w:shd w:val="clear" w:color="auto" w:fill="auto"/>
            <w:noWrap/>
            <w:vAlign w:val="bottom"/>
            <w:hideMark/>
          </w:tcPr>
          <w:p w14:paraId="7AD01AC5"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1C9FE60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4AE4C04B" w14:textId="77777777" w:rsidTr="003070DB">
        <w:trPr>
          <w:trHeight w:val="300"/>
        </w:trPr>
        <w:tc>
          <w:tcPr>
            <w:tcW w:w="4106" w:type="dxa"/>
            <w:shd w:val="clear" w:color="auto" w:fill="auto"/>
            <w:vAlign w:val="bottom"/>
            <w:hideMark/>
          </w:tcPr>
          <w:p w14:paraId="072B3F35"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 xml:space="preserve">Product name </w:t>
            </w:r>
          </w:p>
        </w:tc>
        <w:tc>
          <w:tcPr>
            <w:tcW w:w="2693" w:type="dxa"/>
            <w:shd w:val="clear" w:color="auto" w:fill="auto"/>
            <w:noWrap/>
            <w:vAlign w:val="bottom"/>
            <w:hideMark/>
          </w:tcPr>
          <w:p w14:paraId="21248E2D"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126F177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77CBC6CA" w14:textId="77777777" w:rsidTr="003070DB">
        <w:trPr>
          <w:trHeight w:val="300"/>
        </w:trPr>
        <w:tc>
          <w:tcPr>
            <w:tcW w:w="4106" w:type="dxa"/>
            <w:shd w:val="clear" w:color="auto" w:fill="auto"/>
            <w:vAlign w:val="bottom"/>
            <w:hideMark/>
          </w:tcPr>
          <w:p w14:paraId="44B1EBB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Product name          </w:t>
            </w:r>
          </w:p>
        </w:tc>
        <w:tc>
          <w:tcPr>
            <w:tcW w:w="2693" w:type="dxa"/>
            <w:shd w:val="clear" w:color="auto" w:fill="auto"/>
            <w:noWrap/>
            <w:vAlign w:val="bottom"/>
            <w:hideMark/>
          </w:tcPr>
          <w:p w14:paraId="78ABB51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6E4F6B1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02501829" w14:textId="77777777" w:rsidTr="003070DB">
        <w:trPr>
          <w:trHeight w:val="300"/>
        </w:trPr>
        <w:tc>
          <w:tcPr>
            <w:tcW w:w="4106" w:type="dxa"/>
            <w:shd w:val="clear" w:color="auto" w:fill="auto"/>
            <w:vAlign w:val="bottom"/>
            <w:hideMark/>
          </w:tcPr>
          <w:p w14:paraId="5F961C35"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Formulation</w:t>
            </w:r>
          </w:p>
        </w:tc>
        <w:tc>
          <w:tcPr>
            <w:tcW w:w="2693" w:type="dxa"/>
            <w:shd w:val="clear" w:color="auto" w:fill="auto"/>
            <w:noWrap/>
            <w:vAlign w:val="bottom"/>
            <w:hideMark/>
          </w:tcPr>
          <w:p w14:paraId="1CC4FB97"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4BF49DA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5F9A2B27" w14:textId="77777777" w:rsidTr="003070DB">
        <w:trPr>
          <w:trHeight w:val="300"/>
        </w:trPr>
        <w:tc>
          <w:tcPr>
            <w:tcW w:w="4106" w:type="dxa"/>
            <w:shd w:val="clear" w:color="auto" w:fill="auto"/>
            <w:vAlign w:val="bottom"/>
            <w:hideMark/>
          </w:tcPr>
          <w:p w14:paraId="55BB9B3C"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1 </w:t>
            </w:r>
          </w:p>
        </w:tc>
        <w:tc>
          <w:tcPr>
            <w:tcW w:w="2693" w:type="dxa"/>
            <w:shd w:val="clear" w:color="auto" w:fill="auto"/>
            <w:noWrap/>
            <w:vAlign w:val="bottom"/>
            <w:hideMark/>
          </w:tcPr>
          <w:p w14:paraId="193F2B7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1,245</w:t>
            </w:r>
          </w:p>
        </w:tc>
        <w:tc>
          <w:tcPr>
            <w:tcW w:w="2694" w:type="dxa"/>
            <w:shd w:val="clear" w:color="auto" w:fill="auto"/>
            <w:noWrap/>
            <w:vAlign w:val="bottom"/>
            <w:hideMark/>
          </w:tcPr>
          <w:p w14:paraId="27721B9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297</w:t>
            </w:r>
          </w:p>
        </w:tc>
      </w:tr>
      <w:tr w:rsidR="00C028D1" w:rsidRPr="002017C6" w14:paraId="00E38455" w14:textId="77777777" w:rsidTr="003070DB">
        <w:trPr>
          <w:trHeight w:val="300"/>
        </w:trPr>
        <w:tc>
          <w:tcPr>
            <w:tcW w:w="4106" w:type="dxa"/>
            <w:shd w:val="clear" w:color="auto" w:fill="auto"/>
            <w:vAlign w:val="bottom"/>
            <w:hideMark/>
          </w:tcPr>
          <w:p w14:paraId="38765E3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2 </w:t>
            </w:r>
          </w:p>
        </w:tc>
        <w:tc>
          <w:tcPr>
            <w:tcW w:w="2693" w:type="dxa"/>
            <w:shd w:val="clear" w:color="auto" w:fill="auto"/>
            <w:noWrap/>
            <w:vAlign w:val="bottom"/>
            <w:hideMark/>
          </w:tcPr>
          <w:p w14:paraId="300874A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1,245</w:t>
            </w:r>
          </w:p>
        </w:tc>
        <w:tc>
          <w:tcPr>
            <w:tcW w:w="2694" w:type="dxa"/>
            <w:shd w:val="clear" w:color="auto" w:fill="auto"/>
            <w:noWrap/>
            <w:vAlign w:val="bottom"/>
            <w:hideMark/>
          </w:tcPr>
          <w:p w14:paraId="4F6F6E3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297</w:t>
            </w:r>
          </w:p>
        </w:tc>
      </w:tr>
      <w:tr w:rsidR="00C028D1" w:rsidRPr="002017C6" w14:paraId="6E248F38" w14:textId="77777777" w:rsidTr="003070DB">
        <w:trPr>
          <w:trHeight w:val="300"/>
        </w:trPr>
        <w:tc>
          <w:tcPr>
            <w:tcW w:w="4106" w:type="dxa"/>
            <w:shd w:val="clear" w:color="auto" w:fill="auto"/>
            <w:vAlign w:val="bottom"/>
            <w:hideMark/>
          </w:tcPr>
          <w:p w14:paraId="3358504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Formulation − Grade 3 </w:t>
            </w:r>
          </w:p>
        </w:tc>
        <w:tc>
          <w:tcPr>
            <w:tcW w:w="2693" w:type="dxa"/>
            <w:shd w:val="clear" w:color="auto" w:fill="auto"/>
            <w:noWrap/>
            <w:vAlign w:val="bottom"/>
            <w:hideMark/>
          </w:tcPr>
          <w:p w14:paraId="5E0C6B6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1D80B82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2,595</w:t>
            </w:r>
          </w:p>
        </w:tc>
      </w:tr>
      <w:tr w:rsidR="00C028D1" w:rsidRPr="002017C6" w14:paraId="5E276A31" w14:textId="77777777" w:rsidTr="003070DB">
        <w:trPr>
          <w:trHeight w:val="300"/>
        </w:trPr>
        <w:tc>
          <w:tcPr>
            <w:tcW w:w="4106" w:type="dxa"/>
            <w:shd w:val="clear" w:color="auto" w:fill="auto"/>
            <w:vAlign w:val="bottom"/>
            <w:hideMark/>
          </w:tcPr>
          <w:p w14:paraId="0B975141"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 xml:space="preserve">Active ingredient </w:t>
            </w:r>
          </w:p>
        </w:tc>
        <w:tc>
          <w:tcPr>
            <w:tcW w:w="2693" w:type="dxa"/>
            <w:shd w:val="clear" w:color="auto" w:fill="auto"/>
            <w:noWrap/>
            <w:vAlign w:val="bottom"/>
            <w:hideMark/>
          </w:tcPr>
          <w:p w14:paraId="4714F278"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09A6C6D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D4E9282" w14:textId="77777777" w:rsidTr="003070DB">
        <w:trPr>
          <w:trHeight w:val="900"/>
        </w:trPr>
        <w:tc>
          <w:tcPr>
            <w:tcW w:w="4106" w:type="dxa"/>
            <w:shd w:val="clear" w:color="auto" w:fill="auto"/>
            <w:vAlign w:val="bottom"/>
            <w:hideMark/>
          </w:tcPr>
          <w:p w14:paraId="2921C13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1 </w:t>
            </w:r>
          </w:p>
        </w:tc>
        <w:tc>
          <w:tcPr>
            <w:tcW w:w="2693" w:type="dxa"/>
            <w:shd w:val="clear" w:color="auto" w:fill="auto"/>
            <w:noWrap/>
            <w:vAlign w:val="bottom"/>
            <w:hideMark/>
          </w:tcPr>
          <w:p w14:paraId="0EFDB4D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360F8AD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4838C8F1" w14:textId="77777777" w:rsidTr="003070DB">
        <w:trPr>
          <w:trHeight w:val="900"/>
        </w:trPr>
        <w:tc>
          <w:tcPr>
            <w:tcW w:w="4106" w:type="dxa"/>
            <w:shd w:val="clear" w:color="auto" w:fill="auto"/>
            <w:vAlign w:val="bottom"/>
            <w:hideMark/>
          </w:tcPr>
          <w:p w14:paraId="1A57396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Active ingredient specifications/test methods − Grade 2 </w:t>
            </w:r>
          </w:p>
        </w:tc>
        <w:tc>
          <w:tcPr>
            <w:tcW w:w="2693" w:type="dxa"/>
            <w:shd w:val="clear" w:color="auto" w:fill="auto"/>
            <w:noWrap/>
            <w:vAlign w:val="bottom"/>
            <w:hideMark/>
          </w:tcPr>
          <w:p w14:paraId="1F4101E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BF2AF3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3F24747B" w14:textId="77777777" w:rsidTr="003070DB">
        <w:trPr>
          <w:trHeight w:val="300"/>
        </w:trPr>
        <w:tc>
          <w:tcPr>
            <w:tcW w:w="4106" w:type="dxa"/>
            <w:shd w:val="clear" w:color="auto" w:fill="auto"/>
            <w:vAlign w:val="bottom"/>
            <w:hideMark/>
          </w:tcPr>
          <w:p w14:paraId="458197F9"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Finished product</w:t>
            </w:r>
          </w:p>
        </w:tc>
        <w:tc>
          <w:tcPr>
            <w:tcW w:w="2693" w:type="dxa"/>
            <w:shd w:val="clear" w:color="auto" w:fill="auto"/>
            <w:noWrap/>
            <w:vAlign w:val="bottom"/>
            <w:hideMark/>
          </w:tcPr>
          <w:p w14:paraId="17AFFDCE"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55A8933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3CB51D18" w14:textId="77777777" w:rsidTr="003070DB">
        <w:trPr>
          <w:trHeight w:val="300"/>
        </w:trPr>
        <w:tc>
          <w:tcPr>
            <w:tcW w:w="4106" w:type="dxa"/>
            <w:shd w:val="clear" w:color="auto" w:fill="auto"/>
            <w:vAlign w:val="bottom"/>
            <w:hideMark/>
          </w:tcPr>
          <w:p w14:paraId="749561C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packing site </w:t>
            </w:r>
          </w:p>
        </w:tc>
        <w:tc>
          <w:tcPr>
            <w:tcW w:w="2693" w:type="dxa"/>
            <w:shd w:val="clear" w:color="auto" w:fill="auto"/>
            <w:noWrap/>
            <w:vAlign w:val="bottom"/>
            <w:hideMark/>
          </w:tcPr>
          <w:p w14:paraId="21D614D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CEA89C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1A54194E" w14:textId="77777777" w:rsidTr="003070DB">
        <w:trPr>
          <w:trHeight w:val="600"/>
        </w:trPr>
        <w:tc>
          <w:tcPr>
            <w:tcW w:w="4106" w:type="dxa"/>
            <w:shd w:val="clear" w:color="auto" w:fill="auto"/>
            <w:vAlign w:val="bottom"/>
            <w:hideMark/>
          </w:tcPr>
          <w:p w14:paraId="0B29EE3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site − Grade 1 </w:t>
            </w:r>
          </w:p>
        </w:tc>
        <w:tc>
          <w:tcPr>
            <w:tcW w:w="2693" w:type="dxa"/>
            <w:shd w:val="clear" w:color="auto" w:fill="auto"/>
            <w:noWrap/>
            <w:vAlign w:val="bottom"/>
            <w:hideMark/>
          </w:tcPr>
          <w:p w14:paraId="62A4C5A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663F029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369CB4E6" w14:textId="77777777" w:rsidTr="003070DB">
        <w:trPr>
          <w:trHeight w:val="600"/>
        </w:trPr>
        <w:tc>
          <w:tcPr>
            <w:tcW w:w="4106" w:type="dxa"/>
            <w:shd w:val="clear" w:color="auto" w:fill="auto"/>
            <w:vAlign w:val="bottom"/>
            <w:hideMark/>
          </w:tcPr>
          <w:p w14:paraId="275B77C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site − Grade 2 </w:t>
            </w:r>
          </w:p>
        </w:tc>
        <w:tc>
          <w:tcPr>
            <w:tcW w:w="2693" w:type="dxa"/>
            <w:shd w:val="clear" w:color="auto" w:fill="auto"/>
            <w:noWrap/>
            <w:vAlign w:val="bottom"/>
            <w:hideMark/>
          </w:tcPr>
          <w:p w14:paraId="7B0E570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702E2DB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2,595</w:t>
            </w:r>
          </w:p>
        </w:tc>
      </w:tr>
      <w:tr w:rsidR="00C028D1" w:rsidRPr="002017C6" w14:paraId="75CAF91D" w14:textId="77777777" w:rsidTr="003070DB">
        <w:trPr>
          <w:trHeight w:val="600"/>
        </w:trPr>
        <w:tc>
          <w:tcPr>
            <w:tcW w:w="4106" w:type="dxa"/>
            <w:shd w:val="clear" w:color="auto" w:fill="auto"/>
            <w:vAlign w:val="bottom"/>
            <w:hideMark/>
          </w:tcPr>
          <w:p w14:paraId="34D4B94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1 </w:t>
            </w:r>
          </w:p>
        </w:tc>
        <w:tc>
          <w:tcPr>
            <w:tcW w:w="2693" w:type="dxa"/>
            <w:shd w:val="clear" w:color="auto" w:fill="auto"/>
            <w:noWrap/>
            <w:vAlign w:val="bottom"/>
            <w:hideMark/>
          </w:tcPr>
          <w:p w14:paraId="5FD52EA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106B0C7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6052C395" w14:textId="77777777" w:rsidTr="003070DB">
        <w:trPr>
          <w:trHeight w:val="600"/>
        </w:trPr>
        <w:tc>
          <w:tcPr>
            <w:tcW w:w="4106" w:type="dxa"/>
            <w:shd w:val="clear" w:color="auto" w:fill="auto"/>
            <w:vAlign w:val="bottom"/>
            <w:hideMark/>
          </w:tcPr>
          <w:p w14:paraId="06C3C85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manufacturing process − Grade 2  </w:t>
            </w:r>
          </w:p>
        </w:tc>
        <w:tc>
          <w:tcPr>
            <w:tcW w:w="2693" w:type="dxa"/>
            <w:shd w:val="clear" w:color="auto" w:fill="auto"/>
            <w:noWrap/>
            <w:vAlign w:val="bottom"/>
            <w:hideMark/>
          </w:tcPr>
          <w:p w14:paraId="1FE9A6B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2,490</w:t>
            </w:r>
          </w:p>
        </w:tc>
        <w:tc>
          <w:tcPr>
            <w:tcW w:w="2694" w:type="dxa"/>
            <w:shd w:val="clear" w:color="auto" w:fill="auto"/>
            <w:noWrap/>
            <w:vAlign w:val="bottom"/>
            <w:hideMark/>
          </w:tcPr>
          <w:p w14:paraId="61ADB70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2,595</w:t>
            </w:r>
          </w:p>
        </w:tc>
      </w:tr>
      <w:tr w:rsidR="00C028D1" w:rsidRPr="002017C6" w14:paraId="56A97E9A" w14:textId="77777777" w:rsidTr="003070DB">
        <w:trPr>
          <w:trHeight w:val="600"/>
        </w:trPr>
        <w:tc>
          <w:tcPr>
            <w:tcW w:w="4106" w:type="dxa"/>
            <w:shd w:val="clear" w:color="auto" w:fill="auto"/>
            <w:vAlign w:val="bottom"/>
            <w:hideMark/>
          </w:tcPr>
          <w:p w14:paraId="62260EA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Finished product specifications/test methods </w:t>
            </w:r>
          </w:p>
        </w:tc>
        <w:tc>
          <w:tcPr>
            <w:tcW w:w="2693" w:type="dxa"/>
            <w:shd w:val="clear" w:color="auto" w:fill="auto"/>
            <w:noWrap/>
            <w:vAlign w:val="bottom"/>
            <w:hideMark/>
          </w:tcPr>
          <w:p w14:paraId="690C3F1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15DCE77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297D40FB" w14:textId="77777777" w:rsidTr="003070DB">
        <w:trPr>
          <w:trHeight w:val="300"/>
        </w:trPr>
        <w:tc>
          <w:tcPr>
            <w:tcW w:w="4106" w:type="dxa"/>
            <w:shd w:val="clear" w:color="auto" w:fill="auto"/>
            <w:vAlign w:val="bottom"/>
            <w:hideMark/>
          </w:tcPr>
          <w:p w14:paraId="3F6AABC4"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 xml:space="preserve">Product stability and packaging         </w:t>
            </w:r>
          </w:p>
        </w:tc>
        <w:tc>
          <w:tcPr>
            <w:tcW w:w="2693" w:type="dxa"/>
            <w:shd w:val="clear" w:color="auto" w:fill="auto"/>
            <w:noWrap/>
            <w:vAlign w:val="bottom"/>
            <w:hideMark/>
          </w:tcPr>
          <w:p w14:paraId="7A4C6587"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5FDFD86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3E605BDC" w14:textId="77777777" w:rsidTr="003070DB">
        <w:trPr>
          <w:trHeight w:val="600"/>
        </w:trPr>
        <w:tc>
          <w:tcPr>
            <w:tcW w:w="4106" w:type="dxa"/>
            <w:shd w:val="clear" w:color="auto" w:fill="auto"/>
            <w:vAlign w:val="bottom"/>
            <w:hideMark/>
          </w:tcPr>
          <w:p w14:paraId="4532B00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Grade 1 </w:t>
            </w:r>
          </w:p>
        </w:tc>
        <w:tc>
          <w:tcPr>
            <w:tcW w:w="2693" w:type="dxa"/>
            <w:shd w:val="clear" w:color="auto" w:fill="auto"/>
            <w:noWrap/>
            <w:vAlign w:val="bottom"/>
            <w:hideMark/>
          </w:tcPr>
          <w:p w14:paraId="4498DEE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37AB36C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61E2390C" w14:textId="77777777" w:rsidTr="003070DB">
        <w:trPr>
          <w:trHeight w:val="600"/>
        </w:trPr>
        <w:tc>
          <w:tcPr>
            <w:tcW w:w="4106" w:type="dxa"/>
            <w:shd w:val="clear" w:color="auto" w:fill="auto"/>
            <w:vAlign w:val="bottom"/>
            <w:hideMark/>
          </w:tcPr>
          <w:p w14:paraId="11B0E74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Shelf life/storage conditions − Grade 2 </w:t>
            </w:r>
          </w:p>
        </w:tc>
        <w:tc>
          <w:tcPr>
            <w:tcW w:w="2693" w:type="dxa"/>
            <w:shd w:val="clear" w:color="auto" w:fill="auto"/>
            <w:noWrap/>
            <w:vAlign w:val="bottom"/>
            <w:hideMark/>
          </w:tcPr>
          <w:p w14:paraId="4AA57F4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4A0FF97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01A28EB7" w14:textId="77777777" w:rsidTr="003070DB">
        <w:trPr>
          <w:trHeight w:val="600"/>
        </w:trPr>
        <w:tc>
          <w:tcPr>
            <w:tcW w:w="4106" w:type="dxa"/>
            <w:shd w:val="clear" w:color="auto" w:fill="auto"/>
            <w:vAlign w:val="bottom"/>
            <w:hideMark/>
          </w:tcPr>
          <w:p w14:paraId="3EB3740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1 </w:t>
            </w:r>
          </w:p>
        </w:tc>
        <w:tc>
          <w:tcPr>
            <w:tcW w:w="2693" w:type="dxa"/>
            <w:shd w:val="clear" w:color="auto" w:fill="auto"/>
            <w:noWrap/>
            <w:vAlign w:val="bottom"/>
            <w:hideMark/>
          </w:tcPr>
          <w:p w14:paraId="0575FA6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1A13B8B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2B47C75A" w14:textId="77777777" w:rsidTr="003070DB">
        <w:trPr>
          <w:trHeight w:val="600"/>
        </w:trPr>
        <w:tc>
          <w:tcPr>
            <w:tcW w:w="4106" w:type="dxa"/>
            <w:shd w:val="clear" w:color="auto" w:fill="auto"/>
            <w:vAlign w:val="bottom"/>
            <w:hideMark/>
          </w:tcPr>
          <w:p w14:paraId="5449BF7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2 </w:t>
            </w:r>
          </w:p>
        </w:tc>
        <w:tc>
          <w:tcPr>
            <w:tcW w:w="2693" w:type="dxa"/>
            <w:shd w:val="clear" w:color="auto" w:fill="auto"/>
            <w:noWrap/>
            <w:vAlign w:val="bottom"/>
            <w:hideMark/>
          </w:tcPr>
          <w:p w14:paraId="2C43594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2EC3DED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3C8D3B2A" w14:textId="77777777" w:rsidTr="003070DB">
        <w:trPr>
          <w:trHeight w:val="600"/>
        </w:trPr>
        <w:tc>
          <w:tcPr>
            <w:tcW w:w="4106" w:type="dxa"/>
            <w:shd w:val="clear" w:color="auto" w:fill="auto"/>
            <w:vAlign w:val="bottom"/>
            <w:hideMark/>
          </w:tcPr>
          <w:p w14:paraId="7BB78FD9"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Container/closure/packaging − Grade 3 </w:t>
            </w:r>
          </w:p>
        </w:tc>
        <w:tc>
          <w:tcPr>
            <w:tcW w:w="2693" w:type="dxa"/>
            <w:shd w:val="clear" w:color="auto" w:fill="auto"/>
            <w:noWrap/>
            <w:vAlign w:val="bottom"/>
            <w:hideMark/>
          </w:tcPr>
          <w:p w14:paraId="4C1674F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1,660</w:t>
            </w:r>
          </w:p>
        </w:tc>
        <w:tc>
          <w:tcPr>
            <w:tcW w:w="2694" w:type="dxa"/>
            <w:shd w:val="clear" w:color="auto" w:fill="auto"/>
            <w:noWrap/>
            <w:vAlign w:val="bottom"/>
            <w:hideMark/>
          </w:tcPr>
          <w:p w14:paraId="1491E86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,730</w:t>
            </w:r>
          </w:p>
        </w:tc>
      </w:tr>
      <w:tr w:rsidR="00C028D1" w:rsidRPr="002017C6" w14:paraId="3EB2D09B" w14:textId="77777777" w:rsidTr="003070DB">
        <w:trPr>
          <w:trHeight w:val="300"/>
        </w:trPr>
        <w:tc>
          <w:tcPr>
            <w:tcW w:w="4106" w:type="dxa"/>
            <w:shd w:val="clear" w:color="auto" w:fill="auto"/>
            <w:vAlign w:val="bottom"/>
            <w:hideMark/>
          </w:tcPr>
          <w:p w14:paraId="1123973F"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Indications and dosage</w:t>
            </w:r>
          </w:p>
        </w:tc>
        <w:tc>
          <w:tcPr>
            <w:tcW w:w="2693" w:type="dxa"/>
            <w:shd w:val="clear" w:color="auto" w:fill="auto"/>
            <w:noWrap/>
            <w:vAlign w:val="bottom"/>
            <w:hideMark/>
          </w:tcPr>
          <w:p w14:paraId="1D6E0F53"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hideMark/>
          </w:tcPr>
          <w:p w14:paraId="224EA8E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1AA1693B" w14:textId="77777777" w:rsidTr="003070DB">
        <w:trPr>
          <w:trHeight w:val="300"/>
        </w:trPr>
        <w:tc>
          <w:tcPr>
            <w:tcW w:w="4106" w:type="dxa"/>
            <w:shd w:val="clear" w:color="auto" w:fill="auto"/>
            <w:vAlign w:val="bottom"/>
            <w:hideMark/>
          </w:tcPr>
          <w:p w14:paraId="6CF99B9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1 </w:t>
            </w:r>
          </w:p>
        </w:tc>
        <w:tc>
          <w:tcPr>
            <w:tcW w:w="2693" w:type="dxa"/>
            <w:shd w:val="clear" w:color="auto" w:fill="auto"/>
            <w:noWrap/>
            <w:vAlign w:val="bottom"/>
            <w:hideMark/>
          </w:tcPr>
          <w:p w14:paraId="3ED3663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3,200</w:t>
            </w:r>
          </w:p>
        </w:tc>
        <w:tc>
          <w:tcPr>
            <w:tcW w:w="2694" w:type="dxa"/>
            <w:shd w:val="clear" w:color="auto" w:fill="auto"/>
            <w:noWrap/>
            <w:vAlign w:val="bottom"/>
            <w:hideMark/>
          </w:tcPr>
          <w:p w14:paraId="4F05552C"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3,334</w:t>
            </w:r>
          </w:p>
        </w:tc>
      </w:tr>
      <w:tr w:rsidR="00C028D1" w:rsidRPr="002017C6" w14:paraId="10175D4B" w14:textId="77777777" w:rsidTr="003070DB">
        <w:trPr>
          <w:trHeight w:val="300"/>
        </w:trPr>
        <w:tc>
          <w:tcPr>
            <w:tcW w:w="4106" w:type="dxa"/>
            <w:shd w:val="clear" w:color="auto" w:fill="auto"/>
            <w:vAlign w:val="bottom"/>
            <w:hideMark/>
          </w:tcPr>
          <w:p w14:paraId="3D4EB3A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Indications/dosage − Grade 2 </w:t>
            </w:r>
          </w:p>
        </w:tc>
        <w:tc>
          <w:tcPr>
            <w:tcW w:w="2693" w:type="dxa"/>
            <w:shd w:val="clear" w:color="auto" w:fill="auto"/>
            <w:noWrap/>
            <w:vAlign w:val="bottom"/>
            <w:hideMark/>
          </w:tcPr>
          <w:p w14:paraId="0F4F08D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1,245</w:t>
            </w:r>
          </w:p>
        </w:tc>
        <w:tc>
          <w:tcPr>
            <w:tcW w:w="2694" w:type="dxa"/>
            <w:shd w:val="clear" w:color="auto" w:fill="auto"/>
            <w:noWrap/>
            <w:vAlign w:val="bottom"/>
            <w:hideMark/>
          </w:tcPr>
          <w:p w14:paraId="66135E5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297</w:t>
            </w:r>
          </w:p>
        </w:tc>
      </w:tr>
      <w:tr w:rsidR="00C028D1" w:rsidRPr="002017C6" w14:paraId="183D48AD" w14:textId="77777777" w:rsidTr="003070DB">
        <w:trPr>
          <w:trHeight w:val="300"/>
        </w:trPr>
        <w:tc>
          <w:tcPr>
            <w:tcW w:w="4106" w:type="dxa"/>
            <w:shd w:val="clear" w:color="auto" w:fill="auto"/>
            <w:vAlign w:val="bottom"/>
            <w:hideMark/>
          </w:tcPr>
          <w:p w14:paraId="6B62BB5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3 </w:t>
            </w:r>
          </w:p>
        </w:tc>
        <w:tc>
          <w:tcPr>
            <w:tcW w:w="2693" w:type="dxa"/>
            <w:shd w:val="clear" w:color="auto" w:fill="auto"/>
            <w:noWrap/>
            <w:vAlign w:val="bottom"/>
            <w:hideMark/>
          </w:tcPr>
          <w:p w14:paraId="45BAFD0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1,245</w:t>
            </w:r>
          </w:p>
        </w:tc>
        <w:tc>
          <w:tcPr>
            <w:tcW w:w="2694" w:type="dxa"/>
            <w:shd w:val="clear" w:color="auto" w:fill="auto"/>
            <w:noWrap/>
            <w:vAlign w:val="bottom"/>
            <w:hideMark/>
          </w:tcPr>
          <w:p w14:paraId="318A0DB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297</w:t>
            </w:r>
          </w:p>
        </w:tc>
      </w:tr>
      <w:tr w:rsidR="00C028D1" w:rsidRPr="002017C6" w14:paraId="113273E5" w14:textId="77777777" w:rsidTr="003070DB">
        <w:trPr>
          <w:trHeight w:val="300"/>
        </w:trPr>
        <w:tc>
          <w:tcPr>
            <w:tcW w:w="4106" w:type="dxa"/>
            <w:shd w:val="clear" w:color="auto" w:fill="auto"/>
            <w:vAlign w:val="bottom"/>
            <w:hideMark/>
          </w:tcPr>
          <w:p w14:paraId="0219DFDB"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Indications/dosage − Grade 4      </w:t>
            </w:r>
          </w:p>
        </w:tc>
        <w:tc>
          <w:tcPr>
            <w:tcW w:w="2693" w:type="dxa"/>
            <w:shd w:val="clear" w:color="auto" w:fill="auto"/>
            <w:noWrap/>
            <w:vAlign w:val="bottom"/>
            <w:hideMark/>
          </w:tcPr>
          <w:p w14:paraId="35AD813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5C42FEB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737B9959" w14:textId="77777777" w:rsidTr="003070DB">
        <w:trPr>
          <w:trHeight w:val="300"/>
        </w:trPr>
        <w:tc>
          <w:tcPr>
            <w:tcW w:w="4106" w:type="dxa"/>
            <w:shd w:val="clear" w:color="auto" w:fill="auto"/>
            <w:vAlign w:val="bottom"/>
            <w:hideMark/>
          </w:tcPr>
          <w:p w14:paraId="5794E19F"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Labelling</w:t>
            </w:r>
          </w:p>
        </w:tc>
        <w:tc>
          <w:tcPr>
            <w:tcW w:w="2693" w:type="dxa"/>
            <w:shd w:val="clear" w:color="auto" w:fill="auto"/>
            <w:noWrap/>
            <w:vAlign w:val="bottom"/>
            <w:hideMark/>
          </w:tcPr>
          <w:p w14:paraId="05A06AE8"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7631E71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7024C00" w14:textId="77777777" w:rsidTr="003070DB">
        <w:trPr>
          <w:trHeight w:val="300"/>
        </w:trPr>
        <w:tc>
          <w:tcPr>
            <w:tcW w:w="4106" w:type="dxa"/>
            <w:shd w:val="clear" w:color="auto" w:fill="auto"/>
            <w:vAlign w:val="bottom"/>
            <w:hideMark/>
          </w:tcPr>
          <w:p w14:paraId="67B6E17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1 </w:t>
            </w:r>
          </w:p>
        </w:tc>
        <w:tc>
          <w:tcPr>
            <w:tcW w:w="2693" w:type="dxa"/>
            <w:shd w:val="clear" w:color="auto" w:fill="auto"/>
            <w:noWrap/>
            <w:vAlign w:val="bottom"/>
            <w:hideMark/>
          </w:tcPr>
          <w:p w14:paraId="6DF589D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FB612F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3853130C" w14:textId="77777777" w:rsidTr="003070DB">
        <w:trPr>
          <w:trHeight w:val="300"/>
        </w:trPr>
        <w:tc>
          <w:tcPr>
            <w:tcW w:w="4106" w:type="dxa"/>
            <w:shd w:val="clear" w:color="auto" w:fill="auto"/>
            <w:vAlign w:val="bottom"/>
            <w:hideMark/>
          </w:tcPr>
          <w:p w14:paraId="7E2A4D6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Labelling − Grade 2 </w:t>
            </w:r>
          </w:p>
        </w:tc>
        <w:tc>
          <w:tcPr>
            <w:tcW w:w="2693" w:type="dxa"/>
            <w:shd w:val="clear" w:color="auto" w:fill="auto"/>
            <w:noWrap/>
            <w:vAlign w:val="bottom"/>
            <w:hideMark/>
          </w:tcPr>
          <w:p w14:paraId="37E7509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830</w:t>
            </w:r>
          </w:p>
        </w:tc>
        <w:tc>
          <w:tcPr>
            <w:tcW w:w="2694" w:type="dxa"/>
            <w:shd w:val="clear" w:color="auto" w:fill="auto"/>
            <w:noWrap/>
            <w:vAlign w:val="bottom"/>
            <w:hideMark/>
          </w:tcPr>
          <w:p w14:paraId="400C70E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865</w:t>
            </w:r>
          </w:p>
        </w:tc>
      </w:tr>
      <w:tr w:rsidR="00C028D1" w:rsidRPr="002017C6" w14:paraId="6404F461" w14:textId="77777777" w:rsidTr="003070DB">
        <w:trPr>
          <w:trHeight w:val="300"/>
        </w:trPr>
        <w:tc>
          <w:tcPr>
            <w:tcW w:w="4106" w:type="dxa"/>
            <w:shd w:val="clear" w:color="auto" w:fill="auto"/>
            <w:vAlign w:val="bottom"/>
            <w:hideMark/>
          </w:tcPr>
          <w:p w14:paraId="660E8CB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Other Sponsor </w:t>
            </w:r>
          </w:p>
        </w:tc>
        <w:tc>
          <w:tcPr>
            <w:tcW w:w="2693" w:type="dxa"/>
            <w:shd w:val="clear" w:color="auto" w:fill="auto"/>
            <w:noWrap/>
            <w:vAlign w:val="bottom"/>
            <w:hideMark/>
          </w:tcPr>
          <w:p w14:paraId="573A6FF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77E6959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3F6F1275" w14:textId="77777777" w:rsidTr="003070DB">
        <w:trPr>
          <w:trHeight w:val="300"/>
        </w:trPr>
        <w:tc>
          <w:tcPr>
            <w:tcW w:w="4106" w:type="dxa"/>
            <w:shd w:val="clear" w:color="auto" w:fill="auto"/>
            <w:vAlign w:val="bottom"/>
            <w:hideMark/>
          </w:tcPr>
          <w:p w14:paraId="2D200E4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Self-assessable change(s) </w:t>
            </w:r>
          </w:p>
        </w:tc>
        <w:tc>
          <w:tcPr>
            <w:tcW w:w="2693" w:type="dxa"/>
            <w:shd w:val="clear" w:color="auto" w:fill="auto"/>
            <w:noWrap/>
            <w:vAlign w:val="bottom"/>
            <w:hideMark/>
          </w:tcPr>
          <w:p w14:paraId="41D04F8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6F87951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53A0C6AA" w14:textId="77777777" w:rsidTr="003070DB">
        <w:trPr>
          <w:trHeight w:val="600"/>
        </w:trPr>
        <w:tc>
          <w:tcPr>
            <w:tcW w:w="4106" w:type="dxa"/>
            <w:shd w:val="clear" w:color="auto" w:fill="auto"/>
            <w:vAlign w:val="bottom"/>
            <w:hideMark/>
          </w:tcPr>
          <w:p w14:paraId="2323E574"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Administration fee      Licences and Other Fees</w:t>
            </w:r>
          </w:p>
        </w:tc>
        <w:tc>
          <w:tcPr>
            <w:tcW w:w="2693" w:type="dxa"/>
            <w:shd w:val="clear" w:color="auto" w:fill="auto"/>
            <w:noWrap/>
            <w:vAlign w:val="bottom"/>
            <w:hideMark/>
          </w:tcPr>
          <w:p w14:paraId="3326498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5EE0080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432</w:t>
            </w:r>
          </w:p>
        </w:tc>
      </w:tr>
      <w:tr w:rsidR="00C028D1" w:rsidRPr="002017C6" w14:paraId="1C2F93B4" w14:textId="77777777" w:rsidTr="003070DB">
        <w:trPr>
          <w:trHeight w:val="300"/>
        </w:trPr>
        <w:tc>
          <w:tcPr>
            <w:tcW w:w="4106" w:type="dxa"/>
            <w:shd w:val="clear" w:color="auto" w:fill="auto"/>
            <w:vAlign w:val="bottom"/>
            <w:hideMark/>
          </w:tcPr>
          <w:p w14:paraId="59F24498" w14:textId="77777777" w:rsidR="00C028D1" w:rsidRPr="000F15D1" w:rsidRDefault="00C028D1" w:rsidP="003070DB">
            <w:pPr>
              <w:spacing w:after="0" w:line="240" w:lineRule="auto"/>
              <w:rPr>
                <w:rFonts w:ascii="Calibri" w:eastAsia="Times New Roman" w:hAnsi="Calibri" w:cs="Times New Roman"/>
                <w:b/>
                <w:bCs/>
                <w:color w:val="000000"/>
                <w:lang w:eastAsia="en-NZ"/>
              </w:rPr>
            </w:pPr>
            <w:r w:rsidRPr="000F15D1">
              <w:rPr>
                <w:rFonts w:ascii="Calibri" w:eastAsia="Times New Roman" w:hAnsi="Calibri" w:cs="Times New Roman"/>
                <w:b/>
                <w:bCs/>
                <w:color w:val="000000"/>
                <w:lang w:eastAsia="en-NZ"/>
              </w:rPr>
              <w:t>Clinical Trial Application</w:t>
            </w:r>
          </w:p>
        </w:tc>
        <w:tc>
          <w:tcPr>
            <w:tcW w:w="2693" w:type="dxa"/>
            <w:shd w:val="clear" w:color="auto" w:fill="auto"/>
            <w:noWrap/>
            <w:vAlign w:val="bottom"/>
            <w:hideMark/>
          </w:tcPr>
          <w:p w14:paraId="3E3E5715" w14:textId="77777777" w:rsidR="00C028D1" w:rsidRPr="002017C6" w:rsidRDefault="00C028D1" w:rsidP="003070DB">
            <w:pPr>
              <w:spacing w:after="0" w:line="240" w:lineRule="auto"/>
              <w:rPr>
                <w:rFonts w:ascii="Calibri" w:eastAsia="Times New Roman" w:hAnsi="Calibri" w:cs="Times New Roman"/>
                <w:color w:val="000000"/>
                <w:lang w:eastAsia="en-NZ"/>
              </w:rPr>
            </w:pPr>
          </w:p>
        </w:tc>
        <w:tc>
          <w:tcPr>
            <w:tcW w:w="2694" w:type="dxa"/>
            <w:shd w:val="clear" w:color="auto" w:fill="auto"/>
            <w:noWrap/>
            <w:vAlign w:val="bottom"/>
          </w:tcPr>
          <w:p w14:paraId="789F8EA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0500CAE2" w14:textId="77777777" w:rsidTr="003070DB">
        <w:trPr>
          <w:trHeight w:val="600"/>
        </w:trPr>
        <w:tc>
          <w:tcPr>
            <w:tcW w:w="4106" w:type="dxa"/>
            <w:shd w:val="clear" w:color="auto" w:fill="auto"/>
            <w:vAlign w:val="bottom"/>
            <w:hideMark/>
          </w:tcPr>
          <w:p w14:paraId="6842125E"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Application for consent to conduct a clinical trial </w:t>
            </w:r>
          </w:p>
        </w:tc>
        <w:tc>
          <w:tcPr>
            <w:tcW w:w="2693" w:type="dxa"/>
            <w:shd w:val="clear" w:color="auto" w:fill="auto"/>
            <w:noWrap/>
            <w:vAlign w:val="bottom"/>
            <w:hideMark/>
          </w:tcPr>
          <w:p w14:paraId="49C77FE8"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7,500</w:t>
            </w:r>
          </w:p>
        </w:tc>
        <w:tc>
          <w:tcPr>
            <w:tcW w:w="2694" w:type="dxa"/>
            <w:shd w:val="clear" w:color="auto" w:fill="auto"/>
            <w:noWrap/>
            <w:vAlign w:val="bottom"/>
            <w:hideMark/>
          </w:tcPr>
          <w:p w14:paraId="0582C65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7,500</w:t>
            </w:r>
          </w:p>
        </w:tc>
      </w:tr>
      <w:tr w:rsidR="00C028D1" w:rsidRPr="002017C6" w14:paraId="6B43CE27" w14:textId="77777777" w:rsidTr="003070DB">
        <w:trPr>
          <w:trHeight w:val="900"/>
        </w:trPr>
        <w:tc>
          <w:tcPr>
            <w:tcW w:w="4106" w:type="dxa"/>
            <w:shd w:val="clear" w:color="auto" w:fill="auto"/>
            <w:vAlign w:val="bottom"/>
            <w:hideMark/>
          </w:tcPr>
          <w:p w14:paraId="0A74059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Additional clinical trial for the same medicine, submitted at the same time </w:t>
            </w:r>
          </w:p>
        </w:tc>
        <w:tc>
          <w:tcPr>
            <w:tcW w:w="2693" w:type="dxa"/>
            <w:shd w:val="clear" w:color="auto" w:fill="auto"/>
            <w:noWrap/>
            <w:vAlign w:val="bottom"/>
            <w:hideMark/>
          </w:tcPr>
          <w:p w14:paraId="2006276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3,750</w:t>
            </w:r>
          </w:p>
        </w:tc>
        <w:tc>
          <w:tcPr>
            <w:tcW w:w="2694" w:type="dxa"/>
            <w:shd w:val="clear" w:color="auto" w:fill="auto"/>
            <w:noWrap/>
            <w:vAlign w:val="bottom"/>
            <w:hideMark/>
          </w:tcPr>
          <w:p w14:paraId="272255D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3</w:t>
            </w:r>
            <w:r>
              <w:rPr>
                <w:rFonts w:ascii="Calibri" w:eastAsia="Times New Roman" w:hAnsi="Calibri" w:cs="Times New Roman"/>
                <w:color w:val="000000"/>
                <w:lang w:eastAsia="en-NZ"/>
              </w:rPr>
              <w:t>,750</w:t>
            </w:r>
          </w:p>
        </w:tc>
      </w:tr>
      <w:tr w:rsidR="00C028D1" w:rsidRPr="002017C6" w14:paraId="48965BFB" w14:textId="77777777" w:rsidTr="003070DB">
        <w:trPr>
          <w:trHeight w:val="900"/>
        </w:trPr>
        <w:tc>
          <w:tcPr>
            <w:tcW w:w="4106" w:type="dxa"/>
            <w:shd w:val="clear" w:color="auto" w:fill="auto"/>
            <w:vAlign w:val="bottom"/>
            <w:hideMark/>
          </w:tcPr>
          <w:p w14:paraId="23489F1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Application for consent to conduct a clinical trial – abbreviated approval process </w:t>
            </w:r>
          </w:p>
        </w:tc>
        <w:tc>
          <w:tcPr>
            <w:tcW w:w="2693" w:type="dxa"/>
            <w:shd w:val="clear" w:color="auto" w:fill="auto"/>
            <w:noWrap/>
            <w:vAlign w:val="bottom"/>
            <w:hideMark/>
          </w:tcPr>
          <w:p w14:paraId="340BDEA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415</w:t>
            </w:r>
          </w:p>
        </w:tc>
        <w:tc>
          <w:tcPr>
            <w:tcW w:w="2694" w:type="dxa"/>
            <w:shd w:val="clear" w:color="auto" w:fill="auto"/>
            <w:noWrap/>
            <w:vAlign w:val="bottom"/>
            <w:hideMark/>
          </w:tcPr>
          <w:p w14:paraId="466916A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415</w:t>
            </w:r>
          </w:p>
        </w:tc>
      </w:tr>
      <w:tr w:rsidR="00C028D1" w:rsidRPr="002017C6" w14:paraId="3DCCC00A" w14:textId="77777777" w:rsidTr="003070DB">
        <w:trPr>
          <w:trHeight w:val="600"/>
        </w:trPr>
        <w:tc>
          <w:tcPr>
            <w:tcW w:w="4106" w:type="dxa"/>
            <w:shd w:val="clear" w:color="auto" w:fill="auto"/>
          </w:tcPr>
          <w:p w14:paraId="4B53942F" w14:textId="77777777" w:rsidR="00C028D1" w:rsidRPr="00F751FE" w:rsidRDefault="00C028D1" w:rsidP="003070DB">
            <w:pPr>
              <w:spacing w:after="0" w:line="240" w:lineRule="auto"/>
              <w:rPr>
                <w:rFonts w:ascii="Calibri" w:eastAsia="Times New Roman" w:hAnsi="Calibri" w:cs="Times New Roman"/>
                <w:bCs/>
                <w:color w:val="000000"/>
                <w:lang w:eastAsia="en-NZ"/>
              </w:rPr>
            </w:pPr>
            <w:r w:rsidRPr="00F751FE">
              <w:rPr>
                <w:rFonts w:cstheme="minorHAnsi"/>
                <w:bCs/>
                <w:lang w:eastAsia="en-NZ"/>
              </w:rPr>
              <w:t>Investigator-led Clinical Trial</w:t>
            </w:r>
          </w:p>
        </w:tc>
        <w:tc>
          <w:tcPr>
            <w:tcW w:w="2693" w:type="dxa"/>
            <w:shd w:val="clear" w:color="auto" w:fill="auto"/>
            <w:noWrap/>
          </w:tcPr>
          <w:p w14:paraId="6068AD68" w14:textId="77777777" w:rsidR="00C028D1" w:rsidRPr="00F751FE" w:rsidRDefault="00C028D1" w:rsidP="003070DB">
            <w:pPr>
              <w:spacing w:after="0" w:line="240" w:lineRule="auto"/>
              <w:jc w:val="right"/>
              <w:rPr>
                <w:rFonts w:ascii="Calibri" w:eastAsia="Times New Roman" w:hAnsi="Calibri" w:cs="Times New Roman"/>
                <w:bCs/>
                <w:color w:val="000000"/>
                <w:lang w:eastAsia="en-NZ"/>
              </w:rPr>
            </w:pPr>
            <w:r w:rsidRPr="00F751FE">
              <w:rPr>
                <w:bCs/>
              </w:rPr>
              <w:t>$1,000</w:t>
            </w:r>
          </w:p>
        </w:tc>
        <w:tc>
          <w:tcPr>
            <w:tcW w:w="2694" w:type="dxa"/>
            <w:shd w:val="clear" w:color="auto" w:fill="auto"/>
            <w:noWrap/>
          </w:tcPr>
          <w:p w14:paraId="2AD162EC" w14:textId="77777777" w:rsidR="00C028D1" w:rsidRPr="00F751FE" w:rsidRDefault="00C028D1" w:rsidP="003070DB">
            <w:pPr>
              <w:spacing w:after="0" w:line="240" w:lineRule="auto"/>
              <w:jc w:val="right"/>
              <w:rPr>
                <w:rFonts w:ascii="Calibri" w:eastAsia="Times New Roman" w:hAnsi="Calibri" w:cs="Times New Roman"/>
                <w:bCs/>
                <w:color w:val="000000"/>
                <w:lang w:eastAsia="en-NZ"/>
              </w:rPr>
            </w:pPr>
            <w:r w:rsidRPr="00F751FE">
              <w:rPr>
                <w:bCs/>
              </w:rPr>
              <w:t>$1000</w:t>
            </w:r>
          </w:p>
        </w:tc>
      </w:tr>
      <w:tr w:rsidR="00C028D1" w:rsidRPr="002017C6" w14:paraId="31BB903D" w14:textId="77777777" w:rsidTr="003070DB">
        <w:trPr>
          <w:trHeight w:val="600"/>
        </w:trPr>
        <w:tc>
          <w:tcPr>
            <w:tcW w:w="4106" w:type="dxa"/>
            <w:shd w:val="clear" w:color="auto" w:fill="auto"/>
          </w:tcPr>
          <w:p w14:paraId="72F02455" w14:textId="77777777" w:rsidR="00C028D1" w:rsidRPr="00F751FE" w:rsidRDefault="00C028D1" w:rsidP="003070DB">
            <w:pPr>
              <w:spacing w:after="0" w:line="240" w:lineRule="auto"/>
              <w:rPr>
                <w:rFonts w:ascii="Calibri" w:eastAsia="Times New Roman" w:hAnsi="Calibri" w:cs="Times New Roman"/>
                <w:bCs/>
                <w:color w:val="000000"/>
                <w:lang w:eastAsia="en-NZ"/>
              </w:rPr>
            </w:pPr>
            <w:r w:rsidRPr="00F751FE">
              <w:rPr>
                <w:rFonts w:cstheme="minorHAnsi"/>
                <w:bCs/>
                <w:lang w:eastAsia="en-NZ"/>
              </w:rPr>
              <w:t>Clinical Trial Amendments (new site new investigator)</w:t>
            </w:r>
          </w:p>
        </w:tc>
        <w:tc>
          <w:tcPr>
            <w:tcW w:w="2693" w:type="dxa"/>
            <w:shd w:val="clear" w:color="auto" w:fill="auto"/>
            <w:noWrap/>
          </w:tcPr>
          <w:p w14:paraId="01AED5E1" w14:textId="77777777" w:rsidR="00C028D1" w:rsidRPr="00F751FE" w:rsidRDefault="00C028D1" w:rsidP="003070DB">
            <w:pPr>
              <w:spacing w:after="0" w:line="240" w:lineRule="auto"/>
              <w:jc w:val="right"/>
              <w:rPr>
                <w:rFonts w:ascii="Calibri" w:eastAsia="Times New Roman" w:hAnsi="Calibri" w:cs="Times New Roman"/>
                <w:bCs/>
                <w:color w:val="000000"/>
                <w:lang w:eastAsia="en-NZ"/>
              </w:rPr>
            </w:pPr>
          </w:p>
        </w:tc>
        <w:tc>
          <w:tcPr>
            <w:tcW w:w="2694" w:type="dxa"/>
            <w:shd w:val="clear" w:color="auto" w:fill="auto"/>
            <w:noWrap/>
          </w:tcPr>
          <w:p w14:paraId="2B4FDC1A" w14:textId="77777777" w:rsidR="00C028D1" w:rsidRPr="00F751FE" w:rsidRDefault="00C028D1" w:rsidP="003070DB">
            <w:pPr>
              <w:spacing w:after="0" w:line="240" w:lineRule="auto"/>
              <w:jc w:val="right"/>
              <w:rPr>
                <w:rFonts w:ascii="Calibri" w:eastAsia="Times New Roman" w:hAnsi="Calibri" w:cs="Times New Roman"/>
                <w:bCs/>
                <w:color w:val="000000"/>
                <w:lang w:eastAsia="en-NZ"/>
              </w:rPr>
            </w:pPr>
            <w:r w:rsidRPr="00F751FE">
              <w:rPr>
                <w:bCs/>
              </w:rPr>
              <w:t>$415</w:t>
            </w:r>
          </w:p>
        </w:tc>
      </w:tr>
      <w:tr w:rsidR="00C028D1" w:rsidRPr="002017C6" w14:paraId="3DC9FE56" w14:textId="77777777" w:rsidTr="003070DB">
        <w:trPr>
          <w:trHeight w:val="600"/>
        </w:trPr>
        <w:tc>
          <w:tcPr>
            <w:tcW w:w="4106" w:type="dxa"/>
            <w:shd w:val="clear" w:color="auto" w:fill="auto"/>
            <w:vAlign w:val="bottom"/>
          </w:tcPr>
          <w:p w14:paraId="039946E3" w14:textId="77777777" w:rsidR="00C028D1" w:rsidRPr="000F15D1" w:rsidRDefault="00C028D1" w:rsidP="003070DB">
            <w:pPr>
              <w:spacing w:after="0" w:line="240" w:lineRule="auto"/>
              <w:rPr>
                <w:rFonts w:ascii="Calibri" w:eastAsia="Times New Roman" w:hAnsi="Calibri" w:cs="Times New Roman"/>
                <w:b/>
                <w:bCs/>
                <w:color w:val="000000"/>
                <w:lang w:eastAsia="en-NZ"/>
              </w:rPr>
            </w:pPr>
            <w:r>
              <w:rPr>
                <w:rFonts w:ascii="Calibri" w:eastAsia="Times New Roman" w:hAnsi="Calibri" w:cs="Times New Roman"/>
                <w:b/>
                <w:bCs/>
                <w:color w:val="000000"/>
                <w:lang w:eastAsia="en-NZ"/>
              </w:rPr>
              <w:t>Other fees</w:t>
            </w:r>
          </w:p>
        </w:tc>
        <w:tc>
          <w:tcPr>
            <w:tcW w:w="2693" w:type="dxa"/>
            <w:shd w:val="clear" w:color="auto" w:fill="auto"/>
            <w:noWrap/>
            <w:vAlign w:val="bottom"/>
          </w:tcPr>
          <w:p w14:paraId="2A4113F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c>
          <w:tcPr>
            <w:tcW w:w="2694" w:type="dxa"/>
            <w:shd w:val="clear" w:color="auto" w:fill="auto"/>
            <w:noWrap/>
            <w:vAlign w:val="bottom"/>
          </w:tcPr>
          <w:p w14:paraId="1DA77F4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p>
        </w:tc>
      </w:tr>
      <w:tr w:rsidR="00C028D1" w:rsidRPr="002017C6" w14:paraId="19C467DD" w14:textId="77777777" w:rsidTr="003070DB">
        <w:trPr>
          <w:trHeight w:val="600"/>
        </w:trPr>
        <w:tc>
          <w:tcPr>
            <w:tcW w:w="4106" w:type="dxa"/>
            <w:shd w:val="clear" w:color="auto" w:fill="auto"/>
            <w:vAlign w:val="bottom"/>
            <w:hideMark/>
          </w:tcPr>
          <w:p w14:paraId="092F10A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Appeal to the Medicines Review Committee</w:t>
            </w:r>
          </w:p>
        </w:tc>
        <w:tc>
          <w:tcPr>
            <w:tcW w:w="2693" w:type="dxa"/>
            <w:shd w:val="clear" w:color="auto" w:fill="auto"/>
            <w:noWrap/>
            <w:vAlign w:val="bottom"/>
            <w:hideMark/>
          </w:tcPr>
          <w:p w14:paraId="6D9E56E4"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9,000</w:t>
            </w:r>
          </w:p>
        </w:tc>
        <w:tc>
          <w:tcPr>
            <w:tcW w:w="2694" w:type="dxa"/>
            <w:shd w:val="clear" w:color="auto" w:fill="auto"/>
            <w:noWrap/>
            <w:vAlign w:val="bottom"/>
            <w:hideMark/>
          </w:tcPr>
          <w:p w14:paraId="6E78579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9</w:t>
            </w:r>
            <w:r>
              <w:rPr>
                <w:rFonts w:ascii="Calibri" w:eastAsia="Times New Roman" w:hAnsi="Calibri" w:cs="Times New Roman"/>
                <w:color w:val="000000"/>
                <w:lang w:eastAsia="en-NZ"/>
              </w:rPr>
              <w:t>000</w:t>
            </w:r>
          </w:p>
        </w:tc>
      </w:tr>
      <w:tr w:rsidR="00C028D1" w:rsidRPr="002017C6" w14:paraId="26E22B27" w14:textId="77777777" w:rsidTr="003070DB">
        <w:trPr>
          <w:trHeight w:val="600"/>
        </w:trPr>
        <w:tc>
          <w:tcPr>
            <w:tcW w:w="4106" w:type="dxa"/>
            <w:shd w:val="clear" w:color="auto" w:fill="auto"/>
            <w:vAlign w:val="bottom"/>
            <w:hideMark/>
          </w:tcPr>
          <w:p w14:paraId="1ED14B73"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Issue of a Certificate of Pharmaceutical Product </w:t>
            </w:r>
          </w:p>
        </w:tc>
        <w:tc>
          <w:tcPr>
            <w:tcW w:w="2693" w:type="dxa"/>
            <w:shd w:val="clear" w:color="auto" w:fill="auto"/>
            <w:noWrap/>
            <w:vAlign w:val="bottom"/>
            <w:hideMark/>
          </w:tcPr>
          <w:p w14:paraId="5E483D2A"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250</w:t>
            </w:r>
          </w:p>
        </w:tc>
        <w:tc>
          <w:tcPr>
            <w:tcW w:w="2694" w:type="dxa"/>
            <w:shd w:val="clear" w:color="auto" w:fill="auto"/>
            <w:noWrap/>
            <w:vAlign w:val="bottom"/>
            <w:hideMark/>
          </w:tcPr>
          <w:p w14:paraId="145F4B8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261</w:t>
            </w:r>
          </w:p>
        </w:tc>
      </w:tr>
      <w:tr w:rsidR="00C028D1" w:rsidRPr="002017C6" w14:paraId="075ABB55" w14:textId="77777777" w:rsidTr="003070DB">
        <w:trPr>
          <w:trHeight w:val="300"/>
        </w:trPr>
        <w:tc>
          <w:tcPr>
            <w:tcW w:w="4106" w:type="dxa"/>
            <w:shd w:val="clear" w:color="auto" w:fill="auto"/>
            <w:vAlign w:val="bottom"/>
            <w:hideMark/>
          </w:tcPr>
          <w:p w14:paraId="4D9E4338"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Licence to Manufacture Medicines </w:t>
            </w:r>
          </w:p>
        </w:tc>
        <w:tc>
          <w:tcPr>
            <w:tcW w:w="2693" w:type="dxa"/>
            <w:shd w:val="clear" w:color="auto" w:fill="auto"/>
            <w:noWrap/>
            <w:vAlign w:val="bottom"/>
            <w:hideMark/>
          </w:tcPr>
          <w:p w14:paraId="4B85A332"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13,750</w:t>
            </w:r>
          </w:p>
        </w:tc>
        <w:tc>
          <w:tcPr>
            <w:tcW w:w="2694" w:type="dxa"/>
            <w:shd w:val="clear" w:color="auto" w:fill="auto"/>
            <w:noWrap/>
            <w:vAlign w:val="bottom"/>
            <w:hideMark/>
          </w:tcPr>
          <w:p w14:paraId="60D2858F"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14</w:t>
            </w:r>
            <w:r>
              <w:rPr>
                <w:rFonts w:ascii="Calibri" w:eastAsia="Times New Roman" w:hAnsi="Calibri" w:cs="Times New Roman"/>
                <w:color w:val="000000"/>
                <w:lang w:eastAsia="en-NZ"/>
              </w:rPr>
              <w:t>,</w:t>
            </w:r>
            <w:r w:rsidRPr="002017C6">
              <w:rPr>
                <w:rFonts w:ascii="Calibri" w:eastAsia="Times New Roman" w:hAnsi="Calibri" w:cs="Times New Roman"/>
                <w:color w:val="000000"/>
                <w:lang w:eastAsia="en-NZ"/>
              </w:rPr>
              <w:t>32</w:t>
            </w:r>
            <w:r>
              <w:rPr>
                <w:rFonts w:ascii="Calibri" w:eastAsia="Times New Roman" w:hAnsi="Calibri" w:cs="Times New Roman"/>
                <w:color w:val="000000"/>
                <w:lang w:eastAsia="en-NZ"/>
              </w:rPr>
              <w:t>8</w:t>
            </w:r>
          </w:p>
        </w:tc>
      </w:tr>
      <w:tr w:rsidR="00C028D1" w:rsidRPr="002017C6" w14:paraId="72A826B7" w14:textId="77777777" w:rsidTr="003070DB">
        <w:trPr>
          <w:trHeight w:val="300"/>
        </w:trPr>
        <w:tc>
          <w:tcPr>
            <w:tcW w:w="4106" w:type="dxa"/>
            <w:shd w:val="clear" w:color="auto" w:fill="auto"/>
            <w:vAlign w:val="bottom"/>
            <w:hideMark/>
          </w:tcPr>
          <w:p w14:paraId="3ED17370"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Licence to Pack Medicines </w:t>
            </w:r>
          </w:p>
        </w:tc>
        <w:tc>
          <w:tcPr>
            <w:tcW w:w="2693" w:type="dxa"/>
            <w:shd w:val="clear" w:color="auto" w:fill="auto"/>
            <w:noWrap/>
            <w:vAlign w:val="bottom"/>
            <w:hideMark/>
          </w:tcPr>
          <w:p w14:paraId="0446551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845</w:t>
            </w:r>
          </w:p>
        </w:tc>
        <w:tc>
          <w:tcPr>
            <w:tcW w:w="2694" w:type="dxa"/>
            <w:shd w:val="clear" w:color="auto" w:fill="auto"/>
            <w:noWrap/>
            <w:vAlign w:val="bottom"/>
            <w:hideMark/>
          </w:tcPr>
          <w:p w14:paraId="193A750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880</w:t>
            </w:r>
          </w:p>
        </w:tc>
      </w:tr>
      <w:tr w:rsidR="00C028D1" w:rsidRPr="002017C6" w14:paraId="60B9864D" w14:textId="77777777" w:rsidTr="003070DB">
        <w:trPr>
          <w:trHeight w:val="300"/>
        </w:trPr>
        <w:tc>
          <w:tcPr>
            <w:tcW w:w="4106" w:type="dxa"/>
            <w:shd w:val="clear" w:color="auto" w:fill="auto"/>
            <w:vAlign w:val="bottom"/>
            <w:hideMark/>
          </w:tcPr>
          <w:p w14:paraId="37E23BE2"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GMP Certificates </w:t>
            </w:r>
          </w:p>
        </w:tc>
        <w:tc>
          <w:tcPr>
            <w:tcW w:w="2693" w:type="dxa"/>
            <w:shd w:val="clear" w:color="auto" w:fill="auto"/>
            <w:noWrap/>
            <w:vAlign w:val="bottom"/>
            <w:hideMark/>
          </w:tcPr>
          <w:p w14:paraId="7D201B40"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178.25</w:t>
            </w:r>
          </w:p>
        </w:tc>
        <w:tc>
          <w:tcPr>
            <w:tcW w:w="2694" w:type="dxa"/>
            <w:shd w:val="clear" w:color="auto" w:fill="auto"/>
            <w:noWrap/>
            <w:vAlign w:val="bottom"/>
            <w:hideMark/>
          </w:tcPr>
          <w:p w14:paraId="53C2516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186</w:t>
            </w:r>
          </w:p>
        </w:tc>
      </w:tr>
      <w:tr w:rsidR="00C028D1" w:rsidRPr="002017C6" w14:paraId="576C3C6C" w14:textId="77777777" w:rsidTr="003070DB">
        <w:trPr>
          <w:trHeight w:val="340"/>
        </w:trPr>
        <w:tc>
          <w:tcPr>
            <w:tcW w:w="4106" w:type="dxa"/>
            <w:shd w:val="clear" w:color="auto" w:fill="auto"/>
          </w:tcPr>
          <w:p w14:paraId="4862266B" w14:textId="77777777" w:rsidR="00C028D1" w:rsidRPr="002017C6" w:rsidRDefault="00C028D1" w:rsidP="003070DB">
            <w:pPr>
              <w:autoSpaceDE w:val="0"/>
              <w:autoSpaceDN w:val="0"/>
              <w:spacing w:after="0" w:line="240" w:lineRule="auto"/>
              <w:rPr>
                <w:rFonts w:ascii="Calibri" w:eastAsia="Times New Roman" w:hAnsi="Calibri" w:cs="Times New Roman"/>
                <w:color w:val="000000"/>
                <w:lang w:eastAsia="en-NZ"/>
              </w:rPr>
            </w:pPr>
            <w:r>
              <w:rPr>
                <w:color w:val="000000"/>
              </w:rPr>
              <w:t>Licence to Sell Medicines by Wholesale</w:t>
            </w:r>
          </w:p>
        </w:tc>
        <w:tc>
          <w:tcPr>
            <w:tcW w:w="2693" w:type="dxa"/>
            <w:shd w:val="clear" w:color="auto" w:fill="auto"/>
            <w:noWrap/>
          </w:tcPr>
          <w:p w14:paraId="7868A6A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color w:val="000000"/>
              </w:rPr>
              <w:t>1,077.42</w:t>
            </w:r>
          </w:p>
        </w:tc>
        <w:tc>
          <w:tcPr>
            <w:tcW w:w="2694" w:type="dxa"/>
            <w:shd w:val="clear" w:color="auto" w:fill="auto"/>
            <w:noWrap/>
          </w:tcPr>
          <w:p w14:paraId="61CED91E" w14:textId="77777777" w:rsidR="00C028D1"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1,123</w:t>
            </w:r>
          </w:p>
        </w:tc>
      </w:tr>
      <w:tr w:rsidR="00C028D1" w:rsidRPr="002017C6" w14:paraId="67547531" w14:textId="77777777" w:rsidTr="003070DB">
        <w:trPr>
          <w:trHeight w:val="340"/>
        </w:trPr>
        <w:tc>
          <w:tcPr>
            <w:tcW w:w="4106" w:type="dxa"/>
            <w:shd w:val="clear" w:color="auto" w:fill="auto"/>
          </w:tcPr>
          <w:p w14:paraId="6E56E3FB" w14:textId="77777777" w:rsidR="00C028D1" w:rsidRPr="00F33756" w:rsidRDefault="00C028D1" w:rsidP="003070DB">
            <w:pPr>
              <w:autoSpaceDE w:val="0"/>
              <w:autoSpaceDN w:val="0"/>
              <w:spacing w:after="0" w:line="240" w:lineRule="auto"/>
              <w:rPr>
                <w:color w:val="000000"/>
              </w:rPr>
            </w:pPr>
            <w:r>
              <w:rPr>
                <w:color w:val="000000"/>
              </w:rPr>
              <w:t xml:space="preserve">Licence to Sell Medicines by Retail </w:t>
            </w:r>
          </w:p>
        </w:tc>
        <w:tc>
          <w:tcPr>
            <w:tcW w:w="2693" w:type="dxa"/>
            <w:shd w:val="clear" w:color="auto" w:fill="auto"/>
            <w:noWrap/>
          </w:tcPr>
          <w:p w14:paraId="167511D7"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color w:val="000000"/>
              </w:rPr>
              <w:t>863.78</w:t>
            </w:r>
          </w:p>
        </w:tc>
        <w:tc>
          <w:tcPr>
            <w:tcW w:w="2694" w:type="dxa"/>
            <w:shd w:val="clear" w:color="auto" w:fill="auto"/>
            <w:noWrap/>
          </w:tcPr>
          <w:p w14:paraId="243A301C" w14:textId="77777777" w:rsidR="00C028D1"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900</w:t>
            </w:r>
          </w:p>
        </w:tc>
      </w:tr>
      <w:tr w:rsidR="00C028D1" w:rsidRPr="002017C6" w14:paraId="68E63391" w14:textId="77777777" w:rsidTr="003070DB">
        <w:trPr>
          <w:trHeight w:val="340"/>
        </w:trPr>
        <w:tc>
          <w:tcPr>
            <w:tcW w:w="4106" w:type="dxa"/>
            <w:shd w:val="clear" w:color="auto" w:fill="auto"/>
          </w:tcPr>
          <w:p w14:paraId="2E20BC88" w14:textId="77777777" w:rsidR="00C028D1" w:rsidRPr="00F33756" w:rsidRDefault="00C028D1" w:rsidP="003070DB">
            <w:pPr>
              <w:autoSpaceDE w:val="0"/>
              <w:autoSpaceDN w:val="0"/>
              <w:spacing w:after="0" w:line="240" w:lineRule="auto"/>
              <w:rPr>
                <w:color w:val="000000"/>
              </w:rPr>
            </w:pPr>
            <w:r>
              <w:rPr>
                <w:color w:val="000000"/>
              </w:rPr>
              <w:t xml:space="preserve">Licence to Hawk Medicines </w:t>
            </w:r>
          </w:p>
        </w:tc>
        <w:tc>
          <w:tcPr>
            <w:tcW w:w="2693" w:type="dxa"/>
            <w:shd w:val="clear" w:color="auto" w:fill="auto"/>
            <w:noWrap/>
          </w:tcPr>
          <w:p w14:paraId="38ED7E2E"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color w:val="000000"/>
              </w:rPr>
              <w:t>863.78</w:t>
            </w:r>
          </w:p>
        </w:tc>
        <w:tc>
          <w:tcPr>
            <w:tcW w:w="2694" w:type="dxa"/>
            <w:shd w:val="clear" w:color="auto" w:fill="auto"/>
            <w:noWrap/>
          </w:tcPr>
          <w:p w14:paraId="0A0E7D36" w14:textId="77777777" w:rsidR="00C028D1"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900</w:t>
            </w:r>
          </w:p>
        </w:tc>
      </w:tr>
      <w:tr w:rsidR="00C028D1" w:rsidRPr="002017C6" w14:paraId="03D49ACA" w14:textId="77777777" w:rsidTr="003070DB">
        <w:trPr>
          <w:trHeight w:val="340"/>
        </w:trPr>
        <w:tc>
          <w:tcPr>
            <w:tcW w:w="4106" w:type="dxa"/>
            <w:shd w:val="clear" w:color="auto" w:fill="auto"/>
          </w:tcPr>
          <w:p w14:paraId="62552F4B" w14:textId="77777777" w:rsidR="00C028D1" w:rsidRPr="002017C6" w:rsidRDefault="00C028D1" w:rsidP="003070DB">
            <w:pPr>
              <w:spacing w:after="0" w:line="240" w:lineRule="auto"/>
              <w:rPr>
                <w:rFonts w:ascii="Calibri" w:eastAsia="Times New Roman" w:hAnsi="Calibri" w:cs="Times New Roman"/>
                <w:color w:val="000000"/>
                <w:lang w:eastAsia="en-NZ"/>
              </w:rPr>
            </w:pPr>
            <w:r>
              <w:rPr>
                <w:color w:val="000000"/>
              </w:rPr>
              <w:t>Licence to Operate Pharmacy</w:t>
            </w:r>
          </w:p>
        </w:tc>
        <w:tc>
          <w:tcPr>
            <w:tcW w:w="2693" w:type="dxa"/>
            <w:shd w:val="clear" w:color="auto" w:fill="auto"/>
            <w:noWrap/>
          </w:tcPr>
          <w:p w14:paraId="7904467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color w:val="000000"/>
              </w:rPr>
              <w:t>1,052.89</w:t>
            </w:r>
          </w:p>
        </w:tc>
        <w:tc>
          <w:tcPr>
            <w:tcW w:w="2694" w:type="dxa"/>
            <w:shd w:val="clear" w:color="auto" w:fill="auto"/>
            <w:noWrap/>
          </w:tcPr>
          <w:p w14:paraId="3410CEA7" w14:textId="77777777" w:rsidR="00C028D1"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1,097</w:t>
            </w:r>
          </w:p>
        </w:tc>
      </w:tr>
      <w:tr w:rsidR="00C028D1" w:rsidRPr="002017C6" w14:paraId="0334564E" w14:textId="77777777" w:rsidTr="003070DB">
        <w:trPr>
          <w:trHeight w:val="900"/>
        </w:trPr>
        <w:tc>
          <w:tcPr>
            <w:tcW w:w="4106" w:type="dxa"/>
            <w:shd w:val="clear" w:color="auto" w:fill="auto"/>
            <w:vAlign w:val="bottom"/>
            <w:hideMark/>
          </w:tcPr>
          <w:p w14:paraId="0E42DAC1"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Medical Devices – Regulatory Statements to Foreign Governments (per statement) </w:t>
            </w:r>
          </w:p>
        </w:tc>
        <w:tc>
          <w:tcPr>
            <w:tcW w:w="2693" w:type="dxa"/>
            <w:shd w:val="clear" w:color="auto" w:fill="auto"/>
            <w:noWrap/>
            <w:vAlign w:val="bottom"/>
            <w:hideMark/>
          </w:tcPr>
          <w:p w14:paraId="35CEC766"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178.25</w:t>
            </w:r>
          </w:p>
        </w:tc>
        <w:tc>
          <w:tcPr>
            <w:tcW w:w="2694" w:type="dxa"/>
            <w:shd w:val="clear" w:color="auto" w:fill="auto"/>
            <w:noWrap/>
            <w:vAlign w:val="bottom"/>
            <w:hideMark/>
          </w:tcPr>
          <w:p w14:paraId="58C4711D"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186</w:t>
            </w:r>
          </w:p>
        </w:tc>
      </w:tr>
      <w:tr w:rsidR="00C028D1" w:rsidRPr="002017C6" w14:paraId="4F2F3745" w14:textId="77777777" w:rsidTr="003070DB">
        <w:trPr>
          <w:trHeight w:val="900"/>
        </w:trPr>
        <w:tc>
          <w:tcPr>
            <w:tcW w:w="4106" w:type="dxa"/>
            <w:shd w:val="clear" w:color="auto" w:fill="auto"/>
            <w:vAlign w:val="bottom"/>
            <w:hideMark/>
          </w:tcPr>
          <w:p w14:paraId="09DFAFFA"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Dietary Supplements - Regulatory Statements to Foreign Governments (per statement) </w:t>
            </w:r>
          </w:p>
        </w:tc>
        <w:tc>
          <w:tcPr>
            <w:tcW w:w="2693" w:type="dxa"/>
            <w:shd w:val="clear" w:color="auto" w:fill="auto"/>
            <w:noWrap/>
            <w:vAlign w:val="bottom"/>
            <w:hideMark/>
          </w:tcPr>
          <w:p w14:paraId="656EC1CB"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178.25</w:t>
            </w:r>
          </w:p>
        </w:tc>
        <w:tc>
          <w:tcPr>
            <w:tcW w:w="2694" w:type="dxa"/>
            <w:shd w:val="clear" w:color="auto" w:fill="auto"/>
            <w:noWrap/>
            <w:vAlign w:val="bottom"/>
            <w:hideMark/>
          </w:tcPr>
          <w:p w14:paraId="650D6D8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186</w:t>
            </w:r>
          </w:p>
        </w:tc>
      </w:tr>
      <w:tr w:rsidR="00C028D1" w:rsidRPr="002017C6" w14:paraId="55E37129" w14:textId="77777777" w:rsidTr="003070DB">
        <w:trPr>
          <w:trHeight w:val="900"/>
        </w:trPr>
        <w:tc>
          <w:tcPr>
            <w:tcW w:w="4106" w:type="dxa"/>
            <w:shd w:val="clear" w:color="auto" w:fill="auto"/>
            <w:vAlign w:val="bottom"/>
            <w:hideMark/>
          </w:tcPr>
          <w:p w14:paraId="6168357F"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 xml:space="preserve">Dietary Supplements – additional copy of original certificate issued at the same time (per statement) </w:t>
            </w:r>
          </w:p>
        </w:tc>
        <w:tc>
          <w:tcPr>
            <w:tcW w:w="2693" w:type="dxa"/>
            <w:shd w:val="clear" w:color="auto" w:fill="auto"/>
            <w:noWrap/>
            <w:vAlign w:val="bottom"/>
            <w:hideMark/>
          </w:tcPr>
          <w:p w14:paraId="75D92465"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25</w:t>
            </w:r>
          </w:p>
        </w:tc>
        <w:tc>
          <w:tcPr>
            <w:tcW w:w="2694" w:type="dxa"/>
            <w:shd w:val="clear" w:color="auto" w:fill="auto"/>
            <w:noWrap/>
            <w:vAlign w:val="bottom"/>
            <w:hideMark/>
          </w:tcPr>
          <w:p w14:paraId="26564009"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26</w:t>
            </w:r>
          </w:p>
        </w:tc>
      </w:tr>
      <w:tr w:rsidR="00C028D1" w:rsidRPr="002017C6" w14:paraId="277FAD1D" w14:textId="77777777" w:rsidTr="003070DB">
        <w:trPr>
          <w:trHeight w:val="964"/>
        </w:trPr>
        <w:tc>
          <w:tcPr>
            <w:tcW w:w="4106" w:type="dxa"/>
            <w:shd w:val="clear" w:color="auto" w:fill="auto"/>
            <w:hideMark/>
          </w:tcPr>
          <w:p w14:paraId="11790E36" w14:textId="77777777" w:rsidR="00C028D1" w:rsidRPr="002017C6" w:rsidRDefault="00C028D1" w:rsidP="003070DB">
            <w:pPr>
              <w:spacing w:after="0" w:line="240" w:lineRule="auto"/>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lastRenderedPageBreak/>
              <w:t xml:space="preserve">New Zealand Based − Auditing of Non-Licensed Manufacturers − per hour, plus $50 administration fee, plus disbursements </w:t>
            </w:r>
          </w:p>
        </w:tc>
        <w:tc>
          <w:tcPr>
            <w:tcW w:w="2693" w:type="dxa"/>
            <w:shd w:val="clear" w:color="auto" w:fill="auto"/>
            <w:noWrap/>
            <w:hideMark/>
          </w:tcPr>
          <w:p w14:paraId="6C22D8B3"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sidRPr="002017C6">
              <w:rPr>
                <w:rFonts w:ascii="Calibri" w:eastAsia="Times New Roman" w:hAnsi="Calibri" w:cs="Times New Roman"/>
                <w:color w:val="000000"/>
                <w:lang w:eastAsia="en-NZ"/>
              </w:rPr>
              <w:t>178.25 per hour</w:t>
            </w:r>
          </w:p>
        </w:tc>
        <w:tc>
          <w:tcPr>
            <w:tcW w:w="2694" w:type="dxa"/>
            <w:shd w:val="clear" w:color="auto" w:fill="auto"/>
            <w:noWrap/>
            <w:hideMark/>
          </w:tcPr>
          <w:p w14:paraId="0FE035E1" w14:textId="77777777" w:rsidR="00C028D1" w:rsidRPr="002017C6" w:rsidRDefault="00C028D1" w:rsidP="003070DB">
            <w:pPr>
              <w:spacing w:after="0" w:line="240" w:lineRule="auto"/>
              <w:jc w:val="right"/>
              <w:rPr>
                <w:rFonts w:ascii="Calibri" w:eastAsia="Times New Roman" w:hAnsi="Calibri" w:cs="Times New Roman"/>
                <w:color w:val="000000"/>
                <w:lang w:eastAsia="en-NZ"/>
              </w:rPr>
            </w:pPr>
            <w:r>
              <w:rPr>
                <w:rFonts w:ascii="Calibri" w:eastAsia="Times New Roman" w:hAnsi="Calibri" w:cs="Times New Roman"/>
                <w:color w:val="000000"/>
                <w:lang w:eastAsia="en-NZ"/>
              </w:rPr>
              <w:t>186</w:t>
            </w:r>
          </w:p>
        </w:tc>
      </w:tr>
    </w:tbl>
    <w:p w14:paraId="68210A19" w14:textId="77777777" w:rsidR="00C028D1" w:rsidRDefault="00C028D1" w:rsidP="00C028D1"/>
    <w:p w14:paraId="37F26515" w14:textId="77777777" w:rsidR="00C028D1" w:rsidRPr="00EC7010" w:rsidRDefault="00C028D1" w:rsidP="00330E66">
      <w:pPr>
        <w:rPr>
          <w:rFonts w:ascii="Segoe UI" w:hAnsi="Segoe UI" w:cs="Segoe UI"/>
          <w:b/>
          <w:bCs/>
          <w:color w:val="4472C4" w:themeColor="accent1"/>
          <w:sz w:val="24"/>
          <w:szCs w:val="24"/>
        </w:rPr>
      </w:pPr>
    </w:p>
    <w:sectPr w:rsidR="00C028D1" w:rsidRPr="00EC7010" w:rsidSect="009915D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06D87" w14:textId="77777777" w:rsidR="00E13427" w:rsidRDefault="00E13427" w:rsidP="00EC159B">
      <w:pPr>
        <w:spacing w:after="0" w:line="240" w:lineRule="auto"/>
      </w:pPr>
      <w:r>
        <w:separator/>
      </w:r>
    </w:p>
  </w:endnote>
  <w:endnote w:type="continuationSeparator" w:id="0">
    <w:p w14:paraId="4F827F68" w14:textId="77777777" w:rsidR="00E13427" w:rsidRDefault="00E13427" w:rsidP="00EC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A79D" w14:textId="77777777" w:rsidR="00C66565" w:rsidRDefault="00C66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742336"/>
      <w:docPartObj>
        <w:docPartGallery w:val="Page Numbers (Bottom of Page)"/>
        <w:docPartUnique/>
      </w:docPartObj>
    </w:sdtPr>
    <w:sdtEndPr>
      <w:rPr>
        <w:noProof/>
      </w:rPr>
    </w:sdtEndPr>
    <w:sdtContent>
      <w:p w14:paraId="0444D2AE" w14:textId="0F35B2D0" w:rsidR="00C66565" w:rsidRDefault="00C665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DF12A" w14:textId="77777777" w:rsidR="00C66565" w:rsidRDefault="00C665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94C66" w14:textId="77777777" w:rsidR="00C66565" w:rsidRDefault="00C66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294B" w14:textId="77777777" w:rsidR="00E13427" w:rsidRDefault="00E13427" w:rsidP="00EC159B">
      <w:pPr>
        <w:spacing w:after="0" w:line="240" w:lineRule="auto"/>
      </w:pPr>
      <w:r>
        <w:separator/>
      </w:r>
    </w:p>
  </w:footnote>
  <w:footnote w:type="continuationSeparator" w:id="0">
    <w:p w14:paraId="228615B3" w14:textId="77777777" w:rsidR="00E13427" w:rsidRDefault="00E13427" w:rsidP="00EC159B">
      <w:pPr>
        <w:spacing w:after="0" w:line="240" w:lineRule="auto"/>
      </w:pPr>
      <w:r>
        <w:continuationSeparator/>
      </w:r>
    </w:p>
  </w:footnote>
  <w:footnote w:id="1">
    <w:p w14:paraId="7FF77BB7" w14:textId="77777777" w:rsidR="00C66565" w:rsidRDefault="00C66565" w:rsidP="00161C22">
      <w:pPr>
        <w:pStyle w:val="FootnoteText"/>
      </w:pPr>
      <w:r>
        <w:rPr>
          <w:rStyle w:val="FootnoteReference"/>
        </w:rPr>
        <w:footnoteRef/>
      </w:r>
      <w:r>
        <w:t xml:space="preserve"> The Treasury (2017), </w:t>
      </w:r>
      <w:r w:rsidRPr="002968F3">
        <w:rPr>
          <w:i/>
        </w:rPr>
        <w:t>Guidelines for Setting Charges in the Public Sector</w:t>
      </w:r>
      <w:r>
        <w:t xml:space="preserve">; Office of the Controller and Auditor-General (2008), </w:t>
      </w:r>
      <w:r w:rsidRPr="002968F3">
        <w:rPr>
          <w:i/>
        </w:rPr>
        <w:t xml:space="preserve">Charging </w:t>
      </w:r>
      <w:r>
        <w:rPr>
          <w:i/>
        </w:rPr>
        <w:t>F</w:t>
      </w:r>
      <w:r w:rsidRPr="002968F3">
        <w:rPr>
          <w:i/>
        </w:rPr>
        <w:t xml:space="preserve">ees for </w:t>
      </w:r>
      <w:r>
        <w:rPr>
          <w:i/>
        </w:rPr>
        <w:t>P</w:t>
      </w:r>
      <w:r w:rsidRPr="002968F3">
        <w:rPr>
          <w:i/>
        </w:rPr>
        <w:t xml:space="preserve">ublic </w:t>
      </w:r>
      <w:r>
        <w:rPr>
          <w:i/>
        </w:rPr>
        <w:t>S</w:t>
      </w:r>
      <w:r w:rsidRPr="002968F3">
        <w:rPr>
          <w:i/>
        </w:rPr>
        <w:t xml:space="preserve">ector </w:t>
      </w:r>
      <w:r>
        <w:rPr>
          <w:i/>
        </w:rPr>
        <w:t>G</w:t>
      </w:r>
      <w:r w:rsidRPr="002968F3">
        <w:rPr>
          <w:i/>
        </w:rPr>
        <w:t xml:space="preserve">oods and </w:t>
      </w:r>
      <w:r>
        <w:rPr>
          <w:i/>
        </w:rPr>
        <w:t>S</w:t>
      </w:r>
      <w:r w:rsidRPr="002968F3">
        <w:rPr>
          <w:i/>
        </w:rPr>
        <w:t>ervices</w:t>
      </w:r>
      <w:r>
        <w:t>.</w:t>
      </w:r>
    </w:p>
  </w:footnote>
  <w:footnote w:id="2">
    <w:p w14:paraId="064C2C2F" w14:textId="77777777" w:rsidR="00C66565" w:rsidRDefault="00C66565" w:rsidP="00BC5C6F">
      <w:pPr>
        <w:pStyle w:val="FootnoteText"/>
      </w:pPr>
      <w:r>
        <w:rPr>
          <w:rStyle w:val="FootnoteReference"/>
        </w:rPr>
        <w:footnoteRef/>
      </w:r>
      <w:r>
        <w:t xml:space="preserve"> Treasury Circular 2011/10: </w:t>
      </w:r>
      <w:r w:rsidRPr="00263445">
        <w:rPr>
          <w:i/>
        </w:rPr>
        <w:t>Guidance on the Operation of Departmental Memorandum Accounts</w:t>
      </w:r>
    </w:p>
  </w:footnote>
  <w:footnote w:id="3">
    <w:p w14:paraId="3DE113BD" w14:textId="0A40E490" w:rsidR="00C66565" w:rsidRDefault="00C66565">
      <w:pPr>
        <w:pStyle w:val="FootnoteText"/>
      </w:pPr>
      <w:r>
        <w:rPr>
          <w:rStyle w:val="FootnoteReference"/>
        </w:rPr>
        <w:footnoteRef/>
      </w:r>
      <w:r>
        <w:t xml:space="preserve"> New Zealand’s Crown Research Institute specialising in science for communities</w:t>
      </w:r>
    </w:p>
  </w:footnote>
  <w:footnote w:id="4">
    <w:p w14:paraId="39D8D713" w14:textId="77777777" w:rsidR="00C66565" w:rsidRDefault="00C66565" w:rsidP="00161C22">
      <w:pPr>
        <w:pStyle w:val="FootnoteText"/>
      </w:pPr>
      <w:r>
        <w:rPr>
          <w:rStyle w:val="FootnoteReference"/>
        </w:rPr>
        <w:footnoteRef/>
      </w:r>
      <w:r>
        <w:t xml:space="preserve"> The Treasury (2017), </w:t>
      </w:r>
      <w:r w:rsidRPr="002968F3">
        <w:rPr>
          <w:i/>
        </w:rPr>
        <w:t>Guidelines for Setting Charges in the Public Sector</w:t>
      </w:r>
      <w:r>
        <w:t>.</w:t>
      </w:r>
    </w:p>
  </w:footnote>
  <w:footnote w:id="5">
    <w:p w14:paraId="4EBFC9D8" w14:textId="77777777" w:rsidR="00C66565" w:rsidRDefault="00C66565" w:rsidP="00161C22">
      <w:pPr>
        <w:pStyle w:val="FootnoteText"/>
      </w:pPr>
      <w:r>
        <w:rPr>
          <w:rStyle w:val="FootnoteReference"/>
        </w:rPr>
        <w:footnoteRef/>
      </w:r>
      <w:r>
        <w:t xml:space="preserve"> Office of the Controller and Auditor-General (2008), </w:t>
      </w:r>
      <w:r w:rsidRPr="002968F3">
        <w:rPr>
          <w:i/>
        </w:rPr>
        <w:t xml:space="preserve">Charging </w:t>
      </w:r>
      <w:r>
        <w:rPr>
          <w:i/>
        </w:rPr>
        <w:t>F</w:t>
      </w:r>
      <w:r w:rsidRPr="002968F3">
        <w:rPr>
          <w:i/>
        </w:rPr>
        <w:t xml:space="preserve">ees for </w:t>
      </w:r>
      <w:r>
        <w:rPr>
          <w:i/>
        </w:rPr>
        <w:t>P</w:t>
      </w:r>
      <w:r w:rsidRPr="002968F3">
        <w:rPr>
          <w:i/>
        </w:rPr>
        <w:t xml:space="preserve">ublic </w:t>
      </w:r>
      <w:r>
        <w:rPr>
          <w:i/>
        </w:rPr>
        <w:t>S</w:t>
      </w:r>
      <w:r w:rsidRPr="002968F3">
        <w:rPr>
          <w:i/>
        </w:rPr>
        <w:t xml:space="preserve">ector </w:t>
      </w:r>
      <w:r>
        <w:rPr>
          <w:i/>
        </w:rPr>
        <w:t>G</w:t>
      </w:r>
      <w:r w:rsidRPr="002968F3">
        <w:rPr>
          <w:i/>
        </w:rPr>
        <w:t xml:space="preserve">oods and </w:t>
      </w:r>
      <w:r>
        <w:rPr>
          <w:i/>
        </w:rPr>
        <w:t>S</w:t>
      </w:r>
      <w:r w:rsidRPr="002968F3">
        <w:rPr>
          <w:i/>
        </w:rPr>
        <w:t>ervices</w:t>
      </w:r>
      <w:r>
        <w:t>.</w:t>
      </w:r>
    </w:p>
  </w:footnote>
  <w:footnote w:id="6">
    <w:p w14:paraId="2CB1C41F" w14:textId="5BFBB8FD" w:rsidR="00C66565" w:rsidRDefault="00C66565">
      <w:pPr>
        <w:pStyle w:val="FootnoteText"/>
      </w:pPr>
      <w:r>
        <w:rPr>
          <w:rStyle w:val="FootnoteReference"/>
        </w:rPr>
        <w:footnoteRef/>
      </w:r>
      <w:r>
        <w:t xml:space="preserve"> </w:t>
      </w:r>
      <w:hyperlink r:id="rId1" w:history="1">
        <w:r w:rsidRPr="00AE47D3">
          <w:rPr>
            <w:rStyle w:val="Hyperlink"/>
          </w:rPr>
          <w:t>https://www.medsafe.govt.nz/regulatory/Performance.asp</w:t>
        </w:r>
      </w:hyperlink>
      <w:r>
        <w:t xml:space="preserve">; </w:t>
      </w:r>
      <w:hyperlink r:id="rId2" w:history="1">
        <w:r w:rsidRPr="00AE47D3">
          <w:rPr>
            <w:rStyle w:val="Hyperlink"/>
          </w:rPr>
          <w:t>https://www.medsafe.govt.nz/medicines/regulatory-timelines.asp</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19A5" w14:textId="77777777" w:rsidR="00C66565" w:rsidRDefault="00C66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26680" w14:textId="77777777" w:rsidR="00C66565" w:rsidRDefault="00C66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5E39F" w14:textId="77777777" w:rsidR="00C66565" w:rsidRDefault="00C665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3EF78A"/>
    <w:lvl w:ilvl="0">
      <w:numFmt w:val="bullet"/>
      <w:lvlText w:val="*"/>
      <w:lvlJc w:val="left"/>
      <w:pPr>
        <w:ind w:left="0" w:firstLine="0"/>
      </w:pPr>
    </w:lvl>
  </w:abstractNum>
  <w:abstractNum w:abstractNumId="1" w15:restartNumberingAfterBreak="0">
    <w:nsid w:val="00672317"/>
    <w:multiLevelType w:val="hybridMultilevel"/>
    <w:tmpl w:val="B7B05C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1A6628D"/>
    <w:multiLevelType w:val="hybridMultilevel"/>
    <w:tmpl w:val="F81E58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40E380A"/>
    <w:multiLevelType w:val="hybridMultilevel"/>
    <w:tmpl w:val="328691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 w15:restartNumberingAfterBreak="0">
    <w:nsid w:val="0455681C"/>
    <w:multiLevelType w:val="hybridMultilevel"/>
    <w:tmpl w:val="6B504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58F6DA3"/>
    <w:multiLevelType w:val="hybridMultilevel"/>
    <w:tmpl w:val="B8EE21B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2E0933"/>
    <w:multiLevelType w:val="hybridMultilevel"/>
    <w:tmpl w:val="0F36D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8A0039"/>
    <w:multiLevelType w:val="hybridMultilevel"/>
    <w:tmpl w:val="939EBF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B027F11"/>
    <w:multiLevelType w:val="hybridMultilevel"/>
    <w:tmpl w:val="2CC4D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BE264EE"/>
    <w:multiLevelType w:val="hybridMultilevel"/>
    <w:tmpl w:val="96941D9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E2C42A3"/>
    <w:multiLevelType w:val="hybridMultilevel"/>
    <w:tmpl w:val="3DD69E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317D26"/>
    <w:multiLevelType w:val="hybridMultilevel"/>
    <w:tmpl w:val="A5C035E0"/>
    <w:lvl w:ilvl="0" w:tplc="24DC8C84">
      <w:start w:val="1"/>
      <w:numFmt w:val="bullet"/>
      <w:pStyle w:val="Bulletlistlevel2"/>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27634C26"/>
    <w:multiLevelType w:val="hybridMultilevel"/>
    <w:tmpl w:val="C3D0BBEA"/>
    <w:lvl w:ilvl="0" w:tplc="92D21C92">
      <w:numFmt w:val="bullet"/>
      <w:lvlText w:val="-"/>
      <w:lvlJc w:val="left"/>
      <w:pPr>
        <w:ind w:left="420" w:hanging="360"/>
      </w:pPr>
      <w:rPr>
        <w:rFonts w:ascii="Calibri" w:eastAsiaTheme="minorHAnsi" w:hAnsi="Calibri" w:cs="Calibri" w:hint="default"/>
        <w:sz w:val="32"/>
        <w:szCs w:val="32"/>
      </w:rPr>
    </w:lvl>
    <w:lvl w:ilvl="1" w:tplc="14090003">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3" w15:restartNumberingAfterBreak="0">
    <w:nsid w:val="27EF3C80"/>
    <w:multiLevelType w:val="hybridMultilevel"/>
    <w:tmpl w:val="2062BB1A"/>
    <w:lvl w:ilvl="0" w:tplc="B7802468">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8F86862"/>
    <w:multiLevelType w:val="hybridMultilevel"/>
    <w:tmpl w:val="7B6EA8C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0B55ED8"/>
    <w:multiLevelType w:val="hybridMultilevel"/>
    <w:tmpl w:val="BF803BB4"/>
    <w:lvl w:ilvl="0" w:tplc="24DC8C84">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36D41249"/>
    <w:multiLevelType w:val="hybridMultilevel"/>
    <w:tmpl w:val="50F06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8DE5A8D"/>
    <w:multiLevelType w:val="hybridMultilevel"/>
    <w:tmpl w:val="FC8E92DA"/>
    <w:lvl w:ilvl="0" w:tplc="7FB47E4E">
      <w:start w:val="1"/>
      <w:numFmt w:val="decimal"/>
      <w:pStyle w:val="Bullet-list"/>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15:restartNumberingAfterBreak="0">
    <w:nsid w:val="39AF3331"/>
    <w:multiLevelType w:val="hybridMultilevel"/>
    <w:tmpl w:val="969A06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BD801F9"/>
    <w:multiLevelType w:val="hybridMultilevel"/>
    <w:tmpl w:val="A1A4B25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3C8507C6"/>
    <w:multiLevelType w:val="hybridMultilevel"/>
    <w:tmpl w:val="B7326D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D911162"/>
    <w:multiLevelType w:val="hybridMultilevel"/>
    <w:tmpl w:val="33A6AE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E521F9E"/>
    <w:multiLevelType w:val="hybridMultilevel"/>
    <w:tmpl w:val="7D3A899E"/>
    <w:lvl w:ilvl="0" w:tplc="14090001">
      <w:start w:val="1"/>
      <w:numFmt w:val="bullet"/>
      <w:lvlText w:val=""/>
      <w:lvlJc w:val="left"/>
      <w:pPr>
        <w:ind w:left="720" w:hanging="360"/>
      </w:pPr>
      <w:rPr>
        <w:rFonts w:ascii="Symbol" w:hAnsi="Symbol" w:hint="default"/>
      </w:rPr>
    </w:lvl>
    <w:lvl w:ilvl="1" w:tplc="FA1A765E">
      <w:numFmt w:val="bullet"/>
      <w:lvlText w:val="•"/>
      <w:lvlJc w:val="left"/>
      <w:pPr>
        <w:ind w:left="1440" w:hanging="360"/>
      </w:pPr>
      <w:rPr>
        <w:rFonts w:ascii="Arial" w:eastAsiaTheme="minorHAnsi" w:hAnsi="Arial" w:cs="Arial"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2643391"/>
    <w:multiLevelType w:val="hybridMultilevel"/>
    <w:tmpl w:val="FAFA16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4EA0197"/>
    <w:multiLevelType w:val="hybridMultilevel"/>
    <w:tmpl w:val="543846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93D677C"/>
    <w:multiLevelType w:val="multilevel"/>
    <w:tmpl w:val="2FBCC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9A879AB"/>
    <w:multiLevelType w:val="hybridMultilevel"/>
    <w:tmpl w:val="AA842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4C8D099C"/>
    <w:multiLevelType w:val="hybridMultilevel"/>
    <w:tmpl w:val="C75A51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1142E20"/>
    <w:multiLevelType w:val="hybridMultilevel"/>
    <w:tmpl w:val="682866A0"/>
    <w:lvl w:ilvl="0" w:tplc="322C521C">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543D0003"/>
    <w:multiLevelType w:val="hybridMultilevel"/>
    <w:tmpl w:val="1D2ED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6DA2669"/>
    <w:multiLevelType w:val="hybridMultilevel"/>
    <w:tmpl w:val="0FEC29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117059F"/>
    <w:multiLevelType w:val="hybridMultilevel"/>
    <w:tmpl w:val="91A044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2757FAB"/>
    <w:multiLevelType w:val="hybridMultilevel"/>
    <w:tmpl w:val="3A24C8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5D1469B"/>
    <w:multiLevelType w:val="hybridMultilevel"/>
    <w:tmpl w:val="6526D73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4" w15:restartNumberingAfterBreak="0">
    <w:nsid w:val="75FF064A"/>
    <w:multiLevelType w:val="hybridMultilevel"/>
    <w:tmpl w:val="F55A14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767657ED"/>
    <w:multiLevelType w:val="hybridMultilevel"/>
    <w:tmpl w:val="B79434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86937D8"/>
    <w:multiLevelType w:val="hybridMultilevel"/>
    <w:tmpl w:val="437433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E310082"/>
    <w:multiLevelType w:val="hybridMultilevel"/>
    <w:tmpl w:val="71C29A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EA5441A"/>
    <w:multiLevelType w:val="hybridMultilevel"/>
    <w:tmpl w:val="D90E94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1"/>
  </w:num>
  <w:num w:numId="2">
    <w:abstractNumId w:val="31"/>
  </w:num>
  <w:num w:numId="3">
    <w:abstractNumId w:val="38"/>
  </w:num>
  <w:num w:numId="4">
    <w:abstractNumId w:val="9"/>
  </w:num>
  <w:num w:numId="5">
    <w:abstractNumId w:val="33"/>
  </w:num>
  <w:num w:numId="6">
    <w:abstractNumId w:val="7"/>
  </w:num>
  <w:num w:numId="7">
    <w:abstractNumId w:val="22"/>
  </w:num>
  <w:num w:numId="8">
    <w:abstractNumId w:val="16"/>
  </w:num>
  <w:num w:numId="9">
    <w:abstractNumId w:val="11"/>
  </w:num>
  <w:num w:numId="10">
    <w:abstractNumId w:val="4"/>
  </w:num>
  <w:num w:numId="11">
    <w:abstractNumId w:val="35"/>
  </w:num>
  <w:num w:numId="12">
    <w:abstractNumId w:val="19"/>
  </w:num>
  <w:num w:numId="13">
    <w:abstractNumId w:val="18"/>
  </w:num>
  <w:num w:numId="14">
    <w:abstractNumId w:val="37"/>
  </w:num>
  <w:num w:numId="15">
    <w:abstractNumId w:val="20"/>
  </w:num>
  <w:num w:numId="16">
    <w:abstractNumId w:val="13"/>
  </w:num>
  <w:num w:numId="17">
    <w:abstractNumId w:val="3"/>
  </w:num>
  <w:num w:numId="18">
    <w:abstractNumId w:val="30"/>
  </w:num>
  <w:num w:numId="19">
    <w:abstractNumId w:val="23"/>
  </w:num>
  <w:num w:numId="20">
    <w:abstractNumId w:val="26"/>
  </w:num>
  <w:num w:numId="21">
    <w:abstractNumId w:val="24"/>
  </w:num>
  <w:num w:numId="22">
    <w:abstractNumId w:val="17"/>
  </w:num>
  <w:num w:numId="23">
    <w:abstractNumId w:val="28"/>
  </w:num>
  <w:num w:numId="24">
    <w:abstractNumId w:val="5"/>
  </w:num>
  <w:num w:numId="25">
    <w:abstractNumId w:val="12"/>
  </w:num>
  <w:num w:numId="26">
    <w:abstractNumId w:val="25"/>
  </w:num>
  <w:num w:numId="27">
    <w:abstractNumId w:val="32"/>
  </w:num>
  <w:num w:numId="28">
    <w:abstractNumId w:val="29"/>
  </w:num>
  <w:num w:numId="29">
    <w:abstractNumId w:val="2"/>
  </w:num>
  <w:num w:numId="30">
    <w:abstractNumId w:val="27"/>
  </w:num>
  <w:num w:numId="31">
    <w:abstractNumId w:val="15"/>
  </w:num>
  <w:num w:numId="32">
    <w:abstractNumId w:val="36"/>
  </w:num>
  <w:num w:numId="33">
    <w:abstractNumId w:val="10"/>
  </w:num>
  <w:num w:numId="34">
    <w:abstractNumId w:val="6"/>
  </w:num>
  <w:num w:numId="35">
    <w:abstractNumId w:val="1"/>
  </w:num>
  <w:num w:numId="36">
    <w:abstractNumId w:val="14"/>
  </w:num>
  <w:num w:numId="37">
    <w:abstractNumId w:val="8"/>
  </w:num>
  <w:num w:numId="38">
    <w:abstractNumId w:val="34"/>
  </w:num>
  <w:num w:numId="39">
    <w:abstractNumId w:val="0"/>
    <w:lvlOverride w:ilvl="0">
      <w:lvl w:ilvl="0">
        <w:numFmt w:val="decimal"/>
        <w:lvlText w:val=""/>
        <w:legacy w:legacy="1" w:legacySpace="0" w:legacyIndent="0"/>
        <w:lvlJc w:val="left"/>
        <w:pPr>
          <w:ind w:left="0" w:firstLine="0"/>
        </w:pPr>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C0"/>
    <w:rsid w:val="000002FB"/>
    <w:rsid w:val="00000664"/>
    <w:rsid w:val="00003B4A"/>
    <w:rsid w:val="00010211"/>
    <w:rsid w:val="000122E3"/>
    <w:rsid w:val="00014910"/>
    <w:rsid w:val="00016504"/>
    <w:rsid w:val="00017C9A"/>
    <w:rsid w:val="00022005"/>
    <w:rsid w:val="00025B56"/>
    <w:rsid w:val="00027FBC"/>
    <w:rsid w:val="000324F8"/>
    <w:rsid w:val="00032B37"/>
    <w:rsid w:val="00034AEB"/>
    <w:rsid w:val="00041236"/>
    <w:rsid w:val="00046A10"/>
    <w:rsid w:val="00061A9E"/>
    <w:rsid w:val="00071689"/>
    <w:rsid w:val="00081B54"/>
    <w:rsid w:val="00082CE8"/>
    <w:rsid w:val="000856BB"/>
    <w:rsid w:val="000922D2"/>
    <w:rsid w:val="00093223"/>
    <w:rsid w:val="0009786F"/>
    <w:rsid w:val="000978EF"/>
    <w:rsid w:val="000A2591"/>
    <w:rsid w:val="000A3F43"/>
    <w:rsid w:val="000A58A8"/>
    <w:rsid w:val="000B363E"/>
    <w:rsid w:val="000D723A"/>
    <w:rsid w:val="000F2CDC"/>
    <w:rsid w:val="00100B20"/>
    <w:rsid w:val="00102F60"/>
    <w:rsid w:val="001035A7"/>
    <w:rsid w:val="00107FCC"/>
    <w:rsid w:val="00112521"/>
    <w:rsid w:val="00115652"/>
    <w:rsid w:val="00120C89"/>
    <w:rsid w:val="0013681B"/>
    <w:rsid w:val="00150AC0"/>
    <w:rsid w:val="00160AFB"/>
    <w:rsid w:val="00161A75"/>
    <w:rsid w:val="00161C22"/>
    <w:rsid w:val="00164273"/>
    <w:rsid w:val="00170594"/>
    <w:rsid w:val="0017397D"/>
    <w:rsid w:val="00177474"/>
    <w:rsid w:val="00183772"/>
    <w:rsid w:val="001837B6"/>
    <w:rsid w:val="00193521"/>
    <w:rsid w:val="00193AE5"/>
    <w:rsid w:val="001A6137"/>
    <w:rsid w:val="001B0C56"/>
    <w:rsid w:val="001C5617"/>
    <w:rsid w:val="001E5438"/>
    <w:rsid w:val="001F629E"/>
    <w:rsid w:val="001F6795"/>
    <w:rsid w:val="002005C5"/>
    <w:rsid w:val="002057AF"/>
    <w:rsid w:val="002057C0"/>
    <w:rsid w:val="0021380C"/>
    <w:rsid w:val="0021544E"/>
    <w:rsid w:val="00216A1C"/>
    <w:rsid w:val="00220A69"/>
    <w:rsid w:val="0022156E"/>
    <w:rsid w:val="0022483E"/>
    <w:rsid w:val="002248EF"/>
    <w:rsid w:val="002256D6"/>
    <w:rsid w:val="00225FBE"/>
    <w:rsid w:val="00227CB6"/>
    <w:rsid w:val="00232BDA"/>
    <w:rsid w:val="00237563"/>
    <w:rsid w:val="00240423"/>
    <w:rsid w:val="00240A1A"/>
    <w:rsid w:val="00240F75"/>
    <w:rsid w:val="00244FC3"/>
    <w:rsid w:val="0026086F"/>
    <w:rsid w:val="002621AB"/>
    <w:rsid w:val="00263445"/>
    <w:rsid w:val="00263B75"/>
    <w:rsid w:val="00273B2A"/>
    <w:rsid w:val="00276173"/>
    <w:rsid w:val="00276607"/>
    <w:rsid w:val="00280017"/>
    <w:rsid w:val="00280AE8"/>
    <w:rsid w:val="00282122"/>
    <w:rsid w:val="002A4DB2"/>
    <w:rsid w:val="002B0ABE"/>
    <w:rsid w:val="002B21D9"/>
    <w:rsid w:val="002D2A3E"/>
    <w:rsid w:val="002E126A"/>
    <w:rsid w:val="002E1D20"/>
    <w:rsid w:val="002E351F"/>
    <w:rsid w:val="002E3F56"/>
    <w:rsid w:val="002E7C89"/>
    <w:rsid w:val="00314BF6"/>
    <w:rsid w:val="00317033"/>
    <w:rsid w:val="003203DA"/>
    <w:rsid w:val="003203F6"/>
    <w:rsid w:val="00320DC1"/>
    <w:rsid w:val="0032598B"/>
    <w:rsid w:val="003270C2"/>
    <w:rsid w:val="0032731A"/>
    <w:rsid w:val="00330E66"/>
    <w:rsid w:val="00332047"/>
    <w:rsid w:val="003327C5"/>
    <w:rsid w:val="00336B6D"/>
    <w:rsid w:val="00342734"/>
    <w:rsid w:val="003513DB"/>
    <w:rsid w:val="00357C3A"/>
    <w:rsid w:val="0036176B"/>
    <w:rsid w:val="00364401"/>
    <w:rsid w:val="00370D3E"/>
    <w:rsid w:val="003841D5"/>
    <w:rsid w:val="0039268E"/>
    <w:rsid w:val="00397920"/>
    <w:rsid w:val="003A68C8"/>
    <w:rsid w:val="003B494E"/>
    <w:rsid w:val="003B5839"/>
    <w:rsid w:val="003C454B"/>
    <w:rsid w:val="003C4AB7"/>
    <w:rsid w:val="003C50EC"/>
    <w:rsid w:val="003D0EF2"/>
    <w:rsid w:val="003E25A6"/>
    <w:rsid w:val="003E2E09"/>
    <w:rsid w:val="003E3D40"/>
    <w:rsid w:val="003E3E16"/>
    <w:rsid w:val="003F53B2"/>
    <w:rsid w:val="004073A5"/>
    <w:rsid w:val="00407C7D"/>
    <w:rsid w:val="004120A7"/>
    <w:rsid w:val="00412155"/>
    <w:rsid w:val="004454E1"/>
    <w:rsid w:val="004457AB"/>
    <w:rsid w:val="004514BD"/>
    <w:rsid w:val="00452B4D"/>
    <w:rsid w:val="00455BB2"/>
    <w:rsid w:val="00455BF9"/>
    <w:rsid w:val="004604A0"/>
    <w:rsid w:val="004649B3"/>
    <w:rsid w:val="00467FD1"/>
    <w:rsid w:val="004839DF"/>
    <w:rsid w:val="00485B75"/>
    <w:rsid w:val="0048631C"/>
    <w:rsid w:val="0049235E"/>
    <w:rsid w:val="00496733"/>
    <w:rsid w:val="004A03B8"/>
    <w:rsid w:val="004A1183"/>
    <w:rsid w:val="004A1BBD"/>
    <w:rsid w:val="004A1F17"/>
    <w:rsid w:val="004A6F85"/>
    <w:rsid w:val="004B71C0"/>
    <w:rsid w:val="004C13B6"/>
    <w:rsid w:val="004D4F01"/>
    <w:rsid w:val="004D741E"/>
    <w:rsid w:val="004E16C3"/>
    <w:rsid w:val="004F1FE9"/>
    <w:rsid w:val="004F45CA"/>
    <w:rsid w:val="0050396B"/>
    <w:rsid w:val="00503BFE"/>
    <w:rsid w:val="005047C4"/>
    <w:rsid w:val="00512C7F"/>
    <w:rsid w:val="00523D7A"/>
    <w:rsid w:val="00527142"/>
    <w:rsid w:val="00530CD1"/>
    <w:rsid w:val="005401DD"/>
    <w:rsid w:val="0054072E"/>
    <w:rsid w:val="00540960"/>
    <w:rsid w:val="005435E0"/>
    <w:rsid w:val="00545052"/>
    <w:rsid w:val="00557E43"/>
    <w:rsid w:val="00564443"/>
    <w:rsid w:val="0056447C"/>
    <w:rsid w:val="005644B7"/>
    <w:rsid w:val="0056663C"/>
    <w:rsid w:val="00584F92"/>
    <w:rsid w:val="00587F1D"/>
    <w:rsid w:val="0059180B"/>
    <w:rsid w:val="00591917"/>
    <w:rsid w:val="00594C9F"/>
    <w:rsid w:val="005A2DC6"/>
    <w:rsid w:val="005A459E"/>
    <w:rsid w:val="005B5CB2"/>
    <w:rsid w:val="005B6ED2"/>
    <w:rsid w:val="005B70D1"/>
    <w:rsid w:val="005D1B1E"/>
    <w:rsid w:val="005D655F"/>
    <w:rsid w:val="005F02FE"/>
    <w:rsid w:val="005F4212"/>
    <w:rsid w:val="006071AB"/>
    <w:rsid w:val="00616049"/>
    <w:rsid w:val="00622507"/>
    <w:rsid w:val="00624886"/>
    <w:rsid w:val="006427EC"/>
    <w:rsid w:val="00646EC9"/>
    <w:rsid w:val="00647D8B"/>
    <w:rsid w:val="006549CE"/>
    <w:rsid w:val="00673689"/>
    <w:rsid w:val="00676EB3"/>
    <w:rsid w:val="006817C8"/>
    <w:rsid w:val="00683040"/>
    <w:rsid w:val="00684088"/>
    <w:rsid w:val="006854BB"/>
    <w:rsid w:val="006924CA"/>
    <w:rsid w:val="006A2310"/>
    <w:rsid w:val="006B06E3"/>
    <w:rsid w:val="006B6072"/>
    <w:rsid w:val="006B7A8A"/>
    <w:rsid w:val="006C4095"/>
    <w:rsid w:val="006D5DE4"/>
    <w:rsid w:val="006E17DF"/>
    <w:rsid w:val="006F699F"/>
    <w:rsid w:val="006F7AA9"/>
    <w:rsid w:val="0070297A"/>
    <w:rsid w:val="007057B6"/>
    <w:rsid w:val="00705A39"/>
    <w:rsid w:val="00712FAA"/>
    <w:rsid w:val="00715B7D"/>
    <w:rsid w:val="0071757F"/>
    <w:rsid w:val="00717A47"/>
    <w:rsid w:val="00722781"/>
    <w:rsid w:val="007249C1"/>
    <w:rsid w:val="00736114"/>
    <w:rsid w:val="00736735"/>
    <w:rsid w:val="00736A1E"/>
    <w:rsid w:val="0073700C"/>
    <w:rsid w:val="00737F56"/>
    <w:rsid w:val="00740555"/>
    <w:rsid w:val="00752448"/>
    <w:rsid w:val="00752E55"/>
    <w:rsid w:val="00756F0C"/>
    <w:rsid w:val="0076747C"/>
    <w:rsid w:val="00767A27"/>
    <w:rsid w:val="007762A0"/>
    <w:rsid w:val="00777B67"/>
    <w:rsid w:val="00781090"/>
    <w:rsid w:val="007824E5"/>
    <w:rsid w:val="0079082B"/>
    <w:rsid w:val="00791212"/>
    <w:rsid w:val="00791533"/>
    <w:rsid w:val="00792712"/>
    <w:rsid w:val="007A2E8D"/>
    <w:rsid w:val="007A7C4A"/>
    <w:rsid w:val="007B1977"/>
    <w:rsid w:val="007C146E"/>
    <w:rsid w:val="007D3430"/>
    <w:rsid w:val="007D53CE"/>
    <w:rsid w:val="007E12DD"/>
    <w:rsid w:val="007E284C"/>
    <w:rsid w:val="007E4168"/>
    <w:rsid w:val="007E5625"/>
    <w:rsid w:val="007E7D96"/>
    <w:rsid w:val="00800074"/>
    <w:rsid w:val="00801F04"/>
    <w:rsid w:val="00802BDB"/>
    <w:rsid w:val="00830664"/>
    <w:rsid w:val="00842206"/>
    <w:rsid w:val="00844E87"/>
    <w:rsid w:val="008508A6"/>
    <w:rsid w:val="00856F22"/>
    <w:rsid w:val="00857BBB"/>
    <w:rsid w:val="0086568F"/>
    <w:rsid w:val="00866A26"/>
    <w:rsid w:val="00873DE4"/>
    <w:rsid w:val="00874D9A"/>
    <w:rsid w:val="008846A3"/>
    <w:rsid w:val="008851E7"/>
    <w:rsid w:val="00886A47"/>
    <w:rsid w:val="00897363"/>
    <w:rsid w:val="008A446B"/>
    <w:rsid w:val="008B03B6"/>
    <w:rsid w:val="008C0A62"/>
    <w:rsid w:val="008D16EE"/>
    <w:rsid w:val="008D4A5C"/>
    <w:rsid w:val="008D7DF9"/>
    <w:rsid w:val="008E0655"/>
    <w:rsid w:val="008E3D09"/>
    <w:rsid w:val="008F0A57"/>
    <w:rsid w:val="008F5185"/>
    <w:rsid w:val="008F6FAE"/>
    <w:rsid w:val="00900C1B"/>
    <w:rsid w:val="00901518"/>
    <w:rsid w:val="00907A5B"/>
    <w:rsid w:val="00915A3C"/>
    <w:rsid w:val="009228DB"/>
    <w:rsid w:val="00933EF6"/>
    <w:rsid w:val="00935BED"/>
    <w:rsid w:val="00940A7B"/>
    <w:rsid w:val="00947049"/>
    <w:rsid w:val="00947429"/>
    <w:rsid w:val="009523B6"/>
    <w:rsid w:val="00961312"/>
    <w:rsid w:val="0096430F"/>
    <w:rsid w:val="009717E2"/>
    <w:rsid w:val="00977D26"/>
    <w:rsid w:val="009915DC"/>
    <w:rsid w:val="0099769D"/>
    <w:rsid w:val="009A1E36"/>
    <w:rsid w:val="009A4137"/>
    <w:rsid w:val="009A49BE"/>
    <w:rsid w:val="009A4DAA"/>
    <w:rsid w:val="009B2134"/>
    <w:rsid w:val="009B2D9C"/>
    <w:rsid w:val="009B6045"/>
    <w:rsid w:val="009C26E6"/>
    <w:rsid w:val="009C6097"/>
    <w:rsid w:val="009D3DBA"/>
    <w:rsid w:val="009E09C3"/>
    <w:rsid w:val="009E5BC0"/>
    <w:rsid w:val="009E674E"/>
    <w:rsid w:val="009E736B"/>
    <w:rsid w:val="009E7805"/>
    <w:rsid w:val="009E7B31"/>
    <w:rsid w:val="009F0400"/>
    <w:rsid w:val="00A060CC"/>
    <w:rsid w:val="00A067CA"/>
    <w:rsid w:val="00A11350"/>
    <w:rsid w:val="00A21068"/>
    <w:rsid w:val="00A27664"/>
    <w:rsid w:val="00A30001"/>
    <w:rsid w:val="00A40145"/>
    <w:rsid w:val="00A401DB"/>
    <w:rsid w:val="00A40C5A"/>
    <w:rsid w:val="00A53E43"/>
    <w:rsid w:val="00A62A35"/>
    <w:rsid w:val="00A659A1"/>
    <w:rsid w:val="00A66EA7"/>
    <w:rsid w:val="00A75538"/>
    <w:rsid w:val="00A812D3"/>
    <w:rsid w:val="00A86FFA"/>
    <w:rsid w:val="00A9022A"/>
    <w:rsid w:val="00AA2A03"/>
    <w:rsid w:val="00AA4623"/>
    <w:rsid w:val="00AA5CEB"/>
    <w:rsid w:val="00AB0561"/>
    <w:rsid w:val="00AC1707"/>
    <w:rsid w:val="00AC52FA"/>
    <w:rsid w:val="00AC79D2"/>
    <w:rsid w:val="00AD1C3E"/>
    <w:rsid w:val="00AD225F"/>
    <w:rsid w:val="00AD2276"/>
    <w:rsid w:val="00AD2CA3"/>
    <w:rsid w:val="00AD30F1"/>
    <w:rsid w:val="00AD6F92"/>
    <w:rsid w:val="00AE0106"/>
    <w:rsid w:val="00AE541D"/>
    <w:rsid w:val="00AF27F4"/>
    <w:rsid w:val="00AF65B4"/>
    <w:rsid w:val="00AF6FB9"/>
    <w:rsid w:val="00B07934"/>
    <w:rsid w:val="00B1064A"/>
    <w:rsid w:val="00B11C3A"/>
    <w:rsid w:val="00B36E36"/>
    <w:rsid w:val="00B70B03"/>
    <w:rsid w:val="00B8051E"/>
    <w:rsid w:val="00B93EA9"/>
    <w:rsid w:val="00BA19C1"/>
    <w:rsid w:val="00BA3DD3"/>
    <w:rsid w:val="00BA401B"/>
    <w:rsid w:val="00BA4A86"/>
    <w:rsid w:val="00BA7AAC"/>
    <w:rsid w:val="00BB33C4"/>
    <w:rsid w:val="00BC02A1"/>
    <w:rsid w:val="00BC1565"/>
    <w:rsid w:val="00BC5C6F"/>
    <w:rsid w:val="00BD2420"/>
    <w:rsid w:val="00BE05C2"/>
    <w:rsid w:val="00BE280C"/>
    <w:rsid w:val="00BE3C17"/>
    <w:rsid w:val="00BE4997"/>
    <w:rsid w:val="00BF02D3"/>
    <w:rsid w:val="00BF1DAC"/>
    <w:rsid w:val="00C028D1"/>
    <w:rsid w:val="00C128AC"/>
    <w:rsid w:val="00C4282A"/>
    <w:rsid w:val="00C44DBE"/>
    <w:rsid w:val="00C46A7B"/>
    <w:rsid w:val="00C529C9"/>
    <w:rsid w:val="00C52BDB"/>
    <w:rsid w:val="00C52C03"/>
    <w:rsid w:val="00C5559D"/>
    <w:rsid w:val="00C61A4A"/>
    <w:rsid w:val="00C66565"/>
    <w:rsid w:val="00C71C34"/>
    <w:rsid w:val="00C765DE"/>
    <w:rsid w:val="00C914B6"/>
    <w:rsid w:val="00CA1A9E"/>
    <w:rsid w:val="00CA310A"/>
    <w:rsid w:val="00CA67D7"/>
    <w:rsid w:val="00CB0B60"/>
    <w:rsid w:val="00CB3B3A"/>
    <w:rsid w:val="00CB3C9F"/>
    <w:rsid w:val="00CB5F59"/>
    <w:rsid w:val="00CC3CA9"/>
    <w:rsid w:val="00CD2110"/>
    <w:rsid w:val="00CD7D8A"/>
    <w:rsid w:val="00CF279A"/>
    <w:rsid w:val="00CF5BD9"/>
    <w:rsid w:val="00CF735A"/>
    <w:rsid w:val="00D10D04"/>
    <w:rsid w:val="00D147E6"/>
    <w:rsid w:val="00D20050"/>
    <w:rsid w:val="00D21EC0"/>
    <w:rsid w:val="00D22DED"/>
    <w:rsid w:val="00D24462"/>
    <w:rsid w:val="00D3153E"/>
    <w:rsid w:val="00D3217C"/>
    <w:rsid w:val="00D44A2F"/>
    <w:rsid w:val="00D606E9"/>
    <w:rsid w:val="00D60A91"/>
    <w:rsid w:val="00D61279"/>
    <w:rsid w:val="00D62864"/>
    <w:rsid w:val="00D62E1A"/>
    <w:rsid w:val="00D6309F"/>
    <w:rsid w:val="00D7205C"/>
    <w:rsid w:val="00D75300"/>
    <w:rsid w:val="00D81A50"/>
    <w:rsid w:val="00DA0904"/>
    <w:rsid w:val="00DA43CD"/>
    <w:rsid w:val="00DA5F94"/>
    <w:rsid w:val="00DB043A"/>
    <w:rsid w:val="00DB120C"/>
    <w:rsid w:val="00DB2470"/>
    <w:rsid w:val="00DB4AE4"/>
    <w:rsid w:val="00DB4D6C"/>
    <w:rsid w:val="00DC1412"/>
    <w:rsid w:val="00DC316F"/>
    <w:rsid w:val="00DD028C"/>
    <w:rsid w:val="00DD0AA3"/>
    <w:rsid w:val="00DD4842"/>
    <w:rsid w:val="00DD6A4E"/>
    <w:rsid w:val="00DD7469"/>
    <w:rsid w:val="00DE2EA6"/>
    <w:rsid w:val="00DE3D96"/>
    <w:rsid w:val="00DF0BF6"/>
    <w:rsid w:val="00DF2B4A"/>
    <w:rsid w:val="00DF35A8"/>
    <w:rsid w:val="00DF76E7"/>
    <w:rsid w:val="00E02458"/>
    <w:rsid w:val="00E05FF2"/>
    <w:rsid w:val="00E13427"/>
    <w:rsid w:val="00E17CA0"/>
    <w:rsid w:val="00E205D6"/>
    <w:rsid w:val="00E21620"/>
    <w:rsid w:val="00E23342"/>
    <w:rsid w:val="00E244C1"/>
    <w:rsid w:val="00E27FE0"/>
    <w:rsid w:val="00E31298"/>
    <w:rsid w:val="00E4676B"/>
    <w:rsid w:val="00E50D7F"/>
    <w:rsid w:val="00E53DDB"/>
    <w:rsid w:val="00E60DDA"/>
    <w:rsid w:val="00E72C3C"/>
    <w:rsid w:val="00E80103"/>
    <w:rsid w:val="00E921BA"/>
    <w:rsid w:val="00E95794"/>
    <w:rsid w:val="00E975DA"/>
    <w:rsid w:val="00EA644C"/>
    <w:rsid w:val="00EB486F"/>
    <w:rsid w:val="00EB5A9F"/>
    <w:rsid w:val="00EB64A6"/>
    <w:rsid w:val="00EB6733"/>
    <w:rsid w:val="00EC0BB3"/>
    <w:rsid w:val="00EC0E34"/>
    <w:rsid w:val="00EC159B"/>
    <w:rsid w:val="00EC2FFC"/>
    <w:rsid w:val="00EC34FD"/>
    <w:rsid w:val="00EC7010"/>
    <w:rsid w:val="00EC762B"/>
    <w:rsid w:val="00ED306C"/>
    <w:rsid w:val="00EE5763"/>
    <w:rsid w:val="00EF0CF5"/>
    <w:rsid w:val="00EF3B23"/>
    <w:rsid w:val="00EF3E08"/>
    <w:rsid w:val="00EF4ABF"/>
    <w:rsid w:val="00EF59B3"/>
    <w:rsid w:val="00EF6E3B"/>
    <w:rsid w:val="00F01829"/>
    <w:rsid w:val="00F03A9C"/>
    <w:rsid w:val="00F04593"/>
    <w:rsid w:val="00F05246"/>
    <w:rsid w:val="00F10BD4"/>
    <w:rsid w:val="00F11114"/>
    <w:rsid w:val="00F15221"/>
    <w:rsid w:val="00F15393"/>
    <w:rsid w:val="00F1713E"/>
    <w:rsid w:val="00F230BF"/>
    <w:rsid w:val="00F24056"/>
    <w:rsid w:val="00F35753"/>
    <w:rsid w:val="00F43090"/>
    <w:rsid w:val="00F45D70"/>
    <w:rsid w:val="00F538E0"/>
    <w:rsid w:val="00F53C2A"/>
    <w:rsid w:val="00F5487C"/>
    <w:rsid w:val="00F65A3A"/>
    <w:rsid w:val="00F65C3E"/>
    <w:rsid w:val="00F75AFE"/>
    <w:rsid w:val="00F76920"/>
    <w:rsid w:val="00F820F6"/>
    <w:rsid w:val="00F86AC0"/>
    <w:rsid w:val="00F90168"/>
    <w:rsid w:val="00F91BDB"/>
    <w:rsid w:val="00F97706"/>
    <w:rsid w:val="00FA4B05"/>
    <w:rsid w:val="00FA706E"/>
    <w:rsid w:val="00FC2234"/>
    <w:rsid w:val="00FD5811"/>
    <w:rsid w:val="00FD709A"/>
    <w:rsid w:val="00FD73FD"/>
    <w:rsid w:val="00FE187B"/>
    <w:rsid w:val="00FE20C9"/>
    <w:rsid w:val="00FF76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491D4D"/>
  <w15:chartTrackingRefBased/>
  <w15:docId w15:val="{FDE363A5-73C0-4365-BA94-F12FB8571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168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EC762B"/>
    <w:pPr>
      <w:keepNext/>
      <w:keepLines/>
      <w:spacing w:before="40" w:after="0" w:line="240" w:lineRule="auto"/>
      <w:outlineLvl w:val="4"/>
    </w:pPr>
    <w:rPr>
      <w:rFonts w:asciiTheme="majorHAnsi" w:eastAsiaTheme="majorEastAsia" w:hAnsiTheme="majorHAnsi" w:cstheme="majorBidi"/>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3B2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E3D96"/>
    <w:rPr>
      <w:sz w:val="16"/>
      <w:szCs w:val="16"/>
    </w:rPr>
  </w:style>
  <w:style w:type="paragraph" w:styleId="CommentText">
    <w:name w:val="annotation text"/>
    <w:basedOn w:val="Normal"/>
    <w:link w:val="CommentTextChar"/>
    <w:semiHidden/>
    <w:unhideWhenUsed/>
    <w:rsid w:val="00DE3D96"/>
    <w:pPr>
      <w:spacing w:line="240" w:lineRule="auto"/>
    </w:pPr>
    <w:rPr>
      <w:sz w:val="20"/>
      <w:szCs w:val="20"/>
    </w:rPr>
  </w:style>
  <w:style w:type="character" w:customStyle="1" w:styleId="CommentTextChar">
    <w:name w:val="Comment Text Char"/>
    <w:basedOn w:val="DefaultParagraphFont"/>
    <w:link w:val="CommentText"/>
    <w:semiHidden/>
    <w:rsid w:val="00DE3D96"/>
    <w:rPr>
      <w:sz w:val="20"/>
      <w:szCs w:val="20"/>
    </w:rPr>
  </w:style>
  <w:style w:type="paragraph" w:styleId="CommentSubject">
    <w:name w:val="annotation subject"/>
    <w:basedOn w:val="CommentText"/>
    <w:next w:val="CommentText"/>
    <w:link w:val="CommentSubjectChar"/>
    <w:uiPriority w:val="99"/>
    <w:semiHidden/>
    <w:unhideWhenUsed/>
    <w:rsid w:val="00DE3D96"/>
    <w:rPr>
      <w:b/>
      <w:bCs/>
    </w:rPr>
  </w:style>
  <w:style w:type="character" w:customStyle="1" w:styleId="CommentSubjectChar">
    <w:name w:val="Comment Subject Char"/>
    <w:basedOn w:val="CommentTextChar"/>
    <w:link w:val="CommentSubject"/>
    <w:uiPriority w:val="99"/>
    <w:semiHidden/>
    <w:rsid w:val="00DE3D96"/>
    <w:rPr>
      <w:b/>
      <w:bCs/>
      <w:sz w:val="20"/>
      <w:szCs w:val="20"/>
    </w:rPr>
  </w:style>
  <w:style w:type="paragraph" w:styleId="BalloonText">
    <w:name w:val="Balloon Text"/>
    <w:basedOn w:val="Normal"/>
    <w:link w:val="BalloonTextChar"/>
    <w:uiPriority w:val="99"/>
    <w:semiHidden/>
    <w:unhideWhenUsed/>
    <w:rsid w:val="00DE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D96"/>
    <w:rPr>
      <w:rFonts w:ascii="Segoe UI" w:hAnsi="Segoe UI" w:cs="Segoe UI"/>
      <w:sz w:val="18"/>
      <w:szCs w:val="18"/>
    </w:rPr>
  </w:style>
  <w:style w:type="character" w:customStyle="1" w:styleId="Heading5Char">
    <w:name w:val="Heading 5 Char"/>
    <w:basedOn w:val="DefaultParagraphFont"/>
    <w:link w:val="Heading5"/>
    <w:uiPriority w:val="9"/>
    <w:semiHidden/>
    <w:rsid w:val="00EC762B"/>
    <w:rPr>
      <w:rFonts w:asciiTheme="majorHAnsi" w:eastAsiaTheme="majorEastAsia" w:hAnsiTheme="majorHAnsi" w:cstheme="majorBidi"/>
      <w:color w:val="2F5496" w:themeColor="accent1" w:themeShade="BF"/>
      <w:szCs w:val="24"/>
    </w:rPr>
  </w:style>
  <w:style w:type="paragraph" w:styleId="ListParagraph">
    <w:name w:val="List Paragraph"/>
    <w:basedOn w:val="Normal"/>
    <w:link w:val="ListParagraphChar"/>
    <w:uiPriority w:val="34"/>
    <w:qFormat/>
    <w:rsid w:val="00EC762B"/>
    <w:pPr>
      <w:ind w:left="720"/>
      <w:contextualSpacing/>
    </w:pPr>
  </w:style>
  <w:style w:type="character" w:styleId="Strong">
    <w:name w:val="Strong"/>
    <w:basedOn w:val="DefaultParagraphFont"/>
    <w:uiPriority w:val="22"/>
    <w:qFormat/>
    <w:rsid w:val="00EC762B"/>
    <w:rPr>
      <w:b/>
      <w:bCs/>
    </w:rPr>
  </w:style>
  <w:style w:type="character" w:styleId="Emphasis">
    <w:name w:val="Emphasis"/>
    <w:basedOn w:val="DefaultParagraphFont"/>
    <w:uiPriority w:val="20"/>
    <w:qFormat/>
    <w:rsid w:val="00EC762B"/>
    <w:rPr>
      <w:i/>
      <w:iCs/>
    </w:rPr>
  </w:style>
  <w:style w:type="paragraph" w:customStyle="1" w:styleId="TemplateNormalBody">
    <w:name w:val="Template Normal Body"/>
    <w:basedOn w:val="BodyText"/>
    <w:link w:val="TemplateNormalBodyChar"/>
    <w:qFormat/>
    <w:rsid w:val="006B6072"/>
    <w:pPr>
      <w:spacing w:before="60" w:line="240" w:lineRule="auto"/>
    </w:pPr>
    <w:rPr>
      <w:rFonts w:ascii="Arial" w:eastAsia="Times New Roman" w:hAnsi="Arial" w:cs="Times New Roman"/>
      <w:color w:val="0D0D0D" w:themeColor="text1" w:themeTint="F2"/>
      <w:szCs w:val="24"/>
      <w:lang w:val="en-GB" w:eastAsia="en-GB"/>
    </w:rPr>
  </w:style>
  <w:style w:type="character" w:customStyle="1" w:styleId="TemplateNormalBodyChar">
    <w:name w:val="Template Normal Body Char"/>
    <w:basedOn w:val="BodyTextChar"/>
    <w:link w:val="TemplateNormalBody"/>
    <w:rsid w:val="006B6072"/>
    <w:rPr>
      <w:rFonts w:ascii="Arial" w:eastAsia="Times New Roman" w:hAnsi="Arial" w:cs="Times New Roman"/>
      <w:color w:val="0D0D0D" w:themeColor="text1" w:themeTint="F2"/>
      <w:szCs w:val="24"/>
      <w:lang w:val="en-GB" w:eastAsia="en-GB"/>
    </w:rPr>
  </w:style>
  <w:style w:type="paragraph" w:styleId="BodyText">
    <w:name w:val="Body Text"/>
    <w:basedOn w:val="Normal"/>
    <w:link w:val="BodyTextChar"/>
    <w:uiPriority w:val="99"/>
    <w:semiHidden/>
    <w:unhideWhenUsed/>
    <w:rsid w:val="006B6072"/>
    <w:pPr>
      <w:spacing w:after="120"/>
    </w:pPr>
  </w:style>
  <w:style w:type="character" w:customStyle="1" w:styleId="BodyTextChar">
    <w:name w:val="Body Text Char"/>
    <w:basedOn w:val="DefaultParagraphFont"/>
    <w:link w:val="BodyText"/>
    <w:uiPriority w:val="99"/>
    <w:semiHidden/>
    <w:rsid w:val="006B6072"/>
  </w:style>
  <w:style w:type="paragraph" w:styleId="FootnoteText">
    <w:name w:val="footnote text"/>
    <w:basedOn w:val="Normal"/>
    <w:link w:val="FootnoteTextChar"/>
    <w:uiPriority w:val="99"/>
    <w:unhideWhenUsed/>
    <w:rsid w:val="00EC159B"/>
    <w:pPr>
      <w:spacing w:after="0" w:line="240" w:lineRule="auto"/>
    </w:pPr>
    <w:rPr>
      <w:rFonts w:ascii="Arial" w:eastAsia="Times New Roman" w:hAnsi="Arial" w:cs="Times"/>
      <w:sz w:val="20"/>
      <w:szCs w:val="20"/>
      <w:lang w:eastAsia="en-GB"/>
    </w:rPr>
  </w:style>
  <w:style w:type="character" w:customStyle="1" w:styleId="FootnoteTextChar">
    <w:name w:val="Footnote Text Char"/>
    <w:basedOn w:val="DefaultParagraphFont"/>
    <w:link w:val="FootnoteText"/>
    <w:uiPriority w:val="99"/>
    <w:rsid w:val="00EC159B"/>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EC159B"/>
    <w:rPr>
      <w:vertAlign w:val="superscript"/>
    </w:rPr>
  </w:style>
  <w:style w:type="table" w:styleId="GridTable1Light-Accent1">
    <w:name w:val="Grid Table 1 Light Accent 1"/>
    <w:basedOn w:val="TableNormal"/>
    <w:uiPriority w:val="46"/>
    <w:rsid w:val="00330E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071689"/>
    <w:rPr>
      <w:rFonts w:asciiTheme="majorHAnsi" w:eastAsiaTheme="majorEastAsia" w:hAnsiTheme="majorHAnsi" w:cstheme="majorBidi"/>
      <w:color w:val="2F5496" w:themeColor="accent1" w:themeShade="BF"/>
      <w:sz w:val="32"/>
      <w:szCs w:val="32"/>
    </w:rPr>
  </w:style>
  <w:style w:type="paragraph" w:customStyle="1" w:styleId="BodyText1">
    <w:name w:val="Body Text1"/>
    <w:basedOn w:val="Normal"/>
    <w:qFormat/>
    <w:rsid w:val="00FA4B05"/>
    <w:pPr>
      <w:spacing w:before="120" w:after="120" w:line="240" w:lineRule="auto"/>
    </w:pPr>
    <w:rPr>
      <w:rFonts w:ascii="Segoe UI" w:eastAsia="Times New Roman" w:hAnsi="Segoe UI" w:cs="Times New Roman"/>
      <w:sz w:val="21"/>
      <w:szCs w:val="20"/>
      <w:lang w:eastAsia="en-GB"/>
    </w:rPr>
  </w:style>
  <w:style w:type="character" w:styleId="Hyperlink">
    <w:name w:val="Hyperlink"/>
    <w:basedOn w:val="DefaultParagraphFont"/>
    <w:uiPriority w:val="99"/>
    <w:unhideWhenUsed/>
    <w:rsid w:val="00FA4B05"/>
    <w:rPr>
      <w:color w:val="0563C1" w:themeColor="hyperlink"/>
      <w:u w:val="single"/>
    </w:rPr>
  </w:style>
  <w:style w:type="character" w:customStyle="1" w:styleId="ListParagraphChar">
    <w:name w:val="List Paragraph Char"/>
    <w:basedOn w:val="DefaultParagraphFont"/>
    <w:link w:val="ListParagraph"/>
    <w:uiPriority w:val="34"/>
    <w:rsid w:val="00FA4B05"/>
  </w:style>
  <w:style w:type="character" w:styleId="UnresolvedMention">
    <w:name w:val="Unresolved Mention"/>
    <w:basedOn w:val="DefaultParagraphFont"/>
    <w:uiPriority w:val="99"/>
    <w:semiHidden/>
    <w:unhideWhenUsed/>
    <w:rsid w:val="00FA4B05"/>
    <w:rPr>
      <w:color w:val="605E5C"/>
      <w:shd w:val="clear" w:color="auto" w:fill="E1DFDD"/>
    </w:rPr>
  </w:style>
  <w:style w:type="paragraph" w:customStyle="1" w:styleId="Bullet-list">
    <w:name w:val="Bullet-list"/>
    <w:qFormat/>
    <w:rsid w:val="00016504"/>
    <w:pPr>
      <w:numPr>
        <w:numId w:val="22"/>
      </w:numPr>
      <w:spacing w:after="180" w:line="280" w:lineRule="exact"/>
    </w:pPr>
    <w:rPr>
      <w:rFonts w:ascii="Arial" w:eastAsia="Times New Roman" w:hAnsi="Arial" w:cs="Times New Roman"/>
      <w:szCs w:val="20"/>
      <w:lang w:val="en-AU"/>
    </w:rPr>
  </w:style>
  <w:style w:type="paragraph" w:customStyle="1" w:styleId="Bulletlistlevel2">
    <w:name w:val="Bullet list level 2"/>
    <w:basedOn w:val="Default"/>
    <w:qFormat/>
    <w:rsid w:val="00017C9A"/>
    <w:pPr>
      <w:numPr>
        <w:numId w:val="9"/>
      </w:numPr>
      <w:spacing w:before="120"/>
      <w:ind w:left="714" w:hanging="357"/>
    </w:pPr>
    <w:rPr>
      <w:rFonts w:asciiTheme="minorHAnsi" w:hAnsiTheme="minorHAnsi" w:cstheme="minorHAnsi"/>
    </w:rPr>
  </w:style>
  <w:style w:type="paragraph" w:customStyle="1" w:styleId="Paragraph">
    <w:name w:val="Paragraph"/>
    <w:basedOn w:val="Normal"/>
    <w:link w:val="ParagraphChar"/>
    <w:qFormat/>
    <w:rsid w:val="007D53CE"/>
    <w:pPr>
      <w:spacing w:after="120" w:line="240" w:lineRule="auto"/>
    </w:pPr>
    <w:rPr>
      <w:rFonts w:ascii="Arial" w:eastAsia="Times New Roman" w:hAnsi="Arial" w:cs="Arial"/>
      <w:lang w:eastAsia="en-GB"/>
    </w:rPr>
  </w:style>
  <w:style w:type="paragraph" w:customStyle="1" w:styleId="Heading">
    <w:name w:val="Heading"/>
    <w:basedOn w:val="Paragraph"/>
    <w:link w:val="HeadingChar"/>
    <w:qFormat/>
    <w:rsid w:val="007D53CE"/>
    <w:pPr>
      <w:spacing w:before="240"/>
    </w:pPr>
    <w:rPr>
      <w:b/>
    </w:rPr>
  </w:style>
  <w:style w:type="character" w:customStyle="1" w:styleId="ParagraphChar">
    <w:name w:val="Paragraph Char"/>
    <w:basedOn w:val="DefaultParagraphFont"/>
    <w:link w:val="Paragraph"/>
    <w:rsid w:val="007D53CE"/>
    <w:rPr>
      <w:rFonts w:ascii="Arial" w:eastAsia="Times New Roman" w:hAnsi="Arial" w:cs="Arial"/>
      <w:lang w:eastAsia="en-GB"/>
    </w:rPr>
  </w:style>
  <w:style w:type="character" w:customStyle="1" w:styleId="HeadingChar">
    <w:name w:val="Heading Char"/>
    <w:basedOn w:val="ParagraphChar"/>
    <w:link w:val="Heading"/>
    <w:rsid w:val="007D53CE"/>
    <w:rPr>
      <w:rFonts w:ascii="Arial" w:eastAsia="Times New Roman" w:hAnsi="Arial" w:cs="Arial"/>
      <w:b/>
      <w:lang w:eastAsia="en-GB"/>
    </w:rPr>
  </w:style>
  <w:style w:type="paragraph" w:styleId="Header">
    <w:name w:val="header"/>
    <w:basedOn w:val="Normal"/>
    <w:link w:val="HeaderChar"/>
    <w:uiPriority w:val="99"/>
    <w:unhideWhenUsed/>
    <w:rsid w:val="00CB5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F59"/>
  </w:style>
  <w:style w:type="paragraph" w:styleId="Footer">
    <w:name w:val="footer"/>
    <w:basedOn w:val="Normal"/>
    <w:link w:val="FooterChar"/>
    <w:uiPriority w:val="99"/>
    <w:unhideWhenUsed/>
    <w:rsid w:val="00CB5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6835">
      <w:bodyDiv w:val="1"/>
      <w:marLeft w:val="0"/>
      <w:marRight w:val="0"/>
      <w:marTop w:val="0"/>
      <w:marBottom w:val="0"/>
      <w:divBdr>
        <w:top w:val="none" w:sz="0" w:space="0" w:color="auto"/>
        <w:left w:val="none" w:sz="0" w:space="0" w:color="auto"/>
        <w:bottom w:val="none" w:sz="0" w:space="0" w:color="auto"/>
        <w:right w:val="none" w:sz="0" w:space="0" w:color="auto"/>
      </w:divBdr>
      <w:divsChild>
        <w:div w:id="2107070624">
          <w:marLeft w:val="0"/>
          <w:marRight w:val="0"/>
          <w:marTop w:val="0"/>
          <w:marBottom w:val="0"/>
          <w:divBdr>
            <w:top w:val="none" w:sz="0" w:space="0" w:color="auto"/>
            <w:left w:val="none" w:sz="0" w:space="0" w:color="auto"/>
            <w:bottom w:val="none" w:sz="0" w:space="0" w:color="auto"/>
            <w:right w:val="none" w:sz="0" w:space="0" w:color="auto"/>
          </w:divBdr>
        </w:div>
      </w:divsChild>
    </w:div>
    <w:div w:id="262617688">
      <w:bodyDiv w:val="1"/>
      <w:marLeft w:val="0"/>
      <w:marRight w:val="0"/>
      <w:marTop w:val="0"/>
      <w:marBottom w:val="0"/>
      <w:divBdr>
        <w:top w:val="none" w:sz="0" w:space="0" w:color="auto"/>
        <w:left w:val="none" w:sz="0" w:space="0" w:color="auto"/>
        <w:bottom w:val="none" w:sz="0" w:space="0" w:color="auto"/>
        <w:right w:val="none" w:sz="0" w:space="0" w:color="auto"/>
      </w:divBdr>
    </w:div>
    <w:div w:id="309869628">
      <w:bodyDiv w:val="1"/>
      <w:marLeft w:val="0"/>
      <w:marRight w:val="0"/>
      <w:marTop w:val="0"/>
      <w:marBottom w:val="0"/>
      <w:divBdr>
        <w:top w:val="none" w:sz="0" w:space="0" w:color="auto"/>
        <w:left w:val="none" w:sz="0" w:space="0" w:color="auto"/>
        <w:bottom w:val="none" w:sz="0" w:space="0" w:color="auto"/>
        <w:right w:val="none" w:sz="0" w:space="0" w:color="auto"/>
      </w:divBdr>
    </w:div>
    <w:div w:id="1141578664">
      <w:bodyDiv w:val="1"/>
      <w:marLeft w:val="0"/>
      <w:marRight w:val="0"/>
      <w:marTop w:val="0"/>
      <w:marBottom w:val="0"/>
      <w:divBdr>
        <w:top w:val="none" w:sz="0" w:space="0" w:color="auto"/>
        <w:left w:val="none" w:sz="0" w:space="0" w:color="auto"/>
        <w:bottom w:val="none" w:sz="0" w:space="0" w:color="auto"/>
        <w:right w:val="none" w:sz="0" w:space="0" w:color="auto"/>
      </w:divBdr>
    </w:div>
    <w:div w:id="1729106481">
      <w:bodyDiv w:val="1"/>
      <w:marLeft w:val="0"/>
      <w:marRight w:val="0"/>
      <w:marTop w:val="0"/>
      <w:marBottom w:val="0"/>
      <w:divBdr>
        <w:top w:val="none" w:sz="0" w:space="0" w:color="auto"/>
        <w:left w:val="none" w:sz="0" w:space="0" w:color="auto"/>
        <w:bottom w:val="none" w:sz="0" w:space="0" w:color="auto"/>
        <w:right w:val="none" w:sz="0" w:space="0" w:color="auto"/>
      </w:divBdr>
    </w:div>
    <w:div w:id="1757820548">
      <w:bodyDiv w:val="1"/>
      <w:marLeft w:val="0"/>
      <w:marRight w:val="0"/>
      <w:marTop w:val="0"/>
      <w:marBottom w:val="0"/>
      <w:divBdr>
        <w:top w:val="none" w:sz="0" w:space="0" w:color="auto"/>
        <w:left w:val="none" w:sz="0" w:space="0" w:color="auto"/>
        <w:bottom w:val="none" w:sz="0" w:space="0" w:color="auto"/>
        <w:right w:val="none" w:sz="0" w:space="0" w:color="auto"/>
      </w:divBdr>
    </w:div>
    <w:div w:id="188397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safeapplications@health.govt.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safe.govt.nz/regulatory/fees.asp"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medsafe.govt.nz/medicines/regulatory-timelines.asp" TargetMode="External"/><Relationship Id="rId1" Type="http://schemas.openxmlformats.org/officeDocument/2006/relationships/hyperlink" Target="https://www.medsafe.govt.nz/regulatory/Performanc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E0F9D-2CC2-495F-9517-D25B108A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10195</Words>
  <Characters>58114</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Cossar</dc:creator>
  <cp:keywords/>
  <dc:description/>
  <cp:lastModifiedBy>Andrew Leggott</cp:lastModifiedBy>
  <cp:revision>2</cp:revision>
  <cp:lastPrinted>2021-03-03T20:22:00Z</cp:lastPrinted>
  <dcterms:created xsi:type="dcterms:W3CDTF">2021-04-16T00:51:00Z</dcterms:created>
  <dcterms:modified xsi:type="dcterms:W3CDTF">2021-04-16T00:51:00Z</dcterms:modified>
</cp:coreProperties>
</file>