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711C5B" w14:textId="60ECAE0A" w:rsidR="00276A1B" w:rsidRPr="00F3515B" w:rsidRDefault="00EE39BD" w:rsidP="00075198">
      <w:pPr>
        <w:pStyle w:val="Coverhead"/>
        <w:rPr>
          <w:rFonts w:ascii="Helv" w:hAnsi="Helv"/>
          <w:sz w:val="56"/>
        </w:rPr>
      </w:pPr>
      <w:r w:rsidRPr="00F3515B">
        <w:rPr>
          <w:rFonts w:ascii="Helv" w:hAnsi="Helv"/>
          <w:sz w:val="56"/>
        </w:rPr>
        <w:t xml:space="preserve">Ethical Framework for Resource Allocation </w:t>
      </w:r>
      <w:r w:rsidR="008C454A">
        <w:rPr>
          <w:rFonts w:ascii="Helv" w:hAnsi="Helv"/>
          <w:sz w:val="56"/>
        </w:rPr>
        <w:t xml:space="preserve">in </w:t>
      </w:r>
      <w:r w:rsidR="00233F0B" w:rsidRPr="00F3515B">
        <w:rPr>
          <w:rFonts w:ascii="Helv" w:hAnsi="Helv"/>
          <w:sz w:val="56"/>
        </w:rPr>
        <w:t>Times of S</w:t>
      </w:r>
      <w:r w:rsidR="00BD2ED3" w:rsidRPr="00F3515B">
        <w:rPr>
          <w:rFonts w:ascii="Helv" w:hAnsi="Helv"/>
          <w:sz w:val="56"/>
        </w:rPr>
        <w:t>carcity</w:t>
      </w:r>
    </w:p>
    <w:p w14:paraId="7DA1AAA8" w14:textId="77777777" w:rsidR="00075198" w:rsidRPr="00F3515B" w:rsidRDefault="00075198" w:rsidP="00075198">
      <w:pPr>
        <w:pStyle w:val="Coverhead"/>
        <w:rPr>
          <w:rFonts w:ascii="Helv" w:hAnsi="Helv"/>
          <w:b w:val="0"/>
        </w:rPr>
      </w:pPr>
    </w:p>
    <w:p w14:paraId="54CB3EED" w14:textId="77777777" w:rsidR="00233F0B" w:rsidRPr="00F3515B" w:rsidRDefault="00233F0B" w:rsidP="00FC31DA">
      <w:pPr>
        <w:pStyle w:val="Coverdividersubhead"/>
        <w:rPr>
          <w:rFonts w:ascii="Helv" w:hAnsi="Helv"/>
        </w:rPr>
      </w:pPr>
    </w:p>
    <w:p w14:paraId="0C053B44" w14:textId="668BAEF1" w:rsidR="00276A1B" w:rsidRDefault="00276A1B" w:rsidP="00FC31DA">
      <w:pPr>
        <w:pStyle w:val="Coverdividersubhead"/>
        <w:rPr>
          <w:rFonts w:ascii="Helv" w:hAnsi="Helv"/>
        </w:rPr>
      </w:pPr>
    </w:p>
    <w:p w14:paraId="17C347EB" w14:textId="77777777" w:rsidR="006301CE" w:rsidRPr="00F3515B" w:rsidRDefault="006301CE" w:rsidP="00FC31DA">
      <w:pPr>
        <w:pStyle w:val="Coverdividersubhead"/>
        <w:rPr>
          <w:rFonts w:ascii="Helv" w:hAnsi="Helv"/>
        </w:rPr>
      </w:pPr>
    </w:p>
    <w:p w14:paraId="3600A6BA" w14:textId="77777777" w:rsidR="004D2609" w:rsidRPr="00F3515B" w:rsidRDefault="004D2609" w:rsidP="00FC31DA">
      <w:pPr>
        <w:pStyle w:val="Coverdividersubhead"/>
        <w:rPr>
          <w:rFonts w:ascii="Helv" w:hAnsi="Helv"/>
        </w:rPr>
      </w:pPr>
    </w:p>
    <w:p w14:paraId="2AE3D201" w14:textId="7AEC416B" w:rsidR="00276A1B" w:rsidRPr="00F3515B" w:rsidRDefault="008C454A" w:rsidP="00FC31DA">
      <w:pPr>
        <w:pStyle w:val="Coverbluesubhead"/>
        <w:rPr>
          <w:rFonts w:ascii="Helv" w:hAnsi="Helv"/>
        </w:rPr>
      </w:pPr>
      <w:r>
        <w:rPr>
          <w:rFonts w:ascii="Helv" w:hAnsi="Helv"/>
        </w:rPr>
        <w:t>June</w:t>
      </w:r>
      <w:r w:rsidRPr="00F3515B">
        <w:rPr>
          <w:rFonts w:ascii="Helv" w:hAnsi="Helv"/>
        </w:rPr>
        <w:t xml:space="preserve"> </w:t>
      </w:r>
      <w:r w:rsidR="00276A1B" w:rsidRPr="00F3515B">
        <w:rPr>
          <w:rFonts w:ascii="Helv" w:hAnsi="Helv"/>
        </w:rPr>
        <w:t>20</w:t>
      </w:r>
      <w:r w:rsidR="00F82E5F" w:rsidRPr="00F3515B">
        <w:rPr>
          <w:rFonts w:ascii="Helv" w:hAnsi="Helv"/>
        </w:rPr>
        <w:t>20</w:t>
      </w:r>
    </w:p>
    <w:p w14:paraId="324B1C97" w14:textId="24D00B91" w:rsidR="00DA2221" w:rsidRPr="00F3515B" w:rsidRDefault="003932B6" w:rsidP="00411CCA">
      <w:pPr>
        <w:pStyle w:val="BodycopyNES"/>
        <w:tabs>
          <w:tab w:val="left" w:pos="1500"/>
        </w:tabs>
        <w:ind w:left="0"/>
        <w:rPr>
          <w:rFonts w:ascii="Helv" w:hAnsi="Helv"/>
        </w:rPr>
        <w:sectPr w:rsidR="00DA2221" w:rsidRPr="00F3515B" w:rsidSect="00D334D3">
          <w:headerReference w:type="even" r:id="rId11"/>
          <w:headerReference w:type="default" r:id="rId12"/>
          <w:footerReference w:type="even" r:id="rId13"/>
          <w:headerReference w:type="first" r:id="rId14"/>
          <w:endnotePr>
            <w:numFmt w:val="decimal"/>
          </w:endnotePr>
          <w:pgSz w:w="11907" w:h="16840" w:code="9"/>
          <w:pgMar w:top="6804" w:right="2041" w:bottom="1134" w:left="2041" w:header="567" w:footer="567" w:gutter="0"/>
          <w:cols w:space="720"/>
          <w:docGrid w:linePitch="299"/>
        </w:sectPr>
      </w:pPr>
      <w:r w:rsidRPr="00F3515B">
        <w:rPr>
          <w:rFonts w:ascii="Helv" w:hAnsi="Helv"/>
          <w:noProof/>
          <w:lang w:eastAsia="en-NZ"/>
        </w:rPr>
        <mc:AlternateContent>
          <mc:Choice Requires="wps">
            <w:drawing>
              <wp:anchor distT="0" distB="0" distL="114300" distR="114300" simplePos="0" relativeHeight="251719680" behindDoc="0" locked="0" layoutInCell="1" allowOverlap="1" wp14:anchorId="1EECD753" wp14:editId="16718868">
                <wp:simplePos x="0" y="0"/>
                <wp:positionH relativeFrom="column">
                  <wp:posOffset>-233340</wp:posOffset>
                </wp:positionH>
                <wp:positionV relativeFrom="paragraph">
                  <wp:posOffset>469604</wp:posOffset>
                </wp:positionV>
                <wp:extent cx="2026693" cy="354842"/>
                <wp:effectExtent l="0" t="0" r="12065" b="26670"/>
                <wp:wrapNone/>
                <wp:docPr id="7" name="Rectangle 7"/>
                <wp:cNvGraphicFramePr/>
                <a:graphic xmlns:a="http://schemas.openxmlformats.org/drawingml/2006/main">
                  <a:graphicData uri="http://schemas.microsoft.com/office/word/2010/wordprocessingShape">
                    <wps:wsp>
                      <wps:cNvSpPr/>
                      <wps:spPr>
                        <a:xfrm>
                          <a:off x="0" y="0"/>
                          <a:ext cx="2026693" cy="35484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051E28" id="Rectangle 7" o:spid="_x0000_s1026" style="position:absolute;margin-left:-18.35pt;margin-top:37pt;width:159.6pt;height:27.95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" fillcolor="white [3212]" strokecolor="white [3212]" strokeweight="1pt"/>
            </w:pict>
          </mc:Fallback>
        </mc:AlternateContent>
      </w:r>
      <w:r w:rsidR="00411CCA" w:rsidRPr="00F3515B">
        <w:rPr>
          <w:rFonts w:ascii="Helv" w:hAnsi="Helv"/>
        </w:rPr>
        <w:tab/>
      </w:r>
    </w:p>
    <w:p w14:paraId="1DF04E6B" w14:textId="4055FB4B" w:rsidR="005D41BC" w:rsidRPr="00F3515B" w:rsidRDefault="005D41BC" w:rsidP="00E21AFE">
      <w:pPr>
        <w:pStyle w:val="BodycopyNES"/>
        <w:rPr>
          <w:rFonts w:ascii="Helv" w:hAnsi="Helv"/>
        </w:rPr>
      </w:pPr>
    </w:p>
    <w:p w14:paraId="3D96555F" w14:textId="4B55F148" w:rsidR="00E21AFE" w:rsidRPr="00F3515B" w:rsidRDefault="00E21AFE" w:rsidP="00E21AFE">
      <w:pPr>
        <w:pStyle w:val="BodycopyNES"/>
        <w:rPr>
          <w:rFonts w:ascii="Helv" w:hAnsi="Helv"/>
        </w:rPr>
      </w:pPr>
    </w:p>
    <w:p w14:paraId="3B1633D8" w14:textId="5DCFB365" w:rsidR="00E21AFE" w:rsidRPr="00F3515B" w:rsidRDefault="00E21AFE" w:rsidP="00E21AFE">
      <w:pPr>
        <w:pStyle w:val="BodycopyNES"/>
        <w:rPr>
          <w:rFonts w:ascii="Helv" w:hAnsi="Helv"/>
        </w:rPr>
      </w:pPr>
    </w:p>
    <w:p w14:paraId="0421FFF0" w14:textId="2764504A" w:rsidR="00E21AFE" w:rsidRPr="00F3515B" w:rsidRDefault="00E21AFE" w:rsidP="00E21AFE">
      <w:pPr>
        <w:pStyle w:val="BodycopyNES"/>
        <w:rPr>
          <w:rFonts w:ascii="Helv" w:hAnsi="Helv"/>
        </w:rPr>
      </w:pPr>
    </w:p>
    <w:p w14:paraId="4E68DFE7" w14:textId="28628386" w:rsidR="00E21AFE" w:rsidRPr="00F3515B" w:rsidRDefault="00E21AFE" w:rsidP="00E21AFE">
      <w:pPr>
        <w:pStyle w:val="BodycopyNES"/>
        <w:rPr>
          <w:rFonts w:ascii="Helv" w:hAnsi="Helv"/>
        </w:rPr>
      </w:pPr>
    </w:p>
    <w:p w14:paraId="665C8704" w14:textId="06B48E68" w:rsidR="00E21AFE" w:rsidRPr="00F3515B" w:rsidRDefault="00E21AFE" w:rsidP="00E21AFE">
      <w:pPr>
        <w:pStyle w:val="BodycopyNES"/>
        <w:rPr>
          <w:rFonts w:ascii="Helv" w:hAnsi="Helv"/>
        </w:rPr>
      </w:pPr>
    </w:p>
    <w:p w14:paraId="57C7D91D" w14:textId="28E10341" w:rsidR="00E21AFE" w:rsidRPr="00F3515B" w:rsidRDefault="00E21AFE" w:rsidP="00E21AFE">
      <w:pPr>
        <w:pStyle w:val="BodycopyNES"/>
        <w:rPr>
          <w:rFonts w:ascii="Helv" w:hAnsi="Helv"/>
        </w:rPr>
      </w:pPr>
    </w:p>
    <w:p w14:paraId="5B46A6A9" w14:textId="40747743" w:rsidR="00E21AFE" w:rsidRPr="00F3515B" w:rsidRDefault="00E21AFE" w:rsidP="00E21AFE">
      <w:pPr>
        <w:pStyle w:val="BodycopyNES"/>
        <w:rPr>
          <w:rFonts w:ascii="Helv" w:hAnsi="Helv"/>
        </w:rPr>
      </w:pPr>
    </w:p>
    <w:p w14:paraId="4F102553" w14:textId="3974AEC7" w:rsidR="00E21AFE" w:rsidRPr="00F3515B" w:rsidRDefault="00E21AFE" w:rsidP="00E21AFE">
      <w:pPr>
        <w:pStyle w:val="BodycopyNES"/>
        <w:rPr>
          <w:rFonts w:ascii="Helv" w:hAnsi="Helv"/>
        </w:rPr>
      </w:pPr>
    </w:p>
    <w:p w14:paraId="4C61E906" w14:textId="77777777" w:rsidR="00E21AFE" w:rsidRPr="00F3515B" w:rsidRDefault="00E21AFE" w:rsidP="00E21AFE">
      <w:pPr>
        <w:pStyle w:val="BodycopyNES"/>
        <w:rPr>
          <w:rFonts w:ascii="Helv" w:hAnsi="Helv"/>
        </w:rPr>
      </w:pPr>
    </w:p>
    <w:p w14:paraId="3B3FE561" w14:textId="77777777" w:rsidR="005D41BC" w:rsidRPr="00F3515B" w:rsidRDefault="005D41BC" w:rsidP="00E21AFE">
      <w:pPr>
        <w:pStyle w:val="BodycopyNES"/>
        <w:rPr>
          <w:rFonts w:ascii="Helv" w:hAnsi="Helv"/>
        </w:rPr>
      </w:pPr>
    </w:p>
    <w:p w14:paraId="5E609B01" w14:textId="22DC2089" w:rsidR="00F2047C" w:rsidRDefault="006223EB" w:rsidP="00E21AFE">
      <w:pPr>
        <w:pStyle w:val="BodycopyNES"/>
        <w:rPr>
          <w:rFonts w:ascii="Helv" w:hAnsi="Helv"/>
        </w:rPr>
      </w:pPr>
      <w:r>
        <w:rPr>
          <w:rFonts w:ascii="Helv" w:hAnsi="Helv"/>
        </w:rPr>
        <w:t xml:space="preserve">Citation: </w:t>
      </w:r>
      <w:r>
        <w:t xml:space="preserve">National Ethics Advisory Committee. 2020. </w:t>
      </w:r>
      <w:r w:rsidRPr="00EC1B6D">
        <w:rPr>
          <w:i/>
        </w:rPr>
        <w:t>Ethical Framework for Resource Allocation in Times of Scarcity</w:t>
      </w:r>
      <w:r>
        <w:t>. Wellington: Ministry of Health.</w:t>
      </w:r>
    </w:p>
    <w:p w14:paraId="7E90415C" w14:textId="49F98589" w:rsidR="006223EB" w:rsidRPr="006223EB" w:rsidRDefault="006223EB" w:rsidP="006223EB">
      <w:pPr>
        <w:pStyle w:val="BodycopyNES"/>
        <w:rPr>
          <w:rFonts w:ascii="Helv" w:hAnsi="Helv"/>
        </w:rPr>
      </w:pPr>
      <w:r w:rsidRPr="006223EB">
        <w:rPr>
          <w:rFonts w:ascii="Helv" w:hAnsi="Helv"/>
        </w:rPr>
        <w:t xml:space="preserve">Published in </w:t>
      </w:r>
      <w:r>
        <w:rPr>
          <w:rFonts w:ascii="Helv" w:hAnsi="Helv"/>
        </w:rPr>
        <w:t xml:space="preserve">June 2020 for the </w:t>
      </w:r>
      <w:r w:rsidRPr="006223EB">
        <w:rPr>
          <w:rFonts w:ascii="Helv" w:hAnsi="Helv"/>
        </w:rPr>
        <w:t>National Ethics Advisory Commi</w:t>
      </w:r>
      <w:r>
        <w:rPr>
          <w:rFonts w:ascii="Helv" w:hAnsi="Helv"/>
        </w:rPr>
        <w:t xml:space="preserve">ttee – </w:t>
      </w:r>
      <w:proofErr w:type="spellStart"/>
      <w:r>
        <w:rPr>
          <w:rFonts w:ascii="Helv" w:hAnsi="Helv"/>
        </w:rPr>
        <w:t>Kāhui</w:t>
      </w:r>
      <w:proofErr w:type="spellEnd"/>
      <w:r>
        <w:rPr>
          <w:rFonts w:ascii="Helv" w:hAnsi="Helv"/>
        </w:rPr>
        <w:t xml:space="preserve"> </w:t>
      </w:r>
      <w:proofErr w:type="spellStart"/>
      <w:r>
        <w:rPr>
          <w:rFonts w:ascii="Helv" w:hAnsi="Helv"/>
        </w:rPr>
        <w:t>Matatika</w:t>
      </w:r>
      <w:proofErr w:type="spellEnd"/>
      <w:r>
        <w:rPr>
          <w:rFonts w:ascii="Helv" w:hAnsi="Helv"/>
        </w:rPr>
        <w:t xml:space="preserve"> o </w:t>
      </w:r>
      <w:proofErr w:type="spellStart"/>
      <w:r>
        <w:rPr>
          <w:rFonts w:ascii="Helv" w:hAnsi="Helv"/>
        </w:rPr>
        <w:t>te</w:t>
      </w:r>
      <w:proofErr w:type="spellEnd"/>
      <w:r>
        <w:rPr>
          <w:rFonts w:ascii="Helv" w:hAnsi="Helv"/>
        </w:rPr>
        <w:t xml:space="preserve"> Motu by the Ministry of Health</w:t>
      </w:r>
      <w:r>
        <w:rPr>
          <w:rFonts w:ascii="Helv" w:hAnsi="Helv"/>
        </w:rPr>
        <w:br/>
      </w:r>
      <w:r w:rsidRPr="006223EB">
        <w:rPr>
          <w:rFonts w:ascii="Helv" w:hAnsi="Helv"/>
        </w:rPr>
        <w:t>PO Box 5013, Wellington 6140, New Zealand</w:t>
      </w:r>
    </w:p>
    <w:p w14:paraId="48AB9FD7" w14:textId="78AEC21D" w:rsidR="006223EB" w:rsidRPr="006223EB" w:rsidRDefault="006223EB" w:rsidP="006223EB">
      <w:pPr>
        <w:pStyle w:val="BodycopyNES"/>
        <w:rPr>
          <w:rFonts w:ascii="Helv" w:hAnsi="Helv"/>
        </w:rPr>
      </w:pPr>
      <w:r w:rsidRPr="006223EB">
        <w:rPr>
          <w:rFonts w:ascii="Helv" w:hAnsi="Helv"/>
        </w:rPr>
        <w:t>ISBN: 978-</w:t>
      </w:r>
      <w:r>
        <w:rPr>
          <w:rFonts w:ascii="Helv" w:hAnsi="Helv"/>
        </w:rPr>
        <w:t>XXXX (online)</w:t>
      </w:r>
      <w:r>
        <w:rPr>
          <w:rFonts w:ascii="Helv" w:hAnsi="Helv"/>
        </w:rPr>
        <w:br/>
      </w:r>
      <w:r w:rsidRPr="006223EB">
        <w:rPr>
          <w:rFonts w:ascii="Helv" w:hAnsi="Helv"/>
        </w:rPr>
        <w:t xml:space="preserve">HP </w:t>
      </w:r>
      <w:r>
        <w:rPr>
          <w:rFonts w:ascii="Helv" w:hAnsi="Helv"/>
        </w:rPr>
        <w:t>XXXX</w:t>
      </w:r>
    </w:p>
    <w:p w14:paraId="5123E92C" w14:textId="77777777" w:rsidR="00EE39BD" w:rsidRPr="00F3515B" w:rsidRDefault="003172C0" w:rsidP="00EE39BD">
      <w:pPr>
        <w:pStyle w:val="BodycopyNES"/>
        <w:rPr>
          <w:rStyle w:val="Hyperlink"/>
          <w:rFonts w:ascii="Helv" w:hAnsi="Helv"/>
        </w:rPr>
      </w:pPr>
      <w:r w:rsidRPr="00F3515B">
        <w:rPr>
          <w:rFonts w:ascii="Helv" w:hAnsi="Helv"/>
          <w:noProof/>
          <w:lang w:eastAsia="en-NZ"/>
        </w:rPr>
        <w:drawing>
          <wp:anchor distT="0" distB="0" distL="114300" distR="114300" simplePos="0" relativeHeight="251715584" behindDoc="0" locked="0" layoutInCell="1" allowOverlap="1" wp14:anchorId="10F881DF" wp14:editId="1066D10C">
            <wp:simplePos x="0" y="0"/>
            <wp:positionH relativeFrom="column">
              <wp:posOffset>386602</wp:posOffset>
            </wp:positionH>
            <wp:positionV relativeFrom="paragraph">
              <wp:posOffset>589280</wp:posOffset>
            </wp:positionV>
            <wp:extent cx="1390650" cy="807085"/>
            <wp:effectExtent l="0" t="0" r="0" b="0"/>
            <wp:wrapTopAndBottom/>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90650" cy="807085"/>
                    </a:xfrm>
                    <a:prstGeom prst="rect">
                      <a:avLst/>
                    </a:prstGeom>
                    <a:noFill/>
                    <a:ln>
                      <a:noFill/>
                    </a:ln>
                  </pic:spPr>
                </pic:pic>
              </a:graphicData>
            </a:graphic>
            <wp14:sizeRelH relativeFrom="page">
              <wp14:pctWidth>0</wp14:pctWidth>
            </wp14:sizeRelH>
            <wp14:sizeRelV relativeFrom="page">
              <wp14:pctHeight>0</wp14:pctHeight>
            </wp14:sizeRelV>
          </wp:anchor>
        </w:drawing>
      </w:r>
      <w:r w:rsidR="0008544F" w:rsidRPr="00F3515B">
        <w:rPr>
          <w:rFonts w:ascii="Helv" w:hAnsi="Helv"/>
        </w:rPr>
        <w:t>This publication is available on the National Ethics Advisory Committee website:</w:t>
      </w:r>
      <w:r w:rsidR="005D41BC" w:rsidRPr="00F3515B">
        <w:rPr>
          <w:rFonts w:ascii="Helv" w:hAnsi="Helv"/>
        </w:rPr>
        <w:br/>
      </w:r>
      <w:hyperlink r:id="rId16" w:history="1">
        <w:r w:rsidR="005D41BC" w:rsidRPr="00F3515B">
          <w:rPr>
            <w:rStyle w:val="Hyperlink"/>
            <w:rFonts w:ascii="Helv" w:hAnsi="Helv"/>
          </w:rPr>
          <w:t>www.neac.health.govt.nz</w:t>
        </w:r>
      </w:hyperlink>
    </w:p>
    <w:p w14:paraId="70CB3637" w14:textId="77777777" w:rsidR="00AA3611" w:rsidRPr="00F3515B" w:rsidRDefault="00AA3611" w:rsidP="00EE39BD">
      <w:pPr>
        <w:pStyle w:val="BodycopyNES"/>
        <w:rPr>
          <w:rStyle w:val="Hyperlink"/>
          <w:rFonts w:ascii="Helv" w:hAnsi="Helv"/>
        </w:rPr>
      </w:pPr>
    </w:p>
    <w:p w14:paraId="74B93EE0" w14:textId="77777777" w:rsidR="00AA3611" w:rsidRPr="00F3515B" w:rsidRDefault="00AA3611" w:rsidP="00EE39BD">
      <w:pPr>
        <w:pStyle w:val="BodycopyNES"/>
        <w:rPr>
          <w:rStyle w:val="Hyperlink"/>
          <w:rFonts w:ascii="Helv" w:hAnsi="Helv"/>
        </w:rPr>
      </w:pPr>
    </w:p>
    <w:p w14:paraId="0F35B5A8" w14:textId="77777777" w:rsidR="00AA3611" w:rsidRPr="00F3515B" w:rsidRDefault="00AA3611" w:rsidP="00EE39BD">
      <w:pPr>
        <w:pStyle w:val="BodycopyNES"/>
        <w:rPr>
          <w:rStyle w:val="Hyperlink"/>
          <w:rFonts w:ascii="Helv" w:hAnsi="Helv"/>
        </w:rPr>
      </w:pPr>
    </w:p>
    <w:p w14:paraId="5177AEF6" w14:textId="1A86A209" w:rsidR="00AA3611" w:rsidRPr="00F3515B" w:rsidRDefault="00AA3611" w:rsidP="00227CF4">
      <w:pPr>
        <w:pStyle w:val="BodycopyNES"/>
        <w:ind w:left="0"/>
        <w:rPr>
          <w:rFonts w:ascii="Helv" w:hAnsi="Helv"/>
          <w:color w:val="265C77"/>
        </w:rPr>
        <w:sectPr w:rsidR="00AA3611" w:rsidRPr="00F3515B" w:rsidSect="00D334D3">
          <w:headerReference w:type="even" r:id="rId17"/>
          <w:headerReference w:type="default" r:id="rId18"/>
          <w:footerReference w:type="even" r:id="rId19"/>
          <w:footerReference w:type="default" r:id="rId20"/>
          <w:headerReference w:type="first" r:id="rId21"/>
          <w:footerReference w:type="first" r:id="rId22"/>
          <w:pgSz w:w="11906" w:h="16838"/>
          <w:pgMar w:top="2041" w:right="1814" w:bottom="1361" w:left="1814" w:header="709" w:footer="510" w:gutter="0"/>
          <w:cols w:space="708"/>
          <w:docGrid w:linePitch="360"/>
        </w:sectPr>
      </w:pPr>
    </w:p>
    <w:p w14:paraId="7AD28D6D" w14:textId="124CE1AF" w:rsidR="00525500" w:rsidRDefault="00525500" w:rsidP="00CA3124">
      <w:pPr>
        <w:pStyle w:val="NEACContents"/>
        <w:keepNext/>
        <w:spacing w:before="480" w:after="240"/>
        <w:rPr>
          <w:color w:val="003F5F" w:themeColor="accent1"/>
          <w:sz w:val="52"/>
          <w:szCs w:val="52"/>
        </w:rPr>
      </w:pPr>
      <w:bookmarkStart w:id="0" w:name="_Toc3387864"/>
      <w:bookmarkStart w:id="1" w:name="Section_1_title"/>
      <w:bookmarkStart w:id="2" w:name="_Toc513904309"/>
      <w:bookmarkStart w:id="3" w:name="_Toc3387860"/>
      <w:bookmarkStart w:id="4" w:name="_Toc24034296"/>
      <w:r w:rsidRPr="00C44415">
        <w:rPr>
          <w:color w:val="003F5F" w:themeColor="accent1"/>
          <w:sz w:val="52"/>
          <w:szCs w:val="52"/>
        </w:rPr>
        <w:lastRenderedPageBreak/>
        <w:t>Contents</w:t>
      </w:r>
    </w:p>
    <w:p w14:paraId="322A3566" w14:textId="03AAE0F5" w:rsidR="00CA3124" w:rsidRDefault="00CA3124">
      <w:pPr>
        <w:pStyle w:val="TOC1"/>
        <w:rPr>
          <w:rFonts w:asciiTheme="minorHAnsi" w:eastAsiaTheme="minorEastAsia" w:hAnsiTheme="minorHAnsi" w:cstheme="minorBidi"/>
          <w:b w:val="0"/>
          <w:noProof/>
          <w:color w:val="auto"/>
          <w:sz w:val="22"/>
          <w:szCs w:val="22"/>
          <w:lang w:val="en-AU" w:eastAsia="en-AU"/>
        </w:rPr>
      </w:pPr>
      <w:r>
        <w:rPr>
          <w:rFonts w:ascii="Segoe UI Semibold" w:hAnsi="Segoe UI Semibold"/>
          <w:sz w:val="24"/>
        </w:rPr>
        <w:fldChar w:fldCharType="begin"/>
      </w:r>
      <w:r>
        <w:rPr>
          <w:rFonts w:ascii="Segoe UI Semibold" w:hAnsi="Segoe UI Semibold"/>
          <w:sz w:val="24"/>
        </w:rPr>
        <w:instrText xml:space="preserve"> TOC \o "1-3" </w:instrText>
      </w:r>
      <w:r>
        <w:rPr>
          <w:rFonts w:ascii="Segoe UI Semibold" w:hAnsi="Segoe UI Semibold"/>
          <w:sz w:val="24"/>
        </w:rPr>
        <w:fldChar w:fldCharType="separate"/>
      </w:r>
      <w:r>
        <w:rPr>
          <w:noProof/>
        </w:rPr>
        <w:t>National Ethics Advisory Committee – Kāhui Matatika o te Motu</w:t>
      </w:r>
      <w:r>
        <w:rPr>
          <w:noProof/>
        </w:rPr>
        <w:tab/>
      </w:r>
      <w:r>
        <w:rPr>
          <w:noProof/>
        </w:rPr>
        <w:fldChar w:fldCharType="begin"/>
      </w:r>
      <w:r>
        <w:rPr>
          <w:noProof/>
        </w:rPr>
        <w:instrText xml:space="preserve"> PAGEREF _Toc42073314 \h </w:instrText>
      </w:r>
      <w:r>
        <w:rPr>
          <w:noProof/>
        </w:rPr>
      </w:r>
      <w:r>
        <w:rPr>
          <w:noProof/>
        </w:rPr>
        <w:fldChar w:fldCharType="separate"/>
      </w:r>
      <w:r w:rsidR="005B604C">
        <w:rPr>
          <w:noProof/>
        </w:rPr>
        <w:t>1</w:t>
      </w:r>
      <w:r>
        <w:rPr>
          <w:noProof/>
        </w:rPr>
        <w:fldChar w:fldCharType="end"/>
      </w:r>
    </w:p>
    <w:p w14:paraId="184F4793" w14:textId="7A41A363"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Pr>
          <w:noProof/>
        </w:rPr>
        <w:t>Members of NEAC</w:t>
      </w:r>
      <w:r>
        <w:rPr>
          <w:noProof/>
        </w:rPr>
        <w:tab/>
      </w:r>
      <w:r>
        <w:rPr>
          <w:noProof/>
        </w:rPr>
        <w:fldChar w:fldCharType="begin"/>
      </w:r>
      <w:r>
        <w:rPr>
          <w:noProof/>
        </w:rPr>
        <w:instrText xml:space="preserve"> PAGEREF _Toc42073315 \h </w:instrText>
      </w:r>
      <w:r>
        <w:rPr>
          <w:noProof/>
        </w:rPr>
      </w:r>
      <w:r>
        <w:rPr>
          <w:noProof/>
        </w:rPr>
        <w:fldChar w:fldCharType="separate"/>
      </w:r>
      <w:r w:rsidR="005B604C">
        <w:rPr>
          <w:noProof/>
        </w:rPr>
        <w:t>1</w:t>
      </w:r>
      <w:r>
        <w:rPr>
          <w:noProof/>
        </w:rPr>
        <w:fldChar w:fldCharType="end"/>
      </w:r>
    </w:p>
    <w:p w14:paraId="34798AC0" w14:textId="24F3C675"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Pr>
          <w:noProof/>
        </w:rPr>
        <w:t>Members of the secretariat</w:t>
      </w:r>
      <w:r>
        <w:rPr>
          <w:noProof/>
        </w:rPr>
        <w:tab/>
      </w:r>
      <w:r>
        <w:rPr>
          <w:noProof/>
        </w:rPr>
        <w:fldChar w:fldCharType="begin"/>
      </w:r>
      <w:r>
        <w:rPr>
          <w:noProof/>
        </w:rPr>
        <w:instrText xml:space="preserve"> PAGEREF _Toc42073316 \h </w:instrText>
      </w:r>
      <w:r>
        <w:rPr>
          <w:noProof/>
        </w:rPr>
      </w:r>
      <w:r>
        <w:rPr>
          <w:noProof/>
        </w:rPr>
        <w:fldChar w:fldCharType="separate"/>
      </w:r>
      <w:r w:rsidR="005B604C">
        <w:rPr>
          <w:noProof/>
        </w:rPr>
        <w:t>1</w:t>
      </w:r>
      <w:r>
        <w:rPr>
          <w:noProof/>
        </w:rPr>
        <w:fldChar w:fldCharType="end"/>
      </w:r>
    </w:p>
    <w:p w14:paraId="35CCB201" w14:textId="2BAC0F84"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Pr>
          <w:noProof/>
        </w:rPr>
        <w:t>Acknowledgements</w:t>
      </w:r>
      <w:r>
        <w:rPr>
          <w:noProof/>
        </w:rPr>
        <w:tab/>
      </w:r>
      <w:r>
        <w:rPr>
          <w:noProof/>
        </w:rPr>
        <w:fldChar w:fldCharType="begin"/>
      </w:r>
      <w:r>
        <w:rPr>
          <w:noProof/>
        </w:rPr>
        <w:instrText xml:space="preserve"> PAGEREF _Toc42073317 \h </w:instrText>
      </w:r>
      <w:r>
        <w:rPr>
          <w:noProof/>
        </w:rPr>
      </w:r>
      <w:r>
        <w:rPr>
          <w:noProof/>
        </w:rPr>
        <w:fldChar w:fldCharType="separate"/>
      </w:r>
      <w:r w:rsidR="005B604C">
        <w:rPr>
          <w:noProof/>
        </w:rPr>
        <w:t>1</w:t>
      </w:r>
      <w:r>
        <w:rPr>
          <w:noProof/>
        </w:rPr>
        <w:fldChar w:fldCharType="end"/>
      </w:r>
    </w:p>
    <w:p w14:paraId="08D5AA6E" w14:textId="4EF42E7B" w:rsidR="00CA3124" w:rsidRDefault="00CA3124">
      <w:pPr>
        <w:pStyle w:val="TOC1"/>
        <w:rPr>
          <w:rFonts w:asciiTheme="minorHAnsi" w:eastAsiaTheme="minorEastAsia" w:hAnsiTheme="minorHAnsi" w:cstheme="minorBidi"/>
          <w:b w:val="0"/>
          <w:noProof/>
          <w:color w:val="auto"/>
          <w:sz w:val="22"/>
          <w:szCs w:val="22"/>
          <w:lang w:val="en-AU" w:eastAsia="en-AU"/>
        </w:rPr>
      </w:pPr>
      <w:r>
        <w:rPr>
          <w:noProof/>
        </w:rPr>
        <w:t>Introduction</w:t>
      </w:r>
      <w:r>
        <w:rPr>
          <w:noProof/>
        </w:rPr>
        <w:tab/>
      </w:r>
      <w:r>
        <w:rPr>
          <w:noProof/>
        </w:rPr>
        <w:fldChar w:fldCharType="begin"/>
      </w:r>
      <w:r>
        <w:rPr>
          <w:noProof/>
        </w:rPr>
        <w:instrText xml:space="preserve"> PAGEREF _Toc42073318 \h </w:instrText>
      </w:r>
      <w:r>
        <w:rPr>
          <w:noProof/>
        </w:rPr>
      </w:r>
      <w:r>
        <w:rPr>
          <w:noProof/>
        </w:rPr>
        <w:fldChar w:fldCharType="separate"/>
      </w:r>
      <w:r w:rsidR="005B604C">
        <w:rPr>
          <w:noProof/>
        </w:rPr>
        <w:t>2</w:t>
      </w:r>
      <w:r>
        <w:rPr>
          <w:noProof/>
        </w:rPr>
        <w:fldChar w:fldCharType="end"/>
      </w:r>
    </w:p>
    <w:p w14:paraId="07F7FE2E" w14:textId="2EEDAE17"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Pr>
          <w:noProof/>
        </w:rPr>
        <w:t>Key features of the COVID-19 virus</w:t>
      </w:r>
      <w:r>
        <w:rPr>
          <w:noProof/>
        </w:rPr>
        <w:tab/>
      </w:r>
      <w:r>
        <w:rPr>
          <w:noProof/>
        </w:rPr>
        <w:fldChar w:fldCharType="begin"/>
      </w:r>
      <w:r>
        <w:rPr>
          <w:noProof/>
        </w:rPr>
        <w:instrText xml:space="preserve"> PAGEREF _Toc42073319 \h </w:instrText>
      </w:r>
      <w:r>
        <w:rPr>
          <w:noProof/>
        </w:rPr>
      </w:r>
      <w:r>
        <w:rPr>
          <w:noProof/>
        </w:rPr>
        <w:fldChar w:fldCharType="separate"/>
      </w:r>
      <w:r w:rsidR="005B604C">
        <w:rPr>
          <w:noProof/>
        </w:rPr>
        <w:t>2</w:t>
      </w:r>
      <w:r>
        <w:rPr>
          <w:noProof/>
        </w:rPr>
        <w:fldChar w:fldCharType="end"/>
      </w:r>
    </w:p>
    <w:p w14:paraId="4FDED160" w14:textId="7D72DFD1"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Pr>
          <w:noProof/>
        </w:rPr>
        <w:t>Te Tiriti o Waitangi</w:t>
      </w:r>
      <w:r>
        <w:rPr>
          <w:noProof/>
        </w:rPr>
        <w:tab/>
      </w:r>
      <w:r>
        <w:rPr>
          <w:noProof/>
        </w:rPr>
        <w:fldChar w:fldCharType="begin"/>
      </w:r>
      <w:r>
        <w:rPr>
          <w:noProof/>
        </w:rPr>
        <w:instrText xml:space="preserve"> PAGEREF _Toc42073320 \h </w:instrText>
      </w:r>
      <w:r>
        <w:rPr>
          <w:noProof/>
        </w:rPr>
      </w:r>
      <w:r>
        <w:rPr>
          <w:noProof/>
        </w:rPr>
        <w:fldChar w:fldCharType="separate"/>
      </w:r>
      <w:r w:rsidR="005B604C">
        <w:rPr>
          <w:noProof/>
        </w:rPr>
        <w:t>2</w:t>
      </w:r>
      <w:r>
        <w:rPr>
          <w:noProof/>
        </w:rPr>
        <w:fldChar w:fldCharType="end"/>
      </w:r>
    </w:p>
    <w:p w14:paraId="32131F3A" w14:textId="3E9B942F"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Pr>
          <w:noProof/>
        </w:rPr>
        <w:t>A focus on equity</w:t>
      </w:r>
      <w:r>
        <w:rPr>
          <w:noProof/>
        </w:rPr>
        <w:tab/>
      </w:r>
      <w:bookmarkStart w:id="5" w:name="_GoBack"/>
      <w:bookmarkEnd w:id="5"/>
      <w:r>
        <w:rPr>
          <w:noProof/>
        </w:rPr>
        <w:fldChar w:fldCharType="begin"/>
      </w:r>
      <w:r>
        <w:rPr>
          <w:noProof/>
        </w:rPr>
        <w:instrText xml:space="preserve"> PAGEREF _Toc42073321 \h </w:instrText>
      </w:r>
      <w:r>
        <w:rPr>
          <w:noProof/>
        </w:rPr>
      </w:r>
      <w:r>
        <w:rPr>
          <w:noProof/>
        </w:rPr>
        <w:fldChar w:fldCharType="separate"/>
      </w:r>
      <w:r w:rsidR="005B604C">
        <w:rPr>
          <w:noProof/>
        </w:rPr>
        <w:t>3</w:t>
      </w:r>
      <w:r>
        <w:rPr>
          <w:noProof/>
        </w:rPr>
        <w:fldChar w:fldCharType="end"/>
      </w:r>
    </w:p>
    <w:p w14:paraId="22A1B543" w14:textId="52573117" w:rsidR="00CA3124" w:rsidRDefault="00CA3124">
      <w:pPr>
        <w:pStyle w:val="TOC3"/>
        <w:rPr>
          <w:rFonts w:asciiTheme="minorHAnsi" w:eastAsiaTheme="minorEastAsia" w:hAnsiTheme="minorHAnsi" w:cstheme="minorBidi"/>
          <w:bCs w:val="0"/>
          <w:color w:val="auto"/>
          <w:spacing w:val="0"/>
          <w:sz w:val="22"/>
          <w:szCs w:val="22"/>
          <w:lang w:val="en-AU" w:eastAsia="en-AU"/>
        </w:rPr>
      </w:pPr>
      <w:r>
        <w:t>Increasing risk through unequal distribution and exposure to the determinants of health</w:t>
      </w:r>
      <w:r>
        <w:tab/>
      </w:r>
      <w:r>
        <w:fldChar w:fldCharType="begin"/>
      </w:r>
      <w:r>
        <w:instrText xml:space="preserve"> PAGEREF _Toc42073322 \h </w:instrText>
      </w:r>
      <w:r>
        <w:fldChar w:fldCharType="separate"/>
      </w:r>
      <w:r w:rsidR="005B604C">
        <w:t>3</w:t>
      </w:r>
      <w:r>
        <w:fldChar w:fldCharType="end"/>
      </w:r>
    </w:p>
    <w:p w14:paraId="30B37FDE" w14:textId="6F4F2BD1" w:rsidR="00CA3124" w:rsidRDefault="00CA3124">
      <w:pPr>
        <w:pStyle w:val="TOC3"/>
        <w:rPr>
          <w:rFonts w:asciiTheme="minorHAnsi" w:eastAsiaTheme="minorEastAsia" w:hAnsiTheme="minorHAnsi" w:cstheme="minorBidi"/>
          <w:bCs w:val="0"/>
          <w:color w:val="auto"/>
          <w:spacing w:val="0"/>
          <w:sz w:val="22"/>
          <w:szCs w:val="22"/>
          <w:lang w:val="en-AU" w:eastAsia="en-AU"/>
        </w:rPr>
      </w:pPr>
      <w:r>
        <w:t>Indigenous health inequities in New Zealand</w:t>
      </w:r>
      <w:r>
        <w:tab/>
      </w:r>
      <w:r>
        <w:fldChar w:fldCharType="begin"/>
      </w:r>
      <w:r>
        <w:instrText xml:space="preserve"> PAGEREF _Toc42073323 \h </w:instrText>
      </w:r>
      <w:r>
        <w:fldChar w:fldCharType="separate"/>
      </w:r>
      <w:r w:rsidR="005B604C">
        <w:t>4</w:t>
      </w:r>
      <w:r>
        <w:fldChar w:fldCharType="end"/>
      </w:r>
    </w:p>
    <w:p w14:paraId="713D27C9" w14:textId="7A08DEB3" w:rsidR="00CA3124" w:rsidRDefault="00CA3124">
      <w:pPr>
        <w:pStyle w:val="TOC3"/>
        <w:rPr>
          <w:rFonts w:asciiTheme="minorHAnsi" w:eastAsiaTheme="minorEastAsia" w:hAnsiTheme="minorHAnsi" w:cstheme="minorBidi"/>
          <w:bCs w:val="0"/>
          <w:color w:val="auto"/>
          <w:spacing w:val="0"/>
          <w:sz w:val="22"/>
          <w:szCs w:val="22"/>
          <w:lang w:val="en-AU" w:eastAsia="en-AU"/>
        </w:rPr>
      </w:pPr>
      <w:r>
        <w:t>Human rights</w:t>
      </w:r>
      <w:r>
        <w:tab/>
      </w:r>
      <w:r>
        <w:fldChar w:fldCharType="begin"/>
      </w:r>
      <w:r>
        <w:instrText xml:space="preserve"> PAGEREF _Toc42073324 \h </w:instrText>
      </w:r>
      <w:r>
        <w:fldChar w:fldCharType="separate"/>
      </w:r>
      <w:r w:rsidR="005B604C">
        <w:t>4</w:t>
      </w:r>
      <w:r>
        <w:fldChar w:fldCharType="end"/>
      </w:r>
    </w:p>
    <w:p w14:paraId="522C3671" w14:textId="5F6B4D63" w:rsidR="00CA3124" w:rsidRDefault="00CA3124">
      <w:pPr>
        <w:pStyle w:val="TOC1"/>
        <w:rPr>
          <w:rFonts w:asciiTheme="minorHAnsi" w:eastAsiaTheme="minorEastAsia" w:hAnsiTheme="minorHAnsi" w:cstheme="minorBidi"/>
          <w:b w:val="0"/>
          <w:noProof/>
          <w:color w:val="auto"/>
          <w:sz w:val="22"/>
          <w:szCs w:val="22"/>
          <w:lang w:val="en-AU" w:eastAsia="en-AU"/>
        </w:rPr>
      </w:pPr>
      <w:r w:rsidRPr="00BC2BD1">
        <w:rPr>
          <w:rFonts w:ascii="Helv" w:hAnsi="Helv"/>
          <w:noProof/>
        </w:rPr>
        <w:t>Ethical principles</w:t>
      </w:r>
      <w:r>
        <w:rPr>
          <w:noProof/>
        </w:rPr>
        <w:tab/>
      </w:r>
      <w:r>
        <w:rPr>
          <w:noProof/>
        </w:rPr>
        <w:fldChar w:fldCharType="begin"/>
      </w:r>
      <w:r>
        <w:rPr>
          <w:noProof/>
        </w:rPr>
        <w:instrText xml:space="preserve"> PAGEREF _Toc42073325 \h </w:instrText>
      </w:r>
      <w:r>
        <w:rPr>
          <w:noProof/>
        </w:rPr>
      </w:r>
      <w:r>
        <w:rPr>
          <w:noProof/>
        </w:rPr>
        <w:fldChar w:fldCharType="separate"/>
      </w:r>
      <w:r w:rsidR="005B604C">
        <w:rPr>
          <w:noProof/>
        </w:rPr>
        <w:t>5</w:t>
      </w:r>
      <w:r>
        <w:rPr>
          <w:noProof/>
        </w:rPr>
        <w:fldChar w:fldCharType="end"/>
      </w:r>
    </w:p>
    <w:p w14:paraId="0531609A" w14:textId="25D6DDD0"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Pr>
          <w:noProof/>
        </w:rPr>
        <w:t>Introduction</w:t>
      </w:r>
      <w:r>
        <w:rPr>
          <w:noProof/>
        </w:rPr>
        <w:tab/>
      </w:r>
      <w:r>
        <w:rPr>
          <w:noProof/>
        </w:rPr>
        <w:fldChar w:fldCharType="begin"/>
      </w:r>
      <w:r>
        <w:rPr>
          <w:noProof/>
        </w:rPr>
        <w:instrText xml:space="preserve"> PAGEREF _Toc42073326 \h </w:instrText>
      </w:r>
      <w:r>
        <w:rPr>
          <w:noProof/>
        </w:rPr>
      </w:r>
      <w:r>
        <w:rPr>
          <w:noProof/>
        </w:rPr>
        <w:fldChar w:fldCharType="separate"/>
      </w:r>
      <w:r w:rsidR="005B604C">
        <w:rPr>
          <w:noProof/>
        </w:rPr>
        <w:t>5</w:t>
      </w:r>
      <w:r>
        <w:rPr>
          <w:noProof/>
        </w:rPr>
        <w:fldChar w:fldCharType="end"/>
      </w:r>
    </w:p>
    <w:p w14:paraId="5253955D" w14:textId="39369F50" w:rsidR="00CA3124" w:rsidRDefault="00CA3124">
      <w:pPr>
        <w:pStyle w:val="TOC3"/>
        <w:rPr>
          <w:rFonts w:asciiTheme="minorHAnsi" w:eastAsiaTheme="minorEastAsia" w:hAnsiTheme="minorHAnsi" w:cstheme="minorBidi"/>
          <w:bCs w:val="0"/>
          <w:color w:val="auto"/>
          <w:spacing w:val="0"/>
          <w:sz w:val="22"/>
          <w:szCs w:val="22"/>
          <w:lang w:val="en-AU" w:eastAsia="en-AU"/>
        </w:rPr>
      </w:pPr>
      <w:r>
        <w:t>Tensions between the principles</w:t>
      </w:r>
      <w:r>
        <w:tab/>
      </w:r>
      <w:r>
        <w:fldChar w:fldCharType="begin"/>
      </w:r>
      <w:r>
        <w:instrText xml:space="preserve"> PAGEREF _Toc42073327 \h </w:instrText>
      </w:r>
      <w:r>
        <w:fldChar w:fldCharType="separate"/>
      </w:r>
      <w:r w:rsidR="005B604C">
        <w:t>5</w:t>
      </w:r>
      <w:r>
        <w:fldChar w:fldCharType="end"/>
      </w:r>
    </w:p>
    <w:p w14:paraId="6B95EB12" w14:textId="7FC6CC8C" w:rsidR="00CA3124" w:rsidRDefault="00CA3124">
      <w:pPr>
        <w:pStyle w:val="TOC1"/>
        <w:rPr>
          <w:rFonts w:asciiTheme="minorHAnsi" w:eastAsiaTheme="minorEastAsia" w:hAnsiTheme="minorHAnsi" w:cstheme="minorBidi"/>
          <w:b w:val="0"/>
          <w:noProof/>
          <w:color w:val="auto"/>
          <w:sz w:val="22"/>
          <w:szCs w:val="22"/>
          <w:lang w:val="en-AU" w:eastAsia="en-AU"/>
        </w:rPr>
      </w:pPr>
      <w:r>
        <w:rPr>
          <w:noProof/>
        </w:rPr>
        <w:t>Allocation of resources</w:t>
      </w:r>
      <w:r>
        <w:rPr>
          <w:noProof/>
        </w:rPr>
        <w:tab/>
      </w:r>
      <w:r>
        <w:rPr>
          <w:noProof/>
        </w:rPr>
        <w:fldChar w:fldCharType="begin"/>
      </w:r>
      <w:r>
        <w:rPr>
          <w:noProof/>
        </w:rPr>
        <w:instrText xml:space="preserve"> PAGEREF _Toc42073328 \h </w:instrText>
      </w:r>
      <w:r>
        <w:rPr>
          <w:noProof/>
        </w:rPr>
      </w:r>
      <w:r>
        <w:rPr>
          <w:noProof/>
        </w:rPr>
        <w:fldChar w:fldCharType="separate"/>
      </w:r>
      <w:r w:rsidR="005B604C">
        <w:rPr>
          <w:noProof/>
        </w:rPr>
        <w:t>10</w:t>
      </w:r>
      <w:r>
        <w:rPr>
          <w:noProof/>
        </w:rPr>
        <w:fldChar w:fldCharType="end"/>
      </w:r>
    </w:p>
    <w:p w14:paraId="71680D05" w14:textId="4E69C667"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Pr>
          <w:noProof/>
        </w:rPr>
        <w:t>Resources</w:t>
      </w:r>
      <w:r>
        <w:rPr>
          <w:noProof/>
        </w:rPr>
        <w:tab/>
      </w:r>
      <w:r>
        <w:rPr>
          <w:noProof/>
        </w:rPr>
        <w:fldChar w:fldCharType="begin"/>
      </w:r>
      <w:r>
        <w:rPr>
          <w:noProof/>
        </w:rPr>
        <w:instrText xml:space="preserve"> PAGEREF _Toc42073329 \h </w:instrText>
      </w:r>
      <w:r>
        <w:rPr>
          <w:noProof/>
        </w:rPr>
      </w:r>
      <w:r>
        <w:rPr>
          <w:noProof/>
        </w:rPr>
        <w:fldChar w:fldCharType="separate"/>
      </w:r>
      <w:r w:rsidR="005B604C">
        <w:rPr>
          <w:noProof/>
        </w:rPr>
        <w:t>10</w:t>
      </w:r>
      <w:r>
        <w:rPr>
          <w:noProof/>
        </w:rPr>
        <w:fldChar w:fldCharType="end"/>
      </w:r>
    </w:p>
    <w:p w14:paraId="3FC85FD8" w14:textId="09D80BDE" w:rsidR="00CA3124" w:rsidRDefault="00CA3124">
      <w:pPr>
        <w:pStyle w:val="TOC3"/>
        <w:rPr>
          <w:rFonts w:asciiTheme="minorHAnsi" w:eastAsiaTheme="minorEastAsia" w:hAnsiTheme="minorHAnsi" w:cstheme="minorBidi"/>
          <w:bCs w:val="0"/>
          <w:color w:val="auto"/>
          <w:spacing w:val="0"/>
          <w:sz w:val="22"/>
          <w:szCs w:val="22"/>
          <w:lang w:val="en-AU" w:eastAsia="en-AU"/>
        </w:rPr>
      </w:pPr>
      <w:r>
        <w:t>Clinical resources</w:t>
      </w:r>
      <w:r>
        <w:tab/>
      </w:r>
      <w:r>
        <w:fldChar w:fldCharType="begin"/>
      </w:r>
      <w:r>
        <w:instrText xml:space="preserve"> PAGEREF _Toc42073330 \h </w:instrText>
      </w:r>
      <w:r>
        <w:fldChar w:fldCharType="separate"/>
      </w:r>
      <w:r w:rsidR="005B604C">
        <w:t>10</w:t>
      </w:r>
      <w:r>
        <w:fldChar w:fldCharType="end"/>
      </w:r>
    </w:p>
    <w:p w14:paraId="0511B205" w14:textId="3D687764" w:rsidR="00CA3124" w:rsidRDefault="00CA3124">
      <w:pPr>
        <w:pStyle w:val="TOC3"/>
        <w:rPr>
          <w:rFonts w:asciiTheme="minorHAnsi" w:eastAsiaTheme="minorEastAsia" w:hAnsiTheme="minorHAnsi" w:cstheme="minorBidi"/>
          <w:bCs w:val="0"/>
          <w:color w:val="auto"/>
          <w:spacing w:val="0"/>
          <w:sz w:val="22"/>
          <w:szCs w:val="22"/>
          <w:lang w:val="en-AU" w:eastAsia="en-AU"/>
        </w:rPr>
      </w:pPr>
      <w:r>
        <w:t>Public health resources</w:t>
      </w:r>
      <w:r>
        <w:tab/>
      </w:r>
      <w:r>
        <w:fldChar w:fldCharType="begin"/>
      </w:r>
      <w:r>
        <w:instrText xml:space="preserve"> PAGEREF _Toc42073331 \h </w:instrText>
      </w:r>
      <w:r>
        <w:fldChar w:fldCharType="separate"/>
      </w:r>
      <w:r w:rsidR="005B604C">
        <w:t>11</w:t>
      </w:r>
      <w:r>
        <w:fldChar w:fldCharType="end"/>
      </w:r>
    </w:p>
    <w:p w14:paraId="12E72769" w14:textId="373040A5" w:rsidR="00CA3124" w:rsidRDefault="00CA3124">
      <w:pPr>
        <w:pStyle w:val="TOC3"/>
        <w:rPr>
          <w:rFonts w:asciiTheme="minorHAnsi" w:eastAsiaTheme="minorEastAsia" w:hAnsiTheme="minorHAnsi" w:cstheme="minorBidi"/>
          <w:bCs w:val="0"/>
          <w:color w:val="auto"/>
          <w:spacing w:val="0"/>
          <w:sz w:val="22"/>
          <w:szCs w:val="22"/>
          <w:lang w:val="en-AU" w:eastAsia="en-AU"/>
        </w:rPr>
      </w:pPr>
      <w:r>
        <w:t>Support service resources</w:t>
      </w:r>
      <w:r>
        <w:tab/>
      </w:r>
      <w:r>
        <w:fldChar w:fldCharType="begin"/>
      </w:r>
      <w:r>
        <w:instrText xml:space="preserve"> PAGEREF _Toc42073332 \h </w:instrText>
      </w:r>
      <w:r>
        <w:fldChar w:fldCharType="separate"/>
      </w:r>
      <w:r w:rsidR="005B604C">
        <w:t>11</w:t>
      </w:r>
      <w:r>
        <w:fldChar w:fldCharType="end"/>
      </w:r>
    </w:p>
    <w:p w14:paraId="48DFA675" w14:textId="3FB9F1D9"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Pr>
          <w:noProof/>
        </w:rPr>
        <w:t>Making decisions</w:t>
      </w:r>
      <w:r>
        <w:rPr>
          <w:noProof/>
        </w:rPr>
        <w:tab/>
      </w:r>
      <w:r>
        <w:rPr>
          <w:noProof/>
        </w:rPr>
        <w:fldChar w:fldCharType="begin"/>
      </w:r>
      <w:r>
        <w:rPr>
          <w:noProof/>
        </w:rPr>
        <w:instrText xml:space="preserve"> PAGEREF _Toc42073333 \h </w:instrText>
      </w:r>
      <w:r>
        <w:rPr>
          <w:noProof/>
        </w:rPr>
      </w:r>
      <w:r>
        <w:rPr>
          <w:noProof/>
        </w:rPr>
        <w:fldChar w:fldCharType="separate"/>
      </w:r>
      <w:r w:rsidR="005B604C">
        <w:rPr>
          <w:noProof/>
        </w:rPr>
        <w:t>11</w:t>
      </w:r>
      <w:r>
        <w:rPr>
          <w:noProof/>
        </w:rPr>
        <w:fldChar w:fldCharType="end"/>
      </w:r>
    </w:p>
    <w:p w14:paraId="4701C300" w14:textId="52285DB2" w:rsidR="00CA3124" w:rsidRDefault="00CA3124">
      <w:pPr>
        <w:pStyle w:val="TOC3"/>
        <w:rPr>
          <w:rFonts w:asciiTheme="minorHAnsi" w:eastAsiaTheme="minorEastAsia" w:hAnsiTheme="minorHAnsi" w:cstheme="minorBidi"/>
          <w:bCs w:val="0"/>
          <w:color w:val="auto"/>
          <w:spacing w:val="0"/>
          <w:sz w:val="22"/>
          <w:szCs w:val="22"/>
          <w:lang w:val="en-AU" w:eastAsia="en-AU"/>
        </w:rPr>
      </w:pPr>
      <w:r>
        <w:t>The decision-making process</w:t>
      </w:r>
      <w:r>
        <w:tab/>
      </w:r>
      <w:r>
        <w:fldChar w:fldCharType="begin"/>
      </w:r>
      <w:r>
        <w:instrText xml:space="preserve"> PAGEREF _Toc42073334 \h </w:instrText>
      </w:r>
      <w:r>
        <w:fldChar w:fldCharType="separate"/>
      </w:r>
      <w:r w:rsidR="005B604C">
        <w:t>11</w:t>
      </w:r>
      <w:r>
        <w:fldChar w:fldCharType="end"/>
      </w:r>
    </w:p>
    <w:p w14:paraId="29A2B171" w14:textId="07B9D98A" w:rsidR="00CA3124" w:rsidRDefault="00CA3124">
      <w:pPr>
        <w:pStyle w:val="TOC3"/>
        <w:rPr>
          <w:rFonts w:asciiTheme="minorHAnsi" w:eastAsiaTheme="minorEastAsia" w:hAnsiTheme="minorHAnsi" w:cstheme="minorBidi"/>
          <w:bCs w:val="0"/>
          <w:color w:val="auto"/>
          <w:spacing w:val="0"/>
          <w:sz w:val="22"/>
          <w:szCs w:val="22"/>
          <w:lang w:val="en-AU" w:eastAsia="en-AU"/>
        </w:rPr>
      </w:pPr>
      <w:r w:rsidRPr="00BC2BD1">
        <w:rPr>
          <w:rFonts w:eastAsiaTheme="minorHAnsi"/>
        </w:rPr>
        <w:t>Establishing a decision-making group</w:t>
      </w:r>
      <w:r>
        <w:tab/>
      </w:r>
      <w:r>
        <w:fldChar w:fldCharType="begin"/>
      </w:r>
      <w:r>
        <w:instrText xml:space="preserve"> PAGEREF _Toc42073335 \h </w:instrText>
      </w:r>
      <w:r>
        <w:fldChar w:fldCharType="separate"/>
      </w:r>
      <w:r w:rsidR="005B604C">
        <w:t>12</w:t>
      </w:r>
      <w:r>
        <w:fldChar w:fldCharType="end"/>
      </w:r>
    </w:p>
    <w:p w14:paraId="617DF8BE" w14:textId="17BF50DD" w:rsidR="00CA3124" w:rsidRDefault="00CA3124">
      <w:pPr>
        <w:pStyle w:val="TOC1"/>
        <w:rPr>
          <w:rFonts w:asciiTheme="minorHAnsi" w:eastAsiaTheme="minorEastAsia" w:hAnsiTheme="minorHAnsi" w:cstheme="minorBidi"/>
          <w:b w:val="0"/>
          <w:noProof/>
          <w:color w:val="auto"/>
          <w:sz w:val="22"/>
          <w:szCs w:val="22"/>
          <w:lang w:val="en-AU" w:eastAsia="en-AU"/>
        </w:rPr>
      </w:pPr>
      <w:r>
        <w:rPr>
          <w:noProof/>
        </w:rPr>
        <w:t>General allocation guidance</w:t>
      </w:r>
      <w:r>
        <w:rPr>
          <w:noProof/>
        </w:rPr>
        <w:tab/>
      </w:r>
      <w:r>
        <w:rPr>
          <w:noProof/>
        </w:rPr>
        <w:fldChar w:fldCharType="begin"/>
      </w:r>
      <w:r>
        <w:rPr>
          <w:noProof/>
        </w:rPr>
        <w:instrText xml:space="preserve"> PAGEREF _Toc42073336 \h </w:instrText>
      </w:r>
      <w:r>
        <w:rPr>
          <w:noProof/>
        </w:rPr>
      </w:r>
      <w:r>
        <w:rPr>
          <w:noProof/>
        </w:rPr>
        <w:fldChar w:fldCharType="separate"/>
      </w:r>
      <w:r w:rsidR="005B604C">
        <w:rPr>
          <w:noProof/>
        </w:rPr>
        <w:t>13</w:t>
      </w:r>
      <w:r>
        <w:rPr>
          <w:noProof/>
        </w:rPr>
        <w:fldChar w:fldCharType="end"/>
      </w:r>
    </w:p>
    <w:p w14:paraId="38BC6FCF" w14:textId="5D87AB93" w:rsidR="00CA3124" w:rsidRDefault="00CA3124">
      <w:pPr>
        <w:pStyle w:val="TOC3"/>
        <w:rPr>
          <w:rFonts w:asciiTheme="minorHAnsi" w:eastAsiaTheme="minorEastAsia" w:hAnsiTheme="minorHAnsi" w:cstheme="minorBidi"/>
          <w:bCs w:val="0"/>
          <w:color w:val="auto"/>
          <w:spacing w:val="0"/>
          <w:sz w:val="22"/>
          <w:szCs w:val="22"/>
          <w:lang w:val="en-AU" w:eastAsia="en-AU"/>
        </w:rPr>
      </w:pPr>
      <w:r>
        <w:t>Should COVID-19 patients be prioritised over patients without COVID-19 in resource allocation?</w:t>
      </w:r>
      <w:r>
        <w:tab/>
      </w:r>
      <w:r>
        <w:fldChar w:fldCharType="begin"/>
      </w:r>
      <w:r>
        <w:instrText xml:space="preserve"> PAGEREF _Toc42073337 \h </w:instrText>
      </w:r>
      <w:r>
        <w:fldChar w:fldCharType="separate"/>
      </w:r>
      <w:r w:rsidR="005B604C">
        <w:t>13</w:t>
      </w:r>
      <w:r>
        <w:fldChar w:fldCharType="end"/>
      </w:r>
    </w:p>
    <w:p w14:paraId="301A296C" w14:textId="566FA835" w:rsidR="00CA3124" w:rsidRDefault="00CA3124">
      <w:pPr>
        <w:pStyle w:val="TOC3"/>
        <w:rPr>
          <w:rFonts w:asciiTheme="minorHAnsi" w:eastAsiaTheme="minorEastAsia" w:hAnsiTheme="minorHAnsi" w:cstheme="minorBidi"/>
          <w:bCs w:val="0"/>
          <w:color w:val="auto"/>
          <w:spacing w:val="0"/>
          <w:sz w:val="22"/>
          <w:szCs w:val="22"/>
          <w:lang w:val="en-AU" w:eastAsia="en-AU"/>
        </w:rPr>
      </w:pPr>
      <w:r>
        <w:t>How will resource allocation impact electives and routine health care?</w:t>
      </w:r>
      <w:r>
        <w:tab/>
      </w:r>
      <w:r>
        <w:fldChar w:fldCharType="begin"/>
      </w:r>
      <w:r>
        <w:instrText xml:space="preserve"> PAGEREF _Toc42073338 \h </w:instrText>
      </w:r>
      <w:r>
        <w:fldChar w:fldCharType="separate"/>
      </w:r>
      <w:r w:rsidR="005B604C">
        <w:t>13</w:t>
      </w:r>
      <w:r>
        <w:fldChar w:fldCharType="end"/>
      </w:r>
    </w:p>
    <w:p w14:paraId="76B3EA2D" w14:textId="2B539E53" w:rsidR="00CA3124" w:rsidRDefault="00CA3124">
      <w:pPr>
        <w:pStyle w:val="TOC3"/>
        <w:rPr>
          <w:rFonts w:asciiTheme="minorHAnsi" w:eastAsiaTheme="minorEastAsia" w:hAnsiTheme="minorHAnsi" w:cstheme="minorBidi"/>
          <w:bCs w:val="0"/>
          <w:color w:val="auto"/>
          <w:spacing w:val="0"/>
          <w:sz w:val="22"/>
          <w:szCs w:val="22"/>
          <w:lang w:val="en-AU" w:eastAsia="en-AU"/>
        </w:rPr>
      </w:pPr>
      <w:r>
        <w:t>Should the standard of care for patients change in an epidemic?</w:t>
      </w:r>
      <w:r>
        <w:tab/>
      </w:r>
      <w:r>
        <w:fldChar w:fldCharType="begin"/>
      </w:r>
      <w:r>
        <w:instrText xml:space="preserve"> PAGEREF _Toc42073339 \h </w:instrText>
      </w:r>
      <w:r>
        <w:fldChar w:fldCharType="separate"/>
      </w:r>
      <w:r w:rsidR="005B604C">
        <w:t>14</w:t>
      </w:r>
      <w:r>
        <w:fldChar w:fldCharType="end"/>
      </w:r>
    </w:p>
    <w:p w14:paraId="6F2BA74C" w14:textId="54F8C6CB" w:rsidR="00CA3124" w:rsidRDefault="00CA3124">
      <w:pPr>
        <w:pStyle w:val="TOC3"/>
        <w:rPr>
          <w:rFonts w:asciiTheme="minorHAnsi" w:eastAsiaTheme="minorEastAsia" w:hAnsiTheme="minorHAnsi" w:cstheme="minorBidi"/>
          <w:bCs w:val="0"/>
          <w:color w:val="auto"/>
          <w:spacing w:val="0"/>
          <w:sz w:val="22"/>
          <w:szCs w:val="22"/>
          <w:lang w:val="en-AU" w:eastAsia="en-AU"/>
        </w:rPr>
      </w:pPr>
      <w:r>
        <w:t>How will data be collected and shared?</w:t>
      </w:r>
      <w:r>
        <w:tab/>
      </w:r>
      <w:r>
        <w:fldChar w:fldCharType="begin"/>
      </w:r>
      <w:r>
        <w:instrText xml:space="preserve"> PAGEREF _Toc42073340 \h </w:instrText>
      </w:r>
      <w:r>
        <w:fldChar w:fldCharType="separate"/>
      </w:r>
      <w:r w:rsidR="005B604C">
        <w:t>14</w:t>
      </w:r>
      <w:r>
        <w:fldChar w:fldCharType="end"/>
      </w:r>
    </w:p>
    <w:p w14:paraId="78BDFEA0" w14:textId="0086DF95" w:rsidR="00CA3124" w:rsidRDefault="00CA3124">
      <w:pPr>
        <w:pStyle w:val="TOC3"/>
        <w:rPr>
          <w:rFonts w:asciiTheme="minorHAnsi" w:eastAsiaTheme="minorEastAsia" w:hAnsiTheme="minorHAnsi" w:cstheme="minorBidi"/>
          <w:bCs w:val="0"/>
          <w:color w:val="auto"/>
          <w:spacing w:val="0"/>
          <w:sz w:val="22"/>
          <w:szCs w:val="22"/>
          <w:lang w:val="en-AU" w:eastAsia="en-AU"/>
        </w:rPr>
      </w:pPr>
      <w:r>
        <w:t>What are organisations’ obligations?</w:t>
      </w:r>
      <w:r>
        <w:tab/>
      </w:r>
      <w:r>
        <w:fldChar w:fldCharType="begin"/>
      </w:r>
      <w:r>
        <w:instrText xml:space="preserve"> PAGEREF _Toc42073341 \h </w:instrText>
      </w:r>
      <w:r>
        <w:fldChar w:fldCharType="separate"/>
      </w:r>
      <w:r w:rsidR="005B604C">
        <w:t>14</w:t>
      </w:r>
      <w:r>
        <w:fldChar w:fldCharType="end"/>
      </w:r>
    </w:p>
    <w:p w14:paraId="2BDE2F3F" w14:textId="092A5A12" w:rsidR="00CA3124" w:rsidRDefault="00CA3124">
      <w:pPr>
        <w:pStyle w:val="TOC1"/>
        <w:rPr>
          <w:rFonts w:asciiTheme="minorHAnsi" w:eastAsiaTheme="minorEastAsia" w:hAnsiTheme="minorHAnsi" w:cstheme="minorBidi"/>
          <w:b w:val="0"/>
          <w:noProof/>
          <w:color w:val="auto"/>
          <w:sz w:val="22"/>
          <w:szCs w:val="22"/>
          <w:lang w:val="en-AU" w:eastAsia="en-AU"/>
        </w:rPr>
      </w:pPr>
      <w:r>
        <w:rPr>
          <w:noProof/>
        </w:rPr>
        <w:t>Example 1: Intensive care unit allocation</w:t>
      </w:r>
      <w:r>
        <w:rPr>
          <w:noProof/>
        </w:rPr>
        <w:tab/>
      </w:r>
      <w:r>
        <w:rPr>
          <w:noProof/>
        </w:rPr>
        <w:fldChar w:fldCharType="begin"/>
      </w:r>
      <w:r>
        <w:rPr>
          <w:noProof/>
        </w:rPr>
        <w:instrText xml:space="preserve"> PAGEREF _Toc42073342 \h </w:instrText>
      </w:r>
      <w:r>
        <w:rPr>
          <w:noProof/>
        </w:rPr>
      </w:r>
      <w:r>
        <w:rPr>
          <w:noProof/>
        </w:rPr>
        <w:fldChar w:fldCharType="separate"/>
      </w:r>
      <w:r w:rsidR="005B604C">
        <w:rPr>
          <w:noProof/>
        </w:rPr>
        <w:t>15</w:t>
      </w:r>
      <w:r>
        <w:rPr>
          <w:noProof/>
        </w:rPr>
        <w:fldChar w:fldCharType="end"/>
      </w:r>
    </w:p>
    <w:p w14:paraId="05C745C1" w14:textId="54039411"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sidRPr="00BC2BD1">
        <w:rPr>
          <w:noProof/>
          <w:shd w:val="clear" w:color="auto" w:fill="FFFFFF"/>
        </w:rPr>
        <w:t>Introduction</w:t>
      </w:r>
      <w:r>
        <w:rPr>
          <w:noProof/>
        </w:rPr>
        <w:tab/>
      </w:r>
      <w:r>
        <w:rPr>
          <w:noProof/>
        </w:rPr>
        <w:fldChar w:fldCharType="begin"/>
      </w:r>
      <w:r>
        <w:rPr>
          <w:noProof/>
        </w:rPr>
        <w:instrText xml:space="preserve"> PAGEREF _Toc42073343 \h </w:instrText>
      </w:r>
      <w:r>
        <w:rPr>
          <w:noProof/>
        </w:rPr>
      </w:r>
      <w:r>
        <w:rPr>
          <w:noProof/>
        </w:rPr>
        <w:fldChar w:fldCharType="separate"/>
      </w:r>
      <w:r w:rsidR="005B604C">
        <w:rPr>
          <w:noProof/>
        </w:rPr>
        <w:t>15</w:t>
      </w:r>
      <w:r>
        <w:rPr>
          <w:noProof/>
        </w:rPr>
        <w:fldChar w:fldCharType="end"/>
      </w:r>
    </w:p>
    <w:p w14:paraId="48CBA3A0" w14:textId="4035C91E"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sidRPr="00BC2BD1">
        <w:rPr>
          <w:noProof/>
          <w:shd w:val="clear" w:color="auto" w:fill="FFFFFF"/>
        </w:rPr>
        <w:t>Applying the principles</w:t>
      </w:r>
      <w:r>
        <w:rPr>
          <w:noProof/>
        </w:rPr>
        <w:tab/>
      </w:r>
      <w:r>
        <w:rPr>
          <w:noProof/>
        </w:rPr>
        <w:fldChar w:fldCharType="begin"/>
      </w:r>
      <w:r>
        <w:rPr>
          <w:noProof/>
        </w:rPr>
        <w:instrText xml:space="preserve"> PAGEREF _Toc42073344 \h </w:instrText>
      </w:r>
      <w:r>
        <w:rPr>
          <w:noProof/>
        </w:rPr>
      </w:r>
      <w:r>
        <w:rPr>
          <w:noProof/>
        </w:rPr>
        <w:fldChar w:fldCharType="separate"/>
      </w:r>
      <w:r w:rsidR="005B604C">
        <w:rPr>
          <w:noProof/>
        </w:rPr>
        <w:t>15</w:t>
      </w:r>
      <w:r>
        <w:rPr>
          <w:noProof/>
        </w:rPr>
        <w:fldChar w:fldCharType="end"/>
      </w:r>
    </w:p>
    <w:p w14:paraId="475118E7" w14:textId="182EE3F7"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Prioritising the people most in need</w:t>
      </w:r>
      <w:r>
        <w:tab/>
      </w:r>
      <w:r>
        <w:fldChar w:fldCharType="begin"/>
      </w:r>
      <w:r>
        <w:instrText xml:space="preserve"> PAGEREF _Toc42073345 \h </w:instrText>
      </w:r>
      <w:r>
        <w:fldChar w:fldCharType="separate"/>
      </w:r>
      <w:r w:rsidR="005B604C">
        <w:t>15</w:t>
      </w:r>
      <w:r>
        <w:fldChar w:fldCharType="end"/>
      </w:r>
    </w:p>
    <w:p w14:paraId="0D351F5A" w14:textId="593BE4CE"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Getting the most out of resources</w:t>
      </w:r>
      <w:r>
        <w:tab/>
      </w:r>
      <w:r>
        <w:fldChar w:fldCharType="begin"/>
      </w:r>
      <w:r>
        <w:instrText xml:space="preserve"> PAGEREF _Toc42073346 \h </w:instrText>
      </w:r>
      <w:r>
        <w:fldChar w:fldCharType="separate"/>
      </w:r>
      <w:r w:rsidR="005B604C">
        <w:t>15</w:t>
      </w:r>
      <w:r>
        <w:fldChar w:fldCharType="end"/>
      </w:r>
    </w:p>
    <w:p w14:paraId="4A007378" w14:textId="5EB4CC59"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Achieving equity</w:t>
      </w:r>
      <w:r>
        <w:tab/>
      </w:r>
      <w:r>
        <w:fldChar w:fldCharType="begin"/>
      </w:r>
      <w:r>
        <w:instrText xml:space="preserve"> PAGEREF _Toc42073347 \h </w:instrText>
      </w:r>
      <w:r>
        <w:fldChar w:fldCharType="separate"/>
      </w:r>
      <w:r w:rsidR="005B604C">
        <w:t>16</w:t>
      </w:r>
      <w:r>
        <w:fldChar w:fldCharType="end"/>
      </w:r>
    </w:p>
    <w:p w14:paraId="0E5AB024" w14:textId="64F2FB5D"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All people are equally deserving of care</w:t>
      </w:r>
      <w:r>
        <w:tab/>
      </w:r>
      <w:r>
        <w:fldChar w:fldCharType="begin"/>
      </w:r>
      <w:r>
        <w:instrText xml:space="preserve"> PAGEREF _Toc42073348 \h </w:instrText>
      </w:r>
      <w:r>
        <w:fldChar w:fldCharType="separate"/>
      </w:r>
      <w:r w:rsidR="005B604C">
        <w:t>16</w:t>
      </w:r>
      <w:r>
        <w:fldChar w:fldCharType="end"/>
      </w:r>
    </w:p>
    <w:p w14:paraId="48241DFC" w14:textId="5DBF8AC3" w:rsidR="00CA3124" w:rsidRDefault="00CA3124">
      <w:pPr>
        <w:pStyle w:val="TOC3"/>
        <w:rPr>
          <w:rFonts w:asciiTheme="minorHAnsi" w:eastAsiaTheme="minorEastAsia" w:hAnsiTheme="minorHAnsi" w:cstheme="minorBidi"/>
          <w:bCs w:val="0"/>
          <w:color w:val="auto"/>
          <w:spacing w:val="0"/>
          <w:sz w:val="22"/>
          <w:szCs w:val="22"/>
          <w:lang w:val="en-AU" w:eastAsia="en-AU"/>
        </w:rPr>
      </w:pPr>
      <w:r w:rsidRPr="00BC2BD1">
        <w:rPr>
          <w:shd w:val="clear" w:color="auto" w:fill="FFFFFF"/>
        </w:rPr>
        <w:t>General considerations</w:t>
      </w:r>
      <w:r>
        <w:tab/>
      </w:r>
      <w:r>
        <w:fldChar w:fldCharType="begin"/>
      </w:r>
      <w:r>
        <w:instrText xml:space="preserve"> PAGEREF _Toc42073349 \h </w:instrText>
      </w:r>
      <w:r>
        <w:fldChar w:fldCharType="separate"/>
      </w:r>
      <w:r w:rsidR="005B604C">
        <w:t>16</w:t>
      </w:r>
      <w:r>
        <w:fldChar w:fldCharType="end"/>
      </w:r>
    </w:p>
    <w:p w14:paraId="2C9F1C46" w14:textId="35EA4025" w:rsidR="00CA3124" w:rsidRDefault="00CA3124">
      <w:pPr>
        <w:pStyle w:val="TOC1"/>
        <w:rPr>
          <w:rFonts w:asciiTheme="minorHAnsi" w:eastAsiaTheme="minorEastAsia" w:hAnsiTheme="minorHAnsi" w:cstheme="minorBidi"/>
          <w:b w:val="0"/>
          <w:noProof/>
          <w:color w:val="auto"/>
          <w:sz w:val="22"/>
          <w:szCs w:val="22"/>
          <w:lang w:val="en-AU" w:eastAsia="en-AU"/>
        </w:rPr>
      </w:pPr>
      <w:r>
        <w:rPr>
          <w:noProof/>
        </w:rPr>
        <w:t>Example 2: Personal protective equipment allocation</w:t>
      </w:r>
      <w:r>
        <w:rPr>
          <w:noProof/>
        </w:rPr>
        <w:tab/>
      </w:r>
      <w:r>
        <w:rPr>
          <w:noProof/>
        </w:rPr>
        <w:fldChar w:fldCharType="begin"/>
      </w:r>
      <w:r>
        <w:rPr>
          <w:noProof/>
        </w:rPr>
        <w:instrText xml:space="preserve"> PAGEREF _Toc42073350 \h </w:instrText>
      </w:r>
      <w:r>
        <w:rPr>
          <w:noProof/>
        </w:rPr>
      </w:r>
      <w:r>
        <w:rPr>
          <w:noProof/>
        </w:rPr>
        <w:fldChar w:fldCharType="separate"/>
      </w:r>
      <w:r w:rsidR="005B604C">
        <w:rPr>
          <w:noProof/>
        </w:rPr>
        <w:t>20</w:t>
      </w:r>
      <w:r>
        <w:rPr>
          <w:noProof/>
        </w:rPr>
        <w:fldChar w:fldCharType="end"/>
      </w:r>
    </w:p>
    <w:p w14:paraId="6F0C6718" w14:textId="32CDE2DF"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sidRPr="00BC2BD1">
        <w:rPr>
          <w:noProof/>
          <w:shd w:val="clear" w:color="auto" w:fill="FFFFFF"/>
        </w:rPr>
        <w:t>Introduction</w:t>
      </w:r>
      <w:r>
        <w:rPr>
          <w:noProof/>
        </w:rPr>
        <w:tab/>
      </w:r>
      <w:r>
        <w:rPr>
          <w:noProof/>
        </w:rPr>
        <w:fldChar w:fldCharType="begin"/>
      </w:r>
      <w:r>
        <w:rPr>
          <w:noProof/>
        </w:rPr>
        <w:instrText xml:space="preserve"> PAGEREF _Toc42073351 \h </w:instrText>
      </w:r>
      <w:r>
        <w:rPr>
          <w:noProof/>
        </w:rPr>
      </w:r>
      <w:r>
        <w:rPr>
          <w:noProof/>
        </w:rPr>
        <w:fldChar w:fldCharType="separate"/>
      </w:r>
      <w:r w:rsidR="005B604C">
        <w:rPr>
          <w:noProof/>
        </w:rPr>
        <w:t>20</w:t>
      </w:r>
      <w:r>
        <w:rPr>
          <w:noProof/>
        </w:rPr>
        <w:fldChar w:fldCharType="end"/>
      </w:r>
    </w:p>
    <w:p w14:paraId="49DBF05D" w14:textId="58F6B57D"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sidRPr="00BC2BD1">
        <w:rPr>
          <w:noProof/>
          <w:shd w:val="clear" w:color="auto" w:fill="FFFFFF"/>
        </w:rPr>
        <w:t>Applying the principles</w:t>
      </w:r>
      <w:r>
        <w:rPr>
          <w:noProof/>
        </w:rPr>
        <w:tab/>
      </w:r>
      <w:r>
        <w:rPr>
          <w:noProof/>
        </w:rPr>
        <w:fldChar w:fldCharType="begin"/>
      </w:r>
      <w:r>
        <w:rPr>
          <w:noProof/>
        </w:rPr>
        <w:instrText xml:space="preserve"> PAGEREF _Toc42073352 \h </w:instrText>
      </w:r>
      <w:r>
        <w:rPr>
          <w:noProof/>
        </w:rPr>
      </w:r>
      <w:r>
        <w:rPr>
          <w:noProof/>
        </w:rPr>
        <w:fldChar w:fldCharType="separate"/>
      </w:r>
      <w:r w:rsidR="005B604C">
        <w:rPr>
          <w:noProof/>
        </w:rPr>
        <w:t>20</w:t>
      </w:r>
      <w:r>
        <w:rPr>
          <w:noProof/>
        </w:rPr>
        <w:fldChar w:fldCharType="end"/>
      </w:r>
    </w:p>
    <w:p w14:paraId="15A10850" w14:textId="30A348A9"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Prioritising the people most in need</w:t>
      </w:r>
      <w:r>
        <w:tab/>
      </w:r>
      <w:r>
        <w:fldChar w:fldCharType="begin"/>
      </w:r>
      <w:r>
        <w:instrText xml:space="preserve"> PAGEREF _Toc42073353 \h </w:instrText>
      </w:r>
      <w:r>
        <w:fldChar w:fldCharType="separate"/>
      </w:r>
      <w:r w:rsidR="005B604C">
        <w:t>20</w:t>
      </w:r>
      <w:r>
        <w:fldChar w:fldCharType="end"/>
      </w:r>
    </w:p>
    <w:p w14:paraId="5DC8A773" w14:textId="16233A4D"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Getting the most from the resources</w:t>
      </w:r>
      <w:r>
        <w:tab/>
      </w:r>
      <w:r>
        <w:fldChar w:fldCharType="begin"/>
      </w:r>
      <w:r>
        <w:instrText xml:space="preserve"> PAGEREF _Toc42073354 \h </w:instrText>
      </w:r>
      <w:r>
        <w:fldChar w:fldCharType="separate"/>
      </w:r>
      <w:r w:rsidR="005B604C">
        <w:t>20</w:t>
      </w:r>
      <w:r>
        <w:fldChar w:fldCharType="end"/>
      </w:r>
    </w:p>
    <w:p w14:paraId="75CCBE11" w14:textId="36550D5E"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Achieving equity</w:t>
      </w:r>
      <w:r>
        <w:tab/>
      </w:r>
      <w:r>
        <w:fldChar w:fldCharType="begin"/>
      </w:r>
      <w:r>
        <w:instrText xml:space="preserve"> PAGEREF _Toc42073355 \h </w:instrText>
      </w:r>
      <w:r>
        <w:fldChar w:fldCharType="separate"/>
      </w:r>
      <w:r w:rsidR="005B604C">
        <w:t>21</w:t>
      </w:r>
      <w:r>
        <w:fldChar w:fldCharType="end"/>
      </w:r>
    </w:p>
    <w:p w14:paraId="4AA48378" w14:textId="163B0D19"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All people are equally deserving of care</w:t>
      </w:r>
      <w:r>
        <w:tab/>
      </w:r>
      <w:r>
        <w:fldChar w:fldCharType="begin"/>
      </w:r>
      <w:r>
        <w:instrText xml:space="preserve"> PAGEREF _Toc42073356 \h </w:instrText>
      </w:r>
      <w:r>
        <w:fldChar w:fldCharType="separate"/>
      </w:r>
      <w:r w:rsidR="005B604C">
        <w:t>22</w:t>
      </w:r>
      <w:r>
        <w:fldChar w:fldCharType="end"/>
      </w:r>
    </w:p>
    <w:p w14:paraId="24545EA6" w14:textId="23B57F54" w:rsidR="00CA3124" w:rsidRDefault="00CA3124">
      <w:pPr>
        <w:pStyle w:val="TOC3"/>
        <w:rPr>
          <w:rFonts w:asciiTheme="minorHAnsi" w:eastAsiaTheme="minorEastAsia" w:hAnsiTheme="minorHAnsi" w:cstheme="minorBidi"/>
          <w:bCs w:val="0"/>
          <w:color w:val="auto"/>
          <w:spacing w:val="0"/>
          <w:sz w:val="22"/>
          <w:szCs w:val="22"/>
          <w:lang w:val="en-AU" w:eastAsia="en-AU"/>
        </w:rPr>
      </w:pPr>
      <w:r w:rsidRPr="00BC2BD1">
        <w:rPr>
          <w:shd w:val="clear" w:color="auto" w:fill="FFFFFF"/>
        </w:rPr>
        <w:t>General considerations</w:t>
      </w:r>
      <w:r>
        <w:tab/>
      </w:r>
      <w:r>
        <w:fldChar w:fldCharType="begin"/>
      </w:r>
      <w:r>
        <w:instrText xml:space="preserve"> PAGEREF _Toc42073357 \h </w:instrText>
      </w:r>
      <w:r>
        <w:fldChar w:fldCharType="separate"/>
      </w:r>
      <w:r w:rsidR="005B604C">
        <w:t>22</w:t>
      </w:r>
      <w:r>
        <w:fldChar w:fldCharType="end"/>
      </w:r>
    </w:p>
    <w:p w14:paraId="53BFC7CB" w14:textId="7D709E76" w:rsidR="00CA3124" w:rsidRDefault="00CA3124">
      <w:pPr>
        <w:pStyle w:val="TOC1"/>
        <w:rPr>
          <w:rFonts w:asciiTheme="minorHAnsi" w:eastAsiaTheme="minorEastAsia" w:hAnsiTheme="minorHAnsi" w:cstheme="minorBidi"/>
          <w:b w:val="0"/>
          <w:noProof/>
          <w:color w:val="auto"/>
          <w:sz w:val="22"/>
          <w:szCs w:val="22"/>
          <w:lang w:val="en-AU" w:eastAsia="en-AU"/>
        </w:rPr>
      </w:pPr>
      <w:r>
        <w:rPr>
          <w:noProof/>
        </w:rPr>
        <w:t>Example 3: Vaccine allocation</w:t>
      </w:r>
      <w:r>
        <w:rPr>
          <w:noProof/>
        </w:rPr>
        <w:tab/>
      </w:r>
      <w:r>
        <w:rPr>
          <w:noProof/>
        </w:rPr>
        <w:fldChar w:fldCharType="begin"/>
      </w:r>
      <w:r>
        <w:rPr>
          <w:noProof/>
        </w:rPr>
        <w:instrText xml:space="preserve"> PAGEREF _Toc42073358 \h </w:instrText>
      </w:r>
      <w:r>
        <w:rPr>
          <w:noProof/>
        </w:rPr>
      </w:r>
      <w:r>
        <w:rPr>
          <w:noProof/>
        </w:rPr>
        <w:fldChar w:fldCharType="separate"/>
      </w:r>
      <w:r w:rsidR="005B604C">
        <w:rPr>
          <w:noProof/>
        </w:rPr>
        <w:t>24</w:t>
      </w:r>
      <w:r>
        <w:rPr>
          <w:noProof/>
        </w:rPr>
        <w:fldChar w:fldCharType="end"/>
      </w:r>
    </w:p>
    <w:p w14:paraId="7F608724" w14:textId="03E88BD4"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sidRPr="00BC2BD1">
        <w:rPr>
          <w:noProof/>
          <w:shd w:val="clear" w:color="auto" w:fill="FFFFFF"/>
        </w:rPr>
        <w:t>Introduction</w:t>
      </w:r>
      <w:r>
        <w:rPr>
          <w:noProof/>
        </w:rPr>
        <w:tab/>
      </w:r>
      <w:r>
        <w:rPr>
          <w:noProof/>
        </w:rPr>
        <w:fldChar w:fldCharType="begin"/>
      </w:r>
      <w:r>
        <w:rPr>
          <w:noProof/>
        </w:rPr>
        <w:instrText xml:space="preserve"> PAGEREF _Toc42073359 \h </w:instrText>
      </w:r>
      <w:r>
        <w:rPr>
          <w:noProof/>
        </w:rPr>
      </w:r>
      <w:r>
        <w:rPr>
          <w:noProof/>
        </w:rPr>
        <w:fldChar w:fldCharType="separate"/>
      </w:r>
      <w:r w:rsidR="005B604C">
        <w:rPr>
          <w:noProof/>
        </w:rPr>
        <w:t>24</w:t>
      </w:r>
      <w:r>
        <w:rPr>
          <w:noProof/>
        </w:rPr>
        <w:fldChar w:fldCharType="end"/>
      </w:r>
    </w:p>
    <w:p w14:paraId="352D6C76" w14:textId="0A56C26C" w:rsidR="00CA3124" w:rsidRDefault="00CA3124">
      <w:pPr>
        <w:pStyle w:val="TOC2"/>
        <w:rPr>
          <w:rFonts w:asciiTheme="minorHAnsi" w:eastAsiaTheme="minorEastAsia" w:hAnsiTheme="minorHAnsi" w:cstheme="minorBidi"/>
          <w:bCs w:val="0"/>
          <w:noProof/>
          <w:color w:val="auto"/>
          <w:spacing w:val="0"/>
          <w:sz w:val="22"/>
          <w:szCs w:val="22"/>
          <w:lang w:val="en-AU" w:eastAsia="en-AU"/>
        </w:rPr>
      </w:pPr>
      <w:r w:rsidRPr="00BC2BD1">
        <w:rPr>
          <w:noProof/>
          <w:shd w:val="clear" w:color="auto" w:fill="FFFFFF"/>
        </w:rPr>
        <w:t>Applying the principles</w:t>
      </w:r>
      <w:r>
        <w:rPr>
          <w:noProof/>
        </w:rPr>
        <w:tab/>
      </w:r>
      <w:r>
        <w:rPr>
          <w:noProof/>
        </w:rPr>
        <w:fldChar w:fldCharType="begin"/>
      </w:r>
      <w:r>
        <w:rPr>
          <w:noProof/>
        </w:rPr>
        <w:instrText xml:space="preserve"> PAGEREF _Toc42073360 \h </w:instrText>
      </w:r>
      <w:r>
        <w:rPr>
          <w:noProof/>
        </w:rPr>
      </w:r>
      <w:r>
        <w:rPr>
          <w:noProof/>
        </w:rPr>
        <w:fldChar w:fldCharType="separate"/>
      </w:r>
      <w:r w:rsidR="005B604C">
        <w:rPr>
          <w:noProof/>
        </w:rPr>
        <w:t>24</w:t>
      </w:r>
      <w:r>
        <w:rPr>
          <w:noProof/>
        </w:rPr>
        <w:fldChar w:fldCharType="end"/>
      </w:r>
    </w:p>
    <w:p w14:paraId="2AA6B26D" w14:textId="2787A3EC"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Getting the most from the resources</w:t>
      </w:r>
      <w:r>
        <w:tab/>
      </w:r>
      <w:r>
        <w:fldChar w:fldCharType="begin"/>
      </w:r>
      <w:r>
        <w:instrText xml:space="preserve"> PAGEREF _Toc42073361 \h </w:instrText>
      </w:r>
      <w:r>
        <w:fldChar w:fldCharType="separate"/>
      </w:r>
      <w:r w:rsidR="005B604C">
        <w:t>24</w:t>
      </w:r>
      <w:r>
        <w:fldChar w:fldCharType="end"/>
      </w:r>
    </w:p>
    <w:p w14:paraId="5817C4FB" w14:textId="6873EAF3"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Prioritising the people most in need</w:t>
      </w:r>
      <w:r>
        <w:tab/>
      </w:r>
      <w:r>
        <w:fldChar w:fldCharType="begin"/>
      </w:r>
      <w:r>
        <w:instrText xml:space="preserve"> PAGEREF _Toc42073362 \h </w:instrText>
      </w:r>
      <w:r>
        <w:fldChar w:fldCharType="separate"/>
      </w:r>
      <w:r w:rsidR="005B604C">
        <w:t>24</w:t>
      </w:r>
      <w:r>
        <w:fldChar w:fldCharType="end"/>
      </w:r>
    </w:p>
    <w:p w14:paraId="22ECB2AB" w14:textId="7CFE2E96"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Achieving equity</w:t>
      </w:r>
      <w:r>
        <w:tab/>
      </w:r>
      <w:r>
        <w:fldChar w:fldCharType="begin"/>
      </w:r>
      <w:r>
        <w:instrText xml:space="preserve"> PAGEREF _Toc42073363 \h </w:instrText>
      </w:r>
      <w:r>
        <w:fldChar w:fldCharType="separate"/>
      </w:r>
      <w:r w:rsidR="005B604C">
        <w:t>25</w:t>
      </w:r>
      <w:r>
        <w:fldChar w:fldCharType="end"/>
      </w:r>
    </w:p>
    <w:p w14:paraId="6D8F09A8" w14:textId="59754569" w:rsidR="00CA3124" w:rsidRDefault="00CA3124">
      <w:pPr>
        <w:pStyle w:val="TOC3"/>
        <w:rPr>
          <w:rFonts w:asciiTheme="minorHAnsi" w:eastAsiaTheme="minorEastAsia" w:hAnsiTheme="minorHAnsi" w:cstheme="minorBidi"/>
          <w:bCs w:val="0"/>
          <w:color w:val="auto"/>
          <w:spacing w:val="0"/>
          <w:sz w:val="22"/>
          <w:szCs w:val="22"/>
          <w:lang w:val="en-AU" w:eastAsia="en-AU"/>
        </w:rPr>
      </w:pPr>
      <w:r>
        <w:rPr>
          <w:lang w:eastAsia="en-NZ"/>
        </w:rPr>
        <w:t>All people are equally deserving of care</w:t>
      </w:r>
      <w:r>
        <w:tab/>
      </w:r>
      <w:r>
        <w:fldChar w:fldCharType="begin"/>
      </w:r>
      <w:r>
        <w:instrText xml:space="preserve"> PAGEREF _Toc42073364 \h </w:instrText>
      </w:r>
      <w:r>
        <w:fldChar w:fldCharType="separate"/>
      </w:r>
      <w:r w:rsidR="005B604C">
        <w:t>25</w:t>
      </w:r>
      <w:r>
        <w:fldChar w:fldCharType="end"/>
      </w:r>
    </w:p>
    <w:p w14:paraId="2372736F" w14:textId="0206DD12" w:rsidR="00CA3124" w:rsidRDefault="00CA3124">
      <w:pPr>
        <w:pStyle w:val="TOC3"/>
        <w:rPr>
          <w:rFonts w:asciiTheme="minorHAnsi" w:eastAsiaTheme="minorEastAsia" w:hAnsiTheme="minorHAnsi" w:cstheme="minorBidi"/>
          <w:bCs w:val="0"/>
          <w:color w:val="auto"/>
          <w:spacing w:val="0"/>
          <w:sz w:val="22"/>
          <w:szCs w:val="22"/>
          <w:lang w:val="en-AU" w:eastAsia="en-AU"/>
        </w:rPr>
      </w:pPr>
      <w:r w:rsidRPr="00BC2BD1">
        <w:rPr>
          <w:shd w:val="clear" w:color="auto" w:fill="FFFFFF"/>
        </w:rPr>
        <w:t>General considerations</w:t>
      </w:r>
      <w:r>
        <w:tab/>
      </w:r>
      <w:r>
        <w:fldChar w:fldCharType="begin"/>
      </w:r>
      <w:r>
        <w:instrText xml:space="preserve"> PAGEREF _Toc42073365 \h </w:instrText>
      </w:r>
      <w:r>
        <w:fldChar w:fldCharType="separate"/>
      </w:r>
      <w:r w:rsidR="005B604C">
        <w:t>25</w:t>
      </w:r>
      <w:r>
        <w:fldChar w:fldCharType="end"/>
      </w:r>
    </w:p>
    <w:p w14:paraId="62BE05A5" w14:textId="460DE156" w:rsidR="00CA3124" w:rsidRDefault="00CA3124" w:rsidP="00CA3124">
      <w:pPr>
        <w:pStyle w:val="TOC1"/>
        <w:rPr>
          <w:rFonts w:ascii="Segoe UI Semibold" w:hAnsi="Segoe UI Semibold"/>
          <w:sz w:val="24"/>
        </w:rPr>
      </w:pPr>
      <w:r>
        <w:rPr>
          <w:noProof/>
        </w:rPr>
        <w:t>Bibliography</w:t>
      </w:r>
      <w:r>
        <w:rPr>
          <w:noProof/>
        </w:rPr>
        <w:tab/>
      </w:r>
      <w:r>
        <w:rPr>
          <w:noProof/>
        </w:rPr>
        <w:fldChar w:fldCharType="begin"/>
      </w:r>
      <w:r>
        <w:rPr>
          <w:noProof/>
        </w:rPr>
        <w:instrText xml:space="preserve"> PAGEREF _Toc42073366 \h </w:instrText>
      </w:r>
      <w:r>
        <w:rPr>
          <w:noProof/>
        </w:rPr>
      </w:r>
      <w:r>
        <w:rPr>
          <w:noProof/>
        </w:rPr>
        <w:fldChar w:fldCharType="separate"/>
      </w:r>
      <w:r w:rsidR="005B604C">
        <w:rPr>
          <w:noProof/>
        </w:rPr>
        <w:t>27</w:t>
      </w:r>
      <w:r>
        <w:rPr>
          <w:noProof/>
        </w:rPr>
        <w:fldChar w:fldCharType="end"/>
      </w:r>
      <w:r>
        <w:rPr>
          <w:rFonts w:ascii="Segoe UI Semibold" w:hAnsi="Segoe UI Semibold"/>
          <w:sz w:val="24"/>
        </w:rPr>
        <w:fldChar w:fldCharType="end"/>
      </w:r>
    </w:p>
    <w:p w14:paraId="72FD712F" w14:textId="77777777" w:rsidR="005928E7" w:rsidRDefault="005928E7" w:rsidP="00EC1B6D">
      <w:pPr>
        <w:pStyle w:val="Heading1"/>
        <w:sectPr w:rsidR="005928E7" w:rsidSect="00CA3124">
          <w:headerReference w:type="default" r:id="rId23"/>
          <w:footerReference w:type="even" r:id="rId24"/>
          <w:footerReference w:type="default" r:id="rId25"/>
          <w:pgSz w:w="16838" w:h="11906" w:orient="landscape"/>
          <w:pgMar w:top="1814" w:right="2041" w:bottom="1304" w:left="1361" w:header="680" w:footer="709" w:gutter="0"/>
          <w:pgNumType w:fmt="lowerRoman" w:start="1"/>
          <w:cols w:space="708"/>
          <w:docGrid w:linePitch="360"/>
        </w:sectPr>
      </w:pPr>
    </w:p>
    <w:p w14:paraId="6C03A71F" w14:textId="36D0A1BA" w:rsidR="00B926F8" w:rsidRPr="00F3515B" w:rsidRDefault="00B926F8" w:rsidP="00EC1B6D">
      <w:pPr>
        <w:pStyle w:val="Heading1"/>
      </w:pPr>
      <w:bookmarkStart w:id="6" w:name="_Toc42073314"/>
      <w:r w:rsidRPr="00F3515B">
        <w:lastRenderedPageBreak/>
        <w:t xml:space="preserve">National Ethics Advisory Committee – </w:t>
      </w:r>
      <w:proofErr w:type="spellStart"/>
      <w:r w:rsidRPr="00F3515B">
        <w:t>K</w:t>
      </w:r>
      <w:r w:rsidR="0001192B">
        <w:t>ā</w:t>
      </w:r>
      <w:r w:rsidRPr="00F3515B">
        <w:t>hui</w:t>
      </w:r>
      <w:proofErr w:type="spellEnd"/>
      <w:r w:rsidRPr="00F3515B">
        <w:t xml:space="preserve"> </w:t>
      </w:r>
      <w:proofErr w:type="spellStart"/>
      <w:r w:rsidRPr="00F3515B">
        <w:t>Matatika</w:t>
      </w:r>
      <w:proofErr w:type="spellEnd"/>
      <w:r w:rsidRPr="00F3515B">
        <w:t xml:space="preserve"> o </w:t>
      </w:r>
      <w:proofErr w:type="spellStart"/>
      <w:r w:rsidRPr="00F3515B">
        <w:t>te</w:t>
      </w:r>
      <w:proofErr w:type="spellEnd"/>
      <w:r w:rsidRPr="00F3515B">
        <w:t xml:space="preserve"> Motu</w:t>
      </w:r>
      <w:bookmarkEnd w:id="6"/>
    </w:p>
    <w:p w14:paraId="2C8F3EB5" w14:textId="7946BCAE" w:rsidR="009B315A" w:rsidRPr="00F3515B" w:rsidRDefault="00B926F8" w:rsidP="00B867C6">
      <w:pPr>
        <w:pStyle w:val="NEACNormal"/>
      </w:pPr>
      <w:r w:rsidRPr="00F3515B">
        <w:t xml:space="preserve">The National Ethics Advisory Committee – </w:t>
      </w:r>
      <w:proofErr w:type="spellStart"/>
      <w:r w:rsidRPr="00F3515B">
        <w:t>K</w:t>
      </w:r>
      <w:r w:rsidR="0001192B">
        <w:t>ā</w:t>
      </w:r>
      <w:r w:rsidRPr="00F3515B">
        <w:t>hui</w:t>
      </w:r>
      <w:proofErr w:type="spellEnd"/>
      <w:r w:rsidRPr="00F3515B">
        <w:t xml:space="preserve"> </w:t>
      </w:r>
      <w:proofErr w:type="spellStart"/>
      <w:r w:rsidRPr="00F3515B">
        <w:t>Matatika</w:t>
      </w:r>
      <w:proofErr w:type="spellEnd"/>
      <w:r w:rsidRPr="00F3515B">
        <w:t xml:space="preserve"> o </w:t>
      </w:r>
      <w:proofErr w:type="spellStart"/>
      <w:r w:rsidRPr="00F3515B">
        <w:t>te</w:t>
      </w:r>
      <w:proofErr w:type="spellEnd"/>
      <w:r w:rsidRPr="00F3515B">
        <w:t xml:space="preserve"> Motu (NEAC) is an independent advisor to the Minister of Health</w:t>
      </w:r>
      <w:r w:rsidR="006223EB">
        <w:t xml:space="preserve"> (the Minister)</w:t>
      </w:r>
      <w:r w:rsidR="00943D7E" w:rsidRPr="00F3515B">
        <w:t xml:space="preserve">. </w:t>
      </w:r>
      <w:r w:rsidRPr="00F3515B">
        <w:t>The members of NEAC</w:t>
      </w:r>
      <w:r w:rsidR="0001192B">
        <w:t xml:space="preserve"> are</w:t>
      </w:r>
      <w:r w:rsidRPr="00F3515B">
        <w:t xml:space="preserve"> appointed by the Minister</w:t>
      </w:r>
      <w:r w:rsidR="0001192B">
        <w:t xml:space="preserve"> and</w:t>
      </w:r>
      <w:r w:rsidRPr="00F3515B">
        <w:t xml:space="preserve"> bring expertise in ethics, health and disability research, health service provision and leadership, public health, epidemiology, law, </w:t>
      </w:r>
      <w:r w:rsidR="00A273BF">
        <w:t>Māori</w:t>
      </w:r>
      <w:r w:rsidRPr="00F3515B">
        <w:t xml:space="preserve"> health and consumer advocacy.</w:t>
      </w:r>
    </w:p>
    <w:p w14:paraId="5DB978FD" w14:textId="4CA6EB67" w:rsidR="00D01564" w:rsidRPr="00F3515B" w:rsidRDefault="00D01564" w:rsidP="00B867C6">
      <w:pPr>
        <w:pStyle w:val="NEACNormal"/>
      </w:pPr>
      <w:r w:rsidRPr="00F3515B">
        <w:t xml:space="preserve">NEAC published </w:t>
      </w:r>
      <w:r w:rsidRPr="00F13FCD">
        <w:t xml:space="preserve">Getting Through Together: Ethical </w:t>
      </w:r>
      <w:r w:rsidR="00C96E2B">
        <w:t>v</w:t>
      </w:r>
      <w:r w:rsidRPr="00F13FCD">
        <w:t xml:space="preserve">alues for a </w:t>
      </w:r>
      <w:r w:rsidR="00C96E2B">
        <w:t>p</w:t>
      </w:r>
      <w:r w:rsidRPr="00F13FCD">
        <w:t>andemic</w:t>
      </w:r>
      <w:r w:rsidRPr="00F3515B">
        <w:t xml:space="preserve"> in 2007</w:t>
      </w:r>
      <w:r w:rsidR="00C96E2B">
        <w:t xml:space="preserve"> (NEAC 2007)</w:t>
      </w:r>
      <w:r w:rsidRPr="00F3515B">
        <w:t xml:space="preserve">. </w:t>
      </w:r>
      <w:r w:rsidRPr="00F13FCD">
        <w:t xml:space="preserve">Ethical Framework for Resource Allocation </w:t>
      </w:r>
      <w:r w:rsidR="00C96E2B" w:rsidRPr="00F13FCD">
        <w:t xml:space="preserve">in </w:t>
      </w:r>
      <w:r w:rsidRPr="00F13FCD">
        <w:t>Times of Scarcity</w:t>
      </w:r>
      <w:r w:rsidRPr="00F3515B">
        <w:t xml:space="preserve"> builds on the work </w:t>
      </w:r>
      <w:r w:rsidR="00C96E2B">
        <w:t>of</w:t>
      </w:r>
      <w:r w:rsidR="00C96E2B" w:rsidRPr="00F3515B">
        <w:t xml:space="preserve"> </w:t>
      </w:r>
      <w:r w:rsidRPr="00F13FCD">
        <w:t>Getting Through Together</w:t>
      </w:r>
      <w:r w:rsidRPr="00F3515B">
        <w:t xml:space="preserve">. </w:t>
      </w:r>
    </w:p>
    <w:p w14:paraId="58BFE194" w14:textId="61FB1240" w:rsidR="002679B8" w:rsidRPr="00B80B3D" w:rsidRDefault="002679B8" w:rsidP="00B867C6">
      <w:pPr>
        <w:pStyle w:val="Heading2"/>
      </w:pPr>
      <w:bookmarkStart w:id="7" w:name="_Toc24456864"/>
      <w:bookmarkStart w:id="8" w:name="_Toc27479364"/>
      <w:bookmarkStart w:id="9" w:name="_Toc42073315"/>
      <w:r w:rsidRPr="00B80B3D">
        <w:t>Members of NEAC</w:t>
      </w:r>
      <w:bookmarkEnd w:id="9"/>
    </w:p>
    <w:p w14:paraId="487AB877" w14:textId="447DC331" w:rsidR="008B3255" w:rsidRPr="00F3515B" w:rsidRDefault="00303E8D" w:rsidP="00B867C6">
      <w:pPr>
        <w:pStyle w:val="NEACNormal"/>
      </w:pPr>
      <w:r w:rsidRPr="00F3515B">
        <w:t xml:space="preserve">Maureen </w:t>
      </w:r>
      <w:proofErr w:type="spellStart"/>
      <w:r w:rsidRPr="00F3515B">
        <w:t>Holdaway</w:t>
      </w:r>
      <w:proofErr w:type="spellEnd"/>
      <w:r w:rsidRPr="00F3515B">
        <w:t xml:space="preserve">, </w:t>
      </w:r>
      <w:proofErr w:type="spellStart"/>
      <w:r w:rsidRPr="00F3515B">
        <w:t>Kahu</w:t>
      </w:r>
      <w:proofErr w:type="spellEnd"/>
      <w:r w:rsidRPr="00F3515B">
        <w:t xml:space="preserve"> McClintock, Wayne Miles, Neil Pickering, Liz Richards, Hope </w:t>
      </w:r>
      <w:proofErr w:type="spellStart"/>
      <w:r w:rsidRPr="00F3515B">
        <w:t>Tupara</w:t>
      </w:r>
      <w:proofErr w:type="spellEnd"/>
      <w:r w:rsidRPr="00F3515B">
        <w:t xml:space="preserve">, Dana </w:t>
      </w:r>
      <w:proofErr w:type="spellStart"/>
      <w:r w:rsidRPr="00F3515B">
        <w:t>Wensley</w:t>
      </w:r>
      <w:proofErr w:type="spellEnd"/>
      <w:r w:rsidRPr="00F3515B">
        <w:t xml:space="preserve">, Gordon Jackman, Mary-Anne </w:t>
      </w:r>
      <w:proofErr w:type="spellStart"/>
      <w:r w:rsidRPr="00F3515B">
        <w:t>Woodnorth</w:t>
      </w:r>
      <w:proofErr w:type="spellEnd"/>
      <w:r w:rsidRPr="00F3515B">
        <w:t>.</w:t>
      </w:r>
    </w:p>
    <w:p w14:paraId="3AF09E1A" w14:textId="3AA19C58" w:rsidR="008B3255" w:rsidRPr="00F3515B" w:rsidRDefault="002679B8" w:rsidP="00B867C6">
      <w:pPr>
        <w:pStyle w:val="Heading2"/>
      </w:pPr>
      <w:bookmarkStart w:id="10" w:name="_Toc42073316"/>
      <w:r w:rsidRPr="00F3515B">
        <w:t xml:space="preserve">Members of the </w:t>
      </w:r>
      <w:r w:rsidR="00C96E2B">
        <w:t>s</w:t>
      </w:r>
      <w:r w:rsidRPr="00F3515B">
        <w:t>ecretariat</w:t>
      </w:r>
      <w:bookmarkEnd w:id="10"/>
    </w:p>
    <w:p w14:paraId="7A3ABAA2" w14:textId="3B9386F7" w:rsidR="00AA3611" w:rsidRPr="00F3515B" w:rsidRDefault="00303E8D" w:rsidP="00B867C6">
      <w:pPr>
        <w:pStyle w:val="NEACNormal"/>
      </w:pPr>
      <w:r w:rsidRPr="00F3515B">
        <w:t xml:space="preserve">Nic </w:t>
      </w:r>
      <w:proofErr w:type="spellStart"/>
      <w:r w:rsidRPr="00F3515B">
        <w:t>Aagaard</w:t>
      </w:r>
      <w:proofErr w:type="spellEnd"/>
      <w:r w:rsidRPr="00F3515B">
        <w:t xml:space="preserve">, Rob </w:t>
      </w:r>
      <w:proofErr w:type="spellStart"/>
      <w:r w:rsidRPr="00F3515B">
        <w:t>McHawk</w:t>
      </w:r>
      <w:proofErr w:type="spellEnd"/>
      <w:r w:rsidRPr="00F3515B">
        <w:t>, Hayley Robertson, Martin Kennedy, Matthew Poulson</w:t>
      </w:r>
      <w:r w:rsidR="0074589E" w:rsidRPr="00F3515B">
        <w:t>, Tristan Katz.</w:t>
      </w:r>
    </w:p>
    <w:p w14:paraId="69F32AA2" w14:textId="5FA244B3" w:rsidR="0074589E" w:rsidRPr="00F3515B" w:rsidRDefault="0074589E" w:rsidP="00B867C6">
      <w:pPr>
        <w:pStyle w:val="Heading2"/>
      </w:pPr>
      <w:bookmarkStart w:id="11" w:name="_Toc42073317"/>
      <w:bookmarkEnd w:id="1"/>
      <w:r w:rsidRPr="00F3515B">
        <w:t>Acknowledgements</w:t>
      </w:r>
      <w:bookmarkEnd w:id="11"/>
    </w:p>
    <w:p w14:paraId="30B76949" w14:textId="64046C57" w:rsidR="0074589E" w:rsidRPr="00F3515B" w:rsidRDefault="0074589E" w:rsidP="00B867C6">
      <w:pPr>
        <w:pStyle w:val="NEACNormal"/>
      </w:pPr>
      <w:r w:rsidRPr="00F3515B">
        <w:t xml:space="preserve">The ethical framework for making resource allocation decisions was developed by NEAC, with support and advice from Angela </w:t>
      </w:r>
      <w:r w:rsidR="0042434A" w:rsidRPr="00F3515B">
        <w:t>Ballantyne, Kiri</w:t>
      </w:r>
      <w:r w:rsidRPr="00F3515B">
        <w:t xml:space="preserve"> </w:t>
      </w:r>
      <w:proofErr w:type="spellStart"/>
      <w:r w:rsidRPr="00F3515B">
        <w:t>Dargaville</w:t>
      </w:r>
      <w:proofErr w:type="spellEnd"/>
      <w:r w:rsidRPr="00F3515B">
        <w:t>, Cheree Shortland-</w:t>
      </w:r>
      <w:proofErr w:type="spellStart"/>
      <w:r w:rsidRPr="00F3515B">
        <w:t>Nuku</w:t>
      </w:r>
      <w:proofErr w:type="spellEnd"/>
      <w:r w:rsidRPr="00F3515B">
        <w:t xml:space="preserve"> and Helen </w:t>
      </w:r>
      <w:proofErr w:type="spellStart"/>
      <w:r w:rsidRPr="00F3515B">
        <w:t>Wihongi</w:t>
      </w:r>
      <w:proofErr w:type="spellEnd"/>
      <w:r w:rsidRPr="00F3515B">
        <w:t>.</w:t>
      </w:r>
    </w:p>
    <w:p w14:paraId="58AFD310" w14:textId="77777777" w:rsidR="00C96E2B" w:rsidRDefault="00C96E2B">
      <w:pPr>
        <w:spacing w:before="0" w:after="160" w:line="259" w:lineRule="auto"/>
        <w:rPr>
          <w:rFonts w:ascii="Helv" w:hAnsi="Helv"/>
          <w:color w:val="003F5F" w:themeColor="accent1"/>
          <w:sz w:val="52"/>
        </w:rPr>
      </w:pPr>
      <w:r>
        <w:rPr>
          <w:rFonts w:ascii="Helv" w:hAnsi="Helv"/>
        </w:rPr>
        <w:br w:type="page"/>
      </w:r>
    </w:p>
    <w:p w14:paraId="692B19E4" w14:textId="05E56C16" w:rsidR="00660EC8" w:rsidRPr="00F3515B" w:rsidRDefault="00EB2F86" w:rsidP="00EC1B6D">
      <w:pPr>
        <w:pStyle w:val="Heading1"/>
      </w:pPr>
      <w:bookmarkStart w:id="12" w:name="_Toc42073318"/>
      <w:r w:rsidRPr="00F3515B">
        <w:lastRenderedPageBreak/>
        <w:t>Introduction</w:t>
      </w:r>
      <w:bookmarkEnd w:id="12"/>
      <w:r w:rsidR="003E1183" w:rsidRPr="00F3515B">
        <w:t xml:space="preserve"> </w:t>
      </w:r>
      <w:bookmarkEnd w:id="2"/>
      <w:bookmarkEnd w:id="3"/>
      <w:bookmarkEnd w:id="4"/>
      <w:bookmarkEnd w:id="7"/>
      <w:bookmarkEnd w:id="8"/>
    </w:p>
    <w:p w14:paraId="0F6E0D77" w14:textId="4EB8C998" w:rsidR="00EE34E8" w:rsidRPr="00F3515B" w:rsidRDefault="00EE34E8" w:rsidP="00B867C6">
      <w:pPr>
        <w:pStyle w:val="NEACNormal"/>
      </w:pPr>
      <w:r w:rsidRPr="00F3515B">
        <w:t xml:space="preserve">As a result of </w:t>
      </w:r>
      <w:r w:rsidR="00D800D8">
        <w:t>COVID-19</w:t>
      </w:r>
      <w:r w:rsidR="00C96E2B">
        <w:t>,</w:t>
      </w:r>
      <w:r w:rsidRPr="00F3515B">
        <w:t xml:space="preserve"> </w:t>
      </w:r>
      <w:r w:rsidR="00C96E2B">
        <w:t>we are experiencing</w:t>
      </w:r>
      <w:r w:rsidRPr="00F3515B">
        <w:t xml:space="preserve"> an increasing </w:t>
      </w:r>
      <w:r w:rsidR="006301CE">
        <w:t>demand</w:t>
      </w:r>
      <w:r w:rsidRPr="00F3515B">
        <w:t xml:space="preserve"> on </w:t>
      </w:r>
      <w:r w:rsidR="00C96E2B">
        <w:t>our</w:t>
      </w:r>
      <w:r w:rsidR="00C96E2B" w:rsidRPr="00F3515B">
        <w:t xml:space="preserve"> </w:t>
      </w:r>
      <w:r w:rsidRPr="00F3515B">
        <w:t>health</w:t>
      </w:r>
      <w:r w:rsidR="00C96E2B">
        <w:t xml:space="preserve"> </w:t>
      </w:r>
      <w:r w:rsidRPr="00F3515B">
        <w:t xml:space="preserve">care system and its resources. Clinical professionals and public health officials are likely to have to make decisions </w:t>
      </w:r>
      <w:r w:rsidR="00C96E2B">
        <w:t>about</w:t>
      </w:r>
      <w:r w:rsidR="00C96E2B" w:rsidRPr="00F3515B">
        <w:t xml:space="preserve"> </w:t>
      </w:r>
      <w:r w:rsidRPr="00F3515B">
        <w:t>situations they have never experienced before. This framework has been developed to help clinicians,</w:t>
      </w:r>
      <w:r w:rsidR="008545E6">
        <w:t xml:space="preserve"> nurses,</w:t>
      </w:r>
      <w:r w:rsidRPr="00F3515B">
        <w:t xml:space="preserve"> hospital administrators and public health </w:t>
      </w:r>
      <w:r w:rsidR="00F04E15">
        <w:t>policy make</w:t>
      </w:r>
      <w:r w:rsidRPr="00F3515B">
        <w:t>rs optimise distribution</w:t>
      </w:r>
      <w:r w:rsidR="00D2791A" w:rsidRPr="00F3515B">
        <w:t xml:space="preserve"> and prioritisation</w:t>
      </w:r>
      <w:r w:rsidRPr="00F3515B">
        <w:t xml:space="preserve"> of vital resources </w:t>
      </w:r>
      <w:r w:rsidR="00C96E2B">
        <w:t>in</w:t>
      </w:r>
      <w:r w:rsidR="00C96E2B" w:rsidRPr="00F3515B">
        <w:t xml:space="preserve"> </w:t>
      </w:r>
      <w:r w:rsidRPr="00F3515B">
        <w:t xml:space="preserve">times of scarcity.  </w:t>
      </w:r>
    </w:p>
    <w:p w14:paraId="0C0738CB" w14:textId="523720D2" w:rsidR="00EE34E8" w:rsidRDefault="00EE34E8" w:rsidP="00B867C6">
      <w:pPr>
        <w:pStyle w:val="NEACNormal"/>
      </w:pPr>
      <w:r w:rsidRPr="00F3515B">
        <w:t>NEAC emphasise</w:t>
      </w:r>
      <w:r w:rsidR="00C96E2B">
        <w:t>s</w:t>
      </w:r>
      <w:r w:rsidRPr="00F3515B">
        <w:t xml:space="preserve"> that the document is best used to identify important ethical principles, highlight ethical tensions and support robust decision-making; it is not a set of rules and does not consider all potentially scarce resources</w:t>
      </w:r>
      <w:r w:rsidR="0001192B">
        <w:t xml:space="preserve"> or all potential decisions</w:t>
      </w:r>
      <w:r w:rsidRPr="00F3515B">
        <w:t>.</w:t>
      </w:r>
    </w:p>
    <w:p w14:paraId="27F2F20E" w14:textId="47125942" w:rsidR="00980CDC" w:rsidRPr="00F3515B" w:rsidRDefault="00980CDC" w:rsidP="00B867C6">
      <w:pPr>
        <w:pStyle w:val="NEACNormal"/>
      </w:pPr>
      <w:r>
        <w:t>NEAC note that this document is in response to the COVID-19 pandemic</w:t>
      </w:r>
      <w:r w:rsidR="00C40A79">
        <w:t xml:space="preserve">. NEAC </w:t>
      </w:r>
      <w:r w:rsidR="00F34C12">
        <w:t>intend to</w:t>
      </w:r>
      <w:r w:rsidR="00C40A79">
        <w:t xml:space="preserve"> develop this document</w:t>
      </w:r>
      <w:r w:rsidR="00F34C12">
        <w:t xml:space="preserve"> to be more generally applicable to pandemics as part of their wider work program, which involves updating ‘</w:t>
      </w:r>
      <w:r w:rsidR="00F34C12" w:rsidRPr="00F34C12">
        <w:rPr>
          <w:i/>
        </w:rPr>
        <w:t>Getting Through Together: Ethical values for a pandemic’</w:t>
      </w:r>
      <w:r w:rsidR="00F34C12">
        <w:t>.</w:t>
      </w:r>
    </w:p>
    <w:p w14:paraId="2547A5AD" w14:textId="1E5134A8" w:rsidR="00BD2ED3" w:rsidRPr="00F3515B" w:rsidRDefault="00BD2ED3" w:rsidP="00B867C6">
      <w:pPr>
        <w:pStyle w:val="Heading2"/>
      </w:pPr>
      <w:bookmarkStart w:id="13" w:name="_Toc42073319"/>
      <w:r w:rsidRPr="00F3515B">
        <w:t xml:space="preserve">Key features of the </w:t>
      </w:r>
      <w:r w:rsidR="00D800D8">
        <w:t>COVID-19</w:t>
      </w:r>
      <w:r w:rsidRPr="00F3515B">
        <w:t xml:space="preserve"> virus</w:t>
      </w:r>
      <w:bookmarkEnd w:id="13"/>
    </w:p>
    <w:p w14:paraId="450EF038" w14:textId="77777777" w:rsidR="00233F0B" w:rsidRPr="00F3515B" w:rsidRDefault="00233F0B" w:rsidP="00B867C6">
      <w:pPr>
        <w:pStyle w:val="NEACNormal"/>
      </w:pPr>
      <w:r w:rsidRPr="00F3515B">
        <w:t>The virus can spread from person to person through:</w:t>
      </w:r>
    </w:p>
    <w:p w14:paraId="692269FC" w14:textId="2E6CF204" w:rsidR="00233F0B" w:rsidRPr="00C510BA" w:rsidRDefault="00233F0B" w:rsidP="00C510BA">
      <w:pPr>
        <w:pStyle w:val="NEACBullet"/>
      </w:pPr>
      <w:r w:rsidRPr="00C510BA">
        <w:t xml:space="preserve">close contact with an infectious person (including in the 48 hours before </w:t>
      </w:r>
      <w:r w:rsidR="00C96E2B" w:rsidRPr="00C510BA">
        <w:t>that infectious person exhibits</w:t>
      </w:r>
      <w:r w:rsidRPr="00C510BA">
        <w:t> </w:t>
      </w:r>
      <w:hyperlink r:id="rId26" w:history="1">
        <w:r w:rsidRPr="00C510BA">
          <w:t>symptoms</w:t>
        </w:r>
      </w:hyperlink>
      <w:r w:rsidR="00C96E2B" w:rsidRPr="00C510BA">
        <w:t xml:space="preserve"> of their infection</w:t>
      </w:r>
      <w:r w:rsidRPr="00C510BA">
        <w:t>)</w:t>
      </w:r>
    </w:p>
    <w:p w14:paraId="6848D9FC" w14:textId="77777777" w:rsidR="00233F0B" w:rsidRPr="00C510BA" w:rsidRDefault="00233F0B" w:rsidP="00C510BA">
      <w:pPr>
        <w:pStyle w:val="NEACBullet"/>
      </w:pPr>
      <w:r w:rsidRPr="00C510BA">
        <w:t>contact with droplets from an infected person’s cough or sneeze</w:t>
      </w:r>
    </w:p>
    <w:p w14:paraId="4DDF98E6" w14:textId="0D6E7F54" w:rsidR="00233F0B" w:rsidRPr="00C510BA" w:rsidRDefault="00233F0B" w:rsidP="00C510BA">
      <w:pPr>
        <w:pStyle w:val="NEACBullet"/>
      </w:pPr>
      <w:r w:rsidRPr="00C510BA">
        <w:t>touching objects or surfaces (</w:t>
      </w:r>
      <w:r w:rsidR="00C96E2B" w:rsidRPr="00C510BA">
        <w:t xml:space="preserve">such as </w:t>
      </w:r>
      <w:r w:rsidRPr="00C510BA">
        <w:t>doorknobs or tables) that have droplets from an infected person and then touching your mouth or face</w:t>
      </w:r>
      <w:r w:rsidR="002C77E5" w:rsidRPr="00C510BA">
        <w:t xml:space="preserve"> (Australian Government Department of Health 2020)</w:t>
      </w:r>
      <w:r w:rsidR="0001192B" w:rsidRPr="00C510BA">
        <w:t>.</w:t>
      </w:r>
    </w:p>
    <w:p w14:paraId="7606667C" w14:textId="6CC74739" w:rsidR="00EE34E8" w:rsidRPr="00B867C6" w:rsidRDefault="00D800D8" w:rsidP="00B867C6">
      <w:pPr>
        <w:pStyle w:val="NEACNormal"/>
      </w:pPr>
      <w:r w:rsidRPr="00B867C6">
        <w:t>COVID-19</w:t>
      </w:r>
      <w:r w:rsidR="00EE34E8" w:rsidRPr="00B867C6">
        <w:t xml:space="preserve"> is a new disease, so there is no existing population immunity. This means that </w:t>
      </w:r>
      <w:r w:rsidRPr="00B867C6">
        <w:t>COVID-19</w:t>
      </w:r>
      <w:r w:rsidR="00EE34E8" w:rsidRPr="00B867C6">
        <w:t xml:space="preserve"> </w:t>
      </w:r>
      <w:r w:rsidR="00C96E2B" w:rsidRPr="00B867C6">
        <w:t>can</w:t>
      </w:r>
      <w:r w:rsidR="00EE34E8" w:rsidRPr="00B867C6">
        <w:t xml:space="preserve"> spread widely and quickly.</w:t>
      </w:r>
    </w:p>
    <w:p w14:paraId="6E969190" w14:textId="5C4A6B4D" w:rsidR="00EE34E8" w:rsidRPr="00F3515B" w:rsidRDefault="00EE34E8" w:rsidP="00B867C6">
      <w:pPr>
        <w:pStyle w:val="NEACNormal"/>
      </w:pPr>
      <w:r w:rsidRPr="00F3515B">
        <w:t xml:space="preserve">Symptoms of </w:t>
      </w:r>
      <w:r w:rsidR="00D800D8">
        <w:t>COVID-19</w:t>
      </w:r>
      <w:r w:rsidRPr="00F3515B">
        <w:t xml:space="preserve"> can range from mild illness to acute respiratory distress syndrome (ARDS). Some people will recover easily, others may get very sick very quickly, and some will die. </w:t>
      </w:r>
    </w:p>
    <w:p w14:paraId="102E9D99" w14:textId="61F241A3" w:rsidR="006D1CC9" w:rsidRPr="00B867C6" w:rsidRDefault="006D1CC9" w:rsidP="00B867C6">
      <w:pPr>
        <w:pStyle w:val="Heading2"/>
      </w:pPr>
      <w:bookmarkStart w:id="14" w:name="_Toc42073320"/>
      <w:proofErr w:type="spellStart"/>
      <w:r w:rsidRPr="00B867C6">
        <w:t>Te</w:t>
      </w:r>
      <w:proofErr w:type="spellEnd"/>
      <w:r w:rsidRPr="00B867C6">
        <w:t xml:space="preserve"> </w:t>
      </w:r>
      <w:proofErr w:type="spellStart"/>
      <w:r w:rsidRPr="00B867C6">
        <w:t>Tiriti</w:t>
      </w:r>
      <w:proofErr w:type="spellEnd"/>
      <w:r w:rsidRPr="00B867C6">
        <w:t xml:space="preserve"> o Waitangi</w:t>
      </w:r>
      <w:bookmarkEnd w:id="14"/>
    </w:p>
    <w:p w14:paraId="737BCD96" w14:textId="5F907589" w:rsidR="002C77E5" w:rsidRPr="00C510BA" w:rsidRDefault="006D1CC9" w:rsidP="00C510BA">
      <w:pPr>
        <w:pStyle w:val="NEACNormal"/>
      </w:pPr>
      <w:proofErr w:type="spellStart"/>
      <w:r w:rsidRPr="00C510BA">
        <w:t>Te</w:t>
      </w:r>
      <w:proofErr w:type="spellEnd"/>
      <w:r w:rsidRPr="00C510BA">
        <w:t xml:space="preserve"> </w:t>
      </w:r>
      <w:proofErr w:type="spellStart"/>
      <w:r w:rsidRPr="00C510BA">
        <w:t>Tiriti</w:t>
      </w:r>
      <w:proofErr w:type="spellEnd"/>
      <w:r w:rsidRPr="00C510BA">
        <w:t xml:space="preserve"> o Waitangi</w:t>
      </w:r>
      <w:r w:rsidR="002C77E5" w:rsidRPr="00C510BA">
        <w:t xml:space="preserve"> </w:t>
      </w:r>
      <w:r w:rsidRPr="00C510BA">
        <w:t>/</w:t>
      </w:r>
      <w:r w:rsidR="002C77E5" w:rsidRPr="00C510BA">
        <w:t xml:space="preserve"> </w:t>
      </w:r>
      <w:r w:rsidRPr="00C510BA">
        <w:t>the Treaty of Waitangi (</w:t>
      </w:r>
      <w:proofErr w:type="spellStart"/>
      <w:r w:rsidRPr="00C510BA">
        <w:t>Te</w:t>
      </w:r>
      <w:proofErr w:type="spellEnd"/>
      <w:r w:rsidRPr="00C510BA">
        <w:t xml:space="preserve"> </w:t>
      </w:r>
      <w:proofErr w:type="spellStart"/>
      <w:r w:rsidRPr="00C510BA">
        <w:t>Tiriti</w:t>
      </w:r>
      <w:proofErr w:type="spellEnd"/>
      <w:r w:rsidRPr="00C510BA">
        <w:t xml:space="preserve">) is one of the major sources of New Zealand’s constitution. </w:t>
      </w:r>
      <w:proofErr w:type="spellStart"/>
      <w:r w:rsidRPr="00C510BA">
        <w:t>Te</w:t>
      </w:r>
      <w:proofErr w:type="spellEnd"/>
      <w:r w:rsidRPr="00C510BA">
        <w:t xml:space="preserve"> </w:t>
      </w:r>
      <w:proofErr w:type="spellStart"/>
      <w:r w:rsidRPr="00C510BA">
        <w:t>Tiriti</w:t>
      </w:r>
      <w:proofErr w:type="spellEnd"/>
      <w:r w:rsidRPr="00C510BA">
        <w:t xml:space="preserve"> creates a basis for civil government </w:t>
      </w:r>
      <w:r w:rsidR="002C77E5" w:rsidRPr="00C510BA">
        <w:t>encompassing</w:t>
      </w:r>
      <w:r w:rsidRPr="00C510BA">
        <w:t xml:space="preserve"> all New Zealanders</w:t>
      </w:r>
      <w:r w:rsidR="00B5714C" w:rsidRPr="00C510BA">
        <w:t xml:space="preserve">. The Government continues to respond to its obligations to honour </w:t>
      </w:r>
      <w:proofErr w:type="spellStart"/>
      <w:r w:rsidR="00B5714C" w:rsidRPr="00C510BA">
        <w:t>Te</w:t>
      </w:r>
      <w:proofErr w:type="spellEnd"/>
      <w:r w:rsidR="00B5714C" w:rsidRPr="00C510BA">
        <w:t xml:space="preserve"> </w:t>
      </w:r>
      <w:proofErr w:type="spellStart"/>
      <w:r w:rsidR="00B5714C" w:rsidRPr="00C510BA">
        <w:t>Tiriti</w:t>
      </w:r>
      <w:proofErr w:type="spellEnd"/>
      <w:r w:rsidR="00B5714C" w:rsidRPr="00C510BA">
        <w:t xml:space="preserve">. </w:t>
      </w:r>
      <w:proofErr w:type="spellStart"/>
      <w:r w:rsidR="008E4671" w:rsidRPr="00C510BA">
        <w:t>Te</w:t>
      </w:r>
      <w:proofErr w:type="spellEnd"/>
      <w:r w:rsidR="008E4671" w:rsidRPr="00C510BA">
        <w:t xml:space="preserve"> </w:t>
      </w:r>
      <w:proofErr w:type="spellStart"/>
      <w:r w:rsidR="008E4671" w:rsidRPr="00C510BA">
        <w:t>Tiriti</w:t>
      </w:r>
      <w:proofErr w:type="spellEnd"/>
      <w:r w:rsidR="008E4671" w:rsidRPr="00C510BA">
        <w:t xml:space="preserve"> mandates that Māori participate </w:t>
      </w:r>
      <w:r w:rsidR="002C77E5" w:rsidRPr="00C510BA">
        <w:t xml:space="preserve">in </w:t>
      </w:r>
      <w:r w:rsidR="008E4671" w:rsidRPr="00C510BA">
        <w:t>equal partnership with</w:t>
      </w:r>
      <w:r w:rsidR="002C77E5" w:rsidRPr="00C510BA">
        <w:t xml:space="preserve"> the</w:t>
      </w:r>
      <w:r w:rsidR="008E4671" w:rsidRPr="00C510BA">
        <w:t xml:space="preserve"> Government</w:t>
      </w:r>
      <w:r w:rsidR="002C77E5" w:rsidRPr="00C510BA">
        <w:t>. To this end,</w:t>
      </w:r>
      <w:r w:rsidR="008E4671" w:rsidRPr="00C510BA">
        <w:t xml:space="preserve"> </w:t>
      </w:r>
      <w:r w:rsidR="001F3220" w:rsidRPr="00C510BA">
        <w:t xml:space="preserve">Māori </w:t>
      </w:r>
      <w:r w:rsidR="008E4671" w:rsidRPr="00C510BA">
        <w:t xml:space="preserve">must have protection and receive acknowledgement of </w:t>
      </w:r>
      <w:r w:rsidR="002C77E5" w:rsidRPr="00C510BA">
        <w:t xml:space="preserve">their </w:t>
      </w:r>
      <w:r w:rsidR="008E4671" w:rsidRPr="00C510BA">
        <w:t xml:space="preserve">rights and interests within their shared citizenship. </w:t>
      </w:r>
    </w:p>
    <w:p w14:paraId="60599F12" w14:textId="3AEB9808" w:rsidR="006D1CC9" w:rsidRPr="00F3515B" w:rsidRDefault="006D1CC9" w:rsidP="00B867C6">
      <w:pPr>
        <w:pStyle w:val="NEACNormal"/>
      </w:pPr>
      <w:r w:rsidRPr="00F3515B">
        <w:lastRenderedPageBreak/>
        <w:t xml:space="preserve">The New Zealand health and disability system has a responsibility to contribute to meeting the Crowns obligations under </w:t>
      </w:r>
      <w:proofErr w:type="spellStart"/>
      <w:r w:rsidRPr="00F3515B">
        <w:t>Te</w:t>
      </w:r>
      <w:proofErr w:type="spellEnd"/>
      <w:r w:rsidRPr="00F3515B">
        <w:t xml:space="preserve"> </w:t>
      </w:r>
      <w:proofErr w:type="spellStart"/>
      <w:r w:rsidRPr="00F3515B">
        <w:t>Tiriti</w:t>
      </w:r>
      <w:proofErr w:type="spellEnd"/>
      <w:r w:rsidRPr="00F3515B">
        <w:t xml:space="preserve">. As an independent advisor to the Minister, this </w:t>
      </w:r>
      <w:r w:rsidR="002C77E5">
        <w:t>e</w:t>
      </w:r>
      <w:r w:rsidRPr="00F3515B">
        <w:t xml:space="preserve">thical </w:t>
      </w:r>
      <w:r w:rsidR="002C77E5">
        <w:t>f</w:t>
      </w:r>
      <w:r w:rsidRPr="00F3515B">
        <w:t xml:space="preserve">ramework supports the New Zealand health and disability system in meeting its obligations under </w:t>
      </w:r>
      <w:proofErr w:type="spellStart"/>
      <w:r w:rsidRPr="00F3515B">
        <w:t>Te</w:t>
      </w:r>
      <w:proofErr w:type="spellEnd"/>
      <w:r w:rsidRPr="00F3515B">
        <w:t xml:space="preserve"> </w:t>
      </w:r>
      <w:proofErr w:type="spellStart"/>
      <w:r w:rsidRPr="00F3515B">
        <w:t>Tiriti</w:t>
      </w:r>
      <w:proofErr w:type="spellEnd"/>
      <w:r w:rsidRPr="00F3515B">
        <w:t xml:space="preserve"> by drawing on the principles of </w:t>
      </w:r>
      <w:proofErr w:type="spellStart"/>
      <w:r w:rsidRPr="00F3515B">
        <w:t>Te</w:t>
      </w:r>
      <w:proofErr w:type="spellEnd"/>
      <w:r w:rsidRPr="00F3515B">
        <w:t xml:space="preserve"> </w:t>
      </w:r>
      <w:proofErr w:type="spellStart"/>
      <w:r w:rsidRPr="00F3515B">
        <w:t>Tiriti</w:t>
      </w:r>
      <w:proofErr w:type="spellEnd"/>
      <w:r w:rsidRPr="00F3515B">
        <w:t xml:space="preserve"> as articulated by the courts and </w:t>
      </w:r>
      <w:r w:rsidR="002C77E5">
        <w:t xml:space="preserve">the </w:t>
      </w:r>
      <w:r w:rsidRPr="00F3515B">
        <w:t>Waitangi Tribunal</w:t>
      </w:r>
      <w:r w:rsidR="00AF1CEC" w:rsidRPr="00F3515B">
        <w:t xml:space="preserve"> and consider</w:t>
      </w:r>
      <w:r w:rsidR="002C77E5">
        <w:t>ing</w:t>
      </w:r>
      <w:r w:rsidR="00AF1CEC" w:rsidRPr="00F3515B">
        <w:t xml:space="preserve"> their implications for resource allocation decisions. </w:t>
      </w:r>
    </w:p>
    <w:p w14:paraId="652D53B8" w14:textId="7B3430BC" w:rsidR="006D1CC9" w:rsidRPr="00F3515B" w:rsidRDefault="006D1CC9" w:rsidP="00B867C6">
      <w:pPr>
        <w:pStyle w:val="NEACNormal"/>
      </w:pPr>
      <w:r w:rsidRPr="00F3515B">
        <w:t xml:space="preserve">Supporting the New Zealand health and disability system to meet its obligations under </w:t>
      </w:r>
      <w:proofErr w:type="spellStart"/>
      <w:r w:rsidRPr="00F3515B">
        <w:t>Te</w:t>
      </w:r>
      <w:proofErr w:type="spellEnd"/>
      <w:r w:rsidRPr="00F3515B">
        <w:t xml:space="preserve"> </w:t>
      </w:r>
      <w:proofErr w:type="spellStart"/>
      <w:r w:rsidRPr="00F3515B">
        <w:t>Tiriti</w:t>
      </w:r>
      <w:proofErr w:type="spellEnd"/>
      <w:r w:rsidRPr="00F3515B">
        <w:t xml:space="preserve"> is necessary if we are to ensure iwi, </w:t>
      </w:r>
      <w:proofErr w:type="spellStart"/>
      <w:r w:rsidRPr="00F3515B">
        <w:t>hapū</w:t>
      </w:r>
      <w:proofErr w:type="spellEnd"/>
      <w:r w:rsidRPr="00F3515B">
        <w:t xml:space="preserve">, </w:t>
      </w:r>
      <w:proofErr w:type="spellStart"/>
      <w:r w:rsidRPr="00F3515B">
        <w:t>whānau</w:t>
      </w:r>
      <w:proofErr w:type="spellEnd"/>
      <w:r w:rsidRPr="00F3515B">
        <w:t xml:space="preserve"> and Māori communities are active partners in preventing, mitigating and managing the impacts of a pandemic or public health emergency on </w:t>
      </w:r>
      <w:proofErr w:type="spellStart"/>
      <w:r w:rsidRPr="00F3515B">
        <w:t>whānau</w:t>
      </w:r>
      <w:proofErr w:type="spellEnd"/>
      <w:r w:rsidRPr="00F3515B">
        <w:t xml:space="preserve">, </w:t>
      </w:r>
      <w:proofErr w:type="spellStart"/>
      <w:r w:rsidRPr="00F3515B">
        <w:t>hapū</w:t>
      </w:r>
      <w:proofErr w:type="spellEnd"/>
      <w:r w:rsidRPr="00F3515B">
        <w:t>, iwi and Māori communities</w:t>
      </w:r>
      <w:r w:rsidR="002C77E5">
        <w:t xml:space="preserve"> (Ministry of Health 2020)</w:t>
      </w:r>
      <w:r w:rsidRPr="00F3515B">
        <w:t xml:space="preserve">. </w:t>
      </w:r>
    </w:p>
    <w:p w14:paraId="7A24C578" w14:textId="72EDA340" w:rsidR="00FB086A" w:rsidRPr="00F3515B" w:rsidRDefault="00620E14" w:rsidP="00B867C6">
      <w:pPr>
        <w:pStyle w:val="Heading2"/>
      </w:pPr>
      <w:bookmarkStart w:id="15" w:name="_Toc42073321"/>
      <w:r>
        <w:t>A focus on equity</w:t>
      </w:r>
      <w:bookmarkEnd w:id="15"/>
    </w:p>
    <w:p w14:paraId="3179A752" w14:textId="2CF90431" w:rsidR="00FB086A" w:rsidRPr="00F3515B" w:rsidRDefault="00FB086A" w:rsidP="00B867C6">
      <w:pPr>
        <w:pStyle w:val="NEACNormal"/>
      </w:pPr>
      <w:r w:rsidRPr="00F3515B">
        <w:t xml:space="preserve">Pandemics and other public health emergencies often have the biggest impact on marginalised communities. Pandemics </w:t>
      </w:r>
      <w:r w:rsidR="00D54DD4" w:rsidRPr="00F3515B">
        <w:t xml:space="preserve">highlight </w:t>
      </w:r>
      <w:r w:rsidR="003D37B9" w:rsidRPr="00F3515B">
        <w:t xml:space="preserve">and exacerbate </w:t>
      </w:r>
      <w:r w:rsidR="0001192B">
        <w:t xml:space="preserve">already </w:t>
      </w:r>
      <w:r w:rsidR="003D37B9" w:rsidRPr="00F3515B">
        <w:t>existing</w:t>
      </w:r>
      <w:r w:rsidR="00D54DD4" w:rsidRPr="00F3515B">
        <w:t xml:space="preserve"> inequities within the health system. </w:t>
      </w:r>
      <w:r w:rsidR="00A91E74" w:rsidRPr="00F3515B">
        <w:t xml:space="preserve">For this reason, NEAC </w:t>
      </w:r>
      <w:r w:rsidR="00C11AE3" w:rsidRPr="00F3515B">
        <w:t>provide</w:t>
      </w:r>
      <w:r w:rsidR="00756629">
        <w:t>s</w:t>
      </w:r>
      <w:r w:rsidR="00C11AE3" w:rsidRPr="00F3515B">
        <w:t xml:space="preserve"> ethical guidance</w:t>
      </w:r>
      <w:r w:rsidR="00137B60" w:rsidRPr="00F3515B">
        <w:t xml:space="preserve"> and notes the importance of </w:t>
      </w:r>
      <w:r w:rsidR="00931542" w:rsidRPr="00F3515B">
        <w:t>consider</w:t>
      </w:r>
      <w:r w:rsidR="00137B60" w:rsidRPr="00F3515B">
        <w:t>ing</w:t>
      </w:r>
      <w:r w:rsidR="00931542" w:rsidRPr="00F3515B">
        <w:t xml:space="preserve"> equity in resource allocation</w:t>
      </w:r>
      <w:r w:rsidR="00FD39B9" w:rsidRPr="00F3515B">
        <w:t xml:space="preserve">. </w:t>
      </w:r>
      <w:r w:rsidR="00B512A7" w:rsidRPr="00F3515B">
        <w:t xml:space="preserve">Equity recognises </w:t>
      </w:r>
      <w:r w:rsidR="00756629">
        <w:t xml:space="preserve">that </w:t>
      </w:r>
      <w:r w:rsidR="00B512A7" w:rsidRPr="00F3515B">
        <w:t xml:space="preserve">different people with different levels of advantage require different approaches and resources to </w:t>
      </w:r>
      <w:r w:rsidR="00756629">
        <w:t>achieve</w:t>
      </w:r>
      <w:r w:rsidR="00756629" w:rsidRPr="00F3515B">
        <w:t xml:space="preserve"> </w:t>
      </w:r>
      <w:r w:rsidR="00B512A7" w:rsidRPr="00F3515B">
        <w:t>equitable health outcomes.</w:t>
      </w:r>
    </w:p>
    <w:p w14:paraId="40FB814C" w14:textId="2709B7E2" w:rsidR="00EE34E8" w:rsidRPr="00B80B3D" w:rsidRDefault="00756629" w:rsidP="00B867C6">
      <w:pPr>
        <w:pStyle w:val="Heading3"/>
      </w:pPr>
      <w:bookmarkStart w:id="16" w:name="_Toc42073322"/>
      <w:r w:rsidRPr="00B80B3D">
        <w:t xml:space="preserve">Increasing risk through unequal </w:t>
      </w:r>
      <w:r w:rsidR="00EE34E8" w:rsidRPr="00B80B3D">
        <w:t>distribution and exposure to the determinants of health</w:t>
      </w:r>
      <w:bookmarkEnd w:id="16"/>
      <w:r w:rsidR="00EE34E8" w:rsidRPr="00B80B3D">
        <w:t xml:space="preserve"> </w:t>
      </w:r>
    </w:p>
    <w:p w14:paraId="4F9FD52D" w14:textId="4383C4D1" w:rsidR="00A273BF" w:rsidRPr="00F3515B" w:rsidRDefault="00EE34E8" w:rsidP="00B867C6">
      <w:pPr>
        <w:pStyle w:val="NEACNormal"/>
      </w:pPr>
      <w:r w:rsidRPr="00F3515B">
        <w:t>This framework recognises that every person is of equal moral worth. However</w:t>
      </w:r>
      <w:r w:rsidR="00756629">
        <w:t>,</w:t>
      </w:r>
      <w:r w:rsidRPr="00F3515B">
        <w:t xml:space="preserve"> significant health inequalities exist among different groups of New Zealanders. </w:t>
      </w:r>
      <w:r w:rsidR="005D2C26">
        <w:t>This d</w:t>
      </w:r>
      <w:r w:rsidRPr="00F3515B">
        <w:t>ifference in health status between groups is influenced by socioeconomic factors and compounded by structural inequities</w:t>
      </w:r>
      <w:r w:rsidR="00756629">
        <w:t>,</w:t>
      </w:r>
      <w:r w:rsidRPr="00F3515B">
        <w:t xml:space="preserve"> such as racism and discrimination. Structural inequities systematically disadvantage individuals and groups based on ethnicity and social positioning (</w:t>
      </w:r>
      <w:proofErr w:type="spellStart"/>
      <w:r w:rsidRPr="00F3515B">
        <w:t>ie</w:t>
      </w:r>
      <w:proofErr w:type="spellEnd"/>
      <w:r w:rsidR="00756629">
        <w:t>,</w:t>
      </w:r>
      <w:r w:rsidR="00756629" w:rsidRPr="00F3515B">
        <w:t xml:space="preserve"> </w:t>
      </w:r>
      <w:r w:rsidRPr="00F3515B">
        <w:t xml:space="preserve">age, gender, </w:t>
      </w:r>
      <w:r w:rsidR="00756629">
        <w:t>ability</w:t>
      </w:r>
      <w:r w:rsidRPr="00F3515B">
        <w:t xml:space="preserve">). This results in the unequal distribution of power and resources and </w:t>
      </w:r>
      <w:r w:rsidR="00756629" w:rsidRPr="00F3515B">
        <w:t>differenti</w:t>
      </w:r>
      <w:r w:rsidR="00756629">
        <w:t>ated</w:t>
      </w:r>
      <w:r w:rsidR="00756629" w:rsidRPr="00F3515B">
        <w:t xml:space="preserve"> </w:t>
      </w:r>
      <w:r w:rsidRPr="00F3515B">
        <w:t xml:space="preserve">access and exposure to the </w:t>
      </w:r>
      <w:r w:rsidR="005D2C26">
        <w:t xml:space="preserve">acknowledged </w:t>
      </w:r>
      <w:r w:rsidRPr="00F3515B">
        <w:t xml:space="preserve">determinants of health. Research persistently shows that </w:t>
      </w:r>
      <w:r w:rsidR="00A273BF">
        <w:t>Māori</w:t>
      </w:r>
      <w:r w:rsidRPr="00F3515B">
        <w:t>, Pacific peoples and people from lower socioeconomic demographics experience worse </w:t>
      </w:r>
      <w:r w:rsidRPr="00F3515B">
        <w:rPr>
          <w:bCs/>
        </w:rPr>
        <w:t>health</w:t>
      </w:r>
      <w:r w:rsidRPr="00F3515B">
        <w:t xml:space="preserve"> and die younger than other New </w:t>
      </w:r>
      <w:r w:rsidR="00CB33D7" w:rsidRPr="00F3515B">
        <w:t>Zealanders</w:t>
      </w:r>
      <w:r w:rsidR="00CB33D7">
        <w:t xml:space="preserve"> (Ministry of Health 2020)</w:t>
      </w:r>
      <w:r w:rsidR="00CB33D7" w:rsidRPr="00F3515B">
        <w:t xml:space="preserve">. </w:t>
      </w:r>
      <w:r w:rsidR="005B3EAA" w:rsidRPr="00F3515B">
        <w:t xml:space="preserve"> </w:t>
      </w:r>
    </w:p>
    <w:p w14:paraId="54338153" w14:textId="2490A9FD" w:rsidR="00714B55" w:rsidRPr="00F3515B" w:rsidRDefault="006301CE" w:rsidP="00B867C6">
      <w:pPr>
        <w:pStyle w:val="NEACNormal"/>
      </w:pPr>
      <w:r>
        <w:t>Disabled people</w:t>
      </w:r>
      <w:r w:rsidR="00714B55" w:rsidRPr="00F3515B">
        <w:t xml:space="preserve"> are of equal value and </w:t>
      </w:r>
      <w:r w:rsidR="00756629">
        <w:t>have the same rights as all other New Zealanders</w:t>
      </w:r>
      <w:r w:rsidR="00714B55" w:rsidRPr="00F3515B">
        <w:t xml:space="preserve">. </w:t>
      </w:r>
      <w:r w:rsidR="00ED6280">
        <w:t xml:space="preserve">Yet </w:t>
      </w:r>
      <w:r w:rsidR="00756629">
        <w:t xml:space="preserve">an </w:t>
      </w:r>
      <w:r w:rsidR="00714B55" w:rsidRPr="00F3515B">
        <w:t xml:space="preserve">underlying, pervasive and often unquestioned devaluing of </w:t>
      </w:r>
      <w:r>
        <w:t>disabled people</w:t>
      </w:r>
      <w:r w:rsidR="00714B55" w:rsidRPr="00F3515B">
        <w:t xml:space="preserve"> </w:t>
      </w:r>
      <w:r w:rsidR="005D2C26">
        <w:t>exists called</w:t>
      </w:r>
      <w:r w:rsidR="00714B55" w:rsidRPr="00F3515B">
        <w:t xml:space="preserve"> ‘ableism’. When ableism intersects with ageism and/or racism, it can compound discrimination and specific human rights violations, </w:t>
      </w:r>
      <w:proofErr w:type="spellStart"/>
      <w:r w:rsidR="00714B55" w:rsidRPr="00F3515B">
        <w:t>deprioriti</w:t>
      </w:r>
      <w:r w:rsidR="0001192B">
        <w:t>s</w:t>
      </w:r>
      <w:r w:rsidR="00714B55" w:rsidRPr="00F3515B">
        <w:t>ation</w:t>
      </w:r>
      <w:proofErr w:type="spellEnd"/>
      <w:r w:rsidR="00714B55" w:rsidRPr="00F3515B">
        <w:t xml:space="preserve"> in access to resources and </w:t>
      </w:r>
      <w:r w:rsidR="00756629" w:rsidRPr="00F3515B">
        <w:t>poorer</w:t>
      </w:r>
      <w:r w:rsidR="00756629">
        <w:t>-</w:t>
      </w:r>
      <w:r w:rsidR="00AC58FA" w:rsidRPr="00F3515B">
        <w:t>quality</w:t>
      </w:r>
      <w:r w:rsidR="00714B55" w:rsidRPr="00F3515B">
        <w:t xml:space="preserve"> health services. </w:t>
      </w:r>
    </w:p>
    <w:p w14:paraId="75AD1238" w14:textId="63CBDB1B" w:rsidR="00ED6280" w:rsidRDefault="00A273BF" w:rsidP="00B867C6">
      <w:pPr>
        <w:pStyle w:val="NEACNormal"/>
      </w:pPr>
      <w:r>
        <w:t>Māori</w:t>
      </w:r>
      <w:r w:rsidR="00EE34E8" w:rsidRPr="00F3515B">
        <w:t>, Pacific</w:t>
      </w:r>
      <w:r w:rsidR="00756629">
        <w:t xml:space="preserve"> peoples</w:t>
      </w:r>
      <w:r w:rsidR="00EE34E8" w:rsidRPr="00F3515B">
        <w:t xml:space="preserve"> and </w:t>
      </w:r>
      <w:r w:rsidR="006301CE">
        <w:t>disabled people</w:t>
      </w:r>
      <w:r w:rsidR="00EE34E8" w:rsidRPr="00F3515B">
        <w:t xml:space="preserve">, older </w:t>
      </w:r>
      <w:r w:rsidR="006301CE">
        <w:t>people</w:t>
      </w:r>
      <w:r w:rsidR="00EE34E8" w:rsidRPr="00F3515B">
        <w:t xml:space="preserve">, people with intellectual </w:t>
      </w:r>
      <w:r w:rsidR="00756629">
        <w:t xml:space="preserve">and psychosocial </w:t>
      </w:r>
      <w:r w:rsidR="006301CE">
        <w:t>impairments</w:t>
      </w:r>
      <w:r w:rsidR="00EE34E8" w:rsidRPr="00F3515B">
        <w:t xml:space="preserve"> and those with chronic health </w:t>
      </w:r>
      <w:r w:rsidR="00EE34E8" w:rsidRPr="00F3515B">
        <w:lastRenderedPageBreak/>
        <w:t xml:space="preserve">conditions, co-morbidities, dependence on ventilators and compromised immunity face </w:t>
      </w:r>
      <w:r w:rsidR="00ED6280">
        <w:t>are even more vulnerable</w:t>
      </w:r>
      <w:r w:rsidR="00EE34E8" w:rsidRPr="00F3515B">
        <w:t xml:space="preserve"> during the </w:t>
      </w:r>
      <w:r w:rsidR="00D800D8">
        <w:t>COVID-19</w:t>
      </w:r>
      <w:r w:rsidR="00EE34E8" w:rsidRPr="00F3515B">
        <w:t xml:space="preserve"> pandemic. </w:t>
      </w:r>
    </w:p>
    <w:p w14:paraId="7F3F38FB" w14:textId="37458A1C" w:rsidR="00EE34E8" w:rsidRPr="00F3515B" w:rsidRDefault="00EE34E8" w:rsidP="00B867C6">
      <w:pPr>
        <w:pStyle w:val="NEACNormal"/>
      </w:pPr>
      <w:r w:rsidRPr="00F3515B">
        <w:t>These factors are particularly relevant when allocating clinical resources</w:t>
      </w:r>
      <w:r w:rsidR="00ED6280">
        <w:t xml:space="preserve"> during a pandemic</w:t>
      </w:r>
      <w:r w:rsidRPr="00F3515B">
        <w:t xml:space="preserve">. </w:t>
      </w:r>
    </w:p>
    <w:p w14:paraId="4599FCFC" w14:textId="33B56C6F" w:rsidR="00EE34E8" w:rsidRPr="00F3515B" w:rsidRDefault="00EE34E8" w:rsidP="00B867C6">
      <w:pPr>
        <w:pStyle w:val="Heading3"/>
      </w:pPr>
      <w:bookmarkStart w:id="17" w:name="_Toc42073323"/>
      <w:r w:rsidRPr="00F3515B">
        <w:t>Indigenous health inequities in New Zealand</w:t>
      </w:r>
      <w:bookmarkEnd w:id="17"/>
    </w:p>
    <w:p w14:paraId="3F8B3334" w14:textId="22F04D53" w:rsidR="00EE34E8" w:rsidRPr="00F3515B" w:rsidRDefault="00EE34E8" w:rsidP="00B867C6">
      <w:pPr>
        <w:pStyle w:val="NEACNormal"/>
        <w:rPr>
          <w:b/>
        </w:rPr>
      </w:pPr>
      <w:r w:rsidRPr="00F3515B">
        <w:t>Māori experience higher rates of infectious diseases than other New Zealanders</w:t>
      </w:r>
      <w:r w:rsidR="00CB33D7">
        <w:t xml:space="preserve"> (</w:t>
      </w:r>
      <w:r w:rsidR="00AD0C31">
        <w:t>Ballantyne 2020</w:t>
      </w:r>
      <w:r w:rsidR="00CB33D7">
        <w:t>)</w:t>
      </w:r>
      <w:r w:rsidRPr="00F3515B">
        <w:t xml:space="preserve">. For </w:t>
      </w:r>
      <w:r w:rsidR="00D800D8">
        <w:t>COVID-19</w:t>
      </w:r>
      <w:r w:rsidRPr="00F3515B">
        <w:t>, older people and individuals with underlying conditions are at increased risk of severe infection. Māori as a population have higher rates of chronic conditions and comorbidities and are therefore more likely to develop sever</w:t>
      </w:r>
      <w:r w:rsidR="00287D14">
        <w:t>e</w:t>
      </w:r>
      <w:r w:rsidRPr="00F3515B">
        <w:t xml:space="preserve"> </w:t>
      </w:r>
      <w:r w:rsidR="00D800D8">
        <w:t>COVID-19</w:t>
      </w:r>
      <w:r w:rsidRPr="00F3515B">
        <w:t xml:space="preserve"> </w:t>
      </w:r>
      <w:r w:rsidR="00287D14">
        <w:t>as a result of contracting</w:t>
      </w:r>
      <w:r w:rsidR="00287D14" w:rsidRPr="00F3515B">
        <w:t xml:space="preserve"> </w:t>
      </w:r>
      <w:r w:rsidRPr="00F3515B">
        <w:t xml:space="preserve">SARS-CoV-2 infection. </w:t>
      </w:r>
      <w:r w:rsidR="00B5714C" w:rsidRPr="00F3515B">
        <w:t>In addition, Māori often have more people living in their households</w:t>
      </w:r>
      <w:r w:rsidR="00287D14">
        <w:t>,</w:t>
      </w:r>
      <w:r w:rsidR="00B5714C" w:rsidRPr="00F3515B">
        <w:t xml:space="preserve"> which places more people at risk from exposure to infectious diseases</w:t>
      </w:r>
      <w:r w:rsidR="00287D14">
        <w:t xml:space="preserve"> – but conversely,</w:t>
      </w:r>
      <w:r w:rsidR="00B5714C" w:rsidRPr="00F3515B">
        <w:t xml:space="preserve"> more people in the household stand to benefit from preventative actions.</w:t>
      </w:r>
    </w:p>
    <w:p w14:paraId="6CCA538B" w14:textId="09DCEFF6" w:rsidR="00645123" w:rsidRPr="00F3515B" w:rsidRDefault="00C63699" w:rsidP="00B867C6">
      <w:pPr>
        <w:pStyle w:val="Heading3"/>
      </w:pPr>
      <w:bookmarkStart w:id="18" w:name="_Toc42073324"/>
      <w:r w:rsidRPr="00F3515B">
        <w:t>Human rights</w:t>
      </w:r>
      <w:bookmarkEnd w:id="18"/>
    </w:p>
    <w:p w14:paraId="37D94396" w14:textId="62A0381C" w:rsidR="00B512A7" w:rsidRPr="00F3515B" w:rsidRDefault="00B512A7" w:rsidP="00B867C6">
      <w:pPr>
        <w:pStyle w:val="NEACNormal"/>
      </w:pPr>
      <w:r w:rsidRPr="00F3515B">
        <w:t xml:space="preserve">This framework is underpinned by </w:t>
      </w:r>
      <w:r w:rsidR="00FC550E">
        <w:t>all people’s</w:t>
      </w:r>
      <w:r w:rsidR="00FC550E" w:rsidRPr="00F3515B">
        <w:t xml:space="preserve"> </w:t>
      </w:r>
      <w:r w:rsidRPr="00F3515B">
        <w:t xml:space="preserve">right to </w:t>
      </w:r>
      <w:r w:rsidR="00FC550E">
        <w:t xml:space="preserve">good </w:t>
      </w:r>
      <w:r w:rsidRPr="00F3515B">
        <w:t xml:space="preserve">health, including access to necessary resources, as expressed in </w:t>
      </w:r>
      <w:r w:rsidR="00FC550E">
        <w:t>a</w:t>
      </w:r>
      <w:r w:rsidRPr="00F3515B">
        <w:t xml:space="preserve">rticle 25 </w:t>
      </w:r>
      <w:r w:rsidR="007D3817">
        <w:t xml:space="preserve">and </w:t>
      </w:r>
      <w:r w:rsidR="007D3817">
        <w:t xml:space="preserve">the preamble </w:t>
      </w:r>
      <w:r w:rsidRPr="00F3515B">
        <w:t>of the Universal Declaration of Human Rights</w:t>
      </w:r>
      <w:r w:rsidR="005801E6">
        <w:t xml:space="preserve"> (United Nations </w:t>
      </w:r>
      <w:r w:rsidR="00111132">
        <w:t>1948</w:t>
      </w:r>
      <w:r w:rsidR="005801E6">
        <w:t>).</w:t>
      </w:r>
      <w:r w:rsidRPr="00F3515B">
        <w:rPr>
          <w:rStyle w:val="FootnoteReference"/>
        </w:rPr>
        <w:footnoteReference w:id="2"/>
      </w:r>
      <w:r w:rsidRPr="00F3515B">
        <w:t xml:space="preserve"> Human dignity is the ultimate foundation of all human rights and fundamental freedoms. </w:t>
      </w:r>
    </w:p>
    <w:p w14:paraId="3F45210F" w14:textId="77777777" w:rsidR="005801E6" w:rsidRDefault="005801E6">
      <w:pPr>
        <w:spacing w:before="0" w:after="160" w:line="259" w:lineRule="auto"/>
        <w:rPr>
          <w:rFonts w:ascii="Helv" w:hAnsi="Helv"/>
          <w:color w:val="003F5F" w:themeColor="accent1"/>
          <w:sz w:val="52"/>
        </w:rPr>
      </w:pPr>
      <w:r>
        <w:rPr>
          <w:rFonts w:ascii="Helv" w:hAnsi="Helv"/>
        </w:rPr>
        <w:br w:type="page"/>
      </w:r>
    </w:p>
    <w:p w14:paraId="2806D40A" w14:textId="7B8364FD" w:rsidR="00E84D1E" w:rsidRPr="00F3515B" w:rsidRDefault="005B5028" w:rsidP="00CB3666">
      <w:pPr>
        <w:pStyle w:val="1Headingnumbered"/>
        <w:numPr>
          <w:ilvl w:val="0"/>
          <w:numId w:val="0"/>
        </w:numPr>
        <w:ind w:left="680" w:hanging="680"/>
        <w:rPr>
          <w:rFonts w:ascii="Helv" w:hAnsi="Helv"/>
        </w:rPr>
      </w:pPr>
      <w:bookmarkStart w:id="19" w:name="_Toc42073325"/>
      <w:r w:rsidRPr="00F3515B">
        <w:rPr>
          <w:rFonts w:ascii="Helv" w:hAnsi="Helv"/>
        </w:rPr>
        <w:lastRenderedPageBreak/>
        <w:t xml:space="preserve">Ethical </w:t>
      </w:r>
      <w:r w:rsidR="008C454A">
        <w:rPr>
          <w:rFonts w:ascii="Helv" w:hAnsi="Helv"/>
        </w:rPr>
        <w:t>p</w:t>
      </w:r>
      <w:r w:rsidR="008C454A" w:rsidRPr="00F3515B">
        <w:rPr>
          <w:rFonts w:ascii="Helv" w:hAnsi="Helv"/>
        </w:rPr>
        <w:t>rinciples</w:t>
      </w:r>
      <w:bookmarkEnd w:id="19"/>
    </w:p>
    <w:p w14:paraId="6CF6BBAA" w14:textId="658CA3C7" w:rsidR="0082039E" w:rsidRPr="00F3515B" w:rsidRDefault="0082039E" w:rsidP="00B867C6">
      <w:pPr>
        <w:pStyle w:val="Heading2"/>
      </w:pPr>
      <w:bookmarkStart w:id="20" w:name="_Toc42073326"/>
      <w:r w:rsidRPr="00F3515B">
        <w:t>Introduction</w:t>
      </w:r>
      <w:bookmarkEnd w:id="20"/>
      <w:r w:rsidRPr="00F3515B">
        <w:t xml:space="preserve"> </w:t>
      </w:r>
    </w:p>
    <w:p w14:paraId="6C30B63D" w14:textId="71F36DD0" w:rsidR="005B5028" w:rsidRPr="00F3515B" w:rsidRDefault="005B5028" w:rsidP="00B867C6">
      <w:pPr>
        <w:pStyle w:val="NEACNormal"/>
      </w:pPr>
      <w:r w:rsidRPr="00F3515B">
        <w:t xml:space="preserve">This section sets out </w:t>
      </w:r>
      <w:r w:rsidR="00467BF5" w:rsidRPr="00F3515B">
        <w:t xml:space="preserve">four resource allocation </w:t>
      </w:r>
      <w:r w:rsidRPr="00F3515B">
        <w:t xml:space="preserve">principles </w:t>
      </w:r>
      <w:r w:rsidR="00467BF5" w:rsidRPr="00F3515B">
        <w:t xml:space="preserve">and four </w:t>
      </w:r>
      <w:proofErr w:type="spellStart"/>
      <w:r w:rsidR="00467BF5" w:rsidRPr="00F3515B">
        <w:t>Te</w:t>
      </w:r>
      <w:proofErr w:type="spellEnd"/>
      <w:r w:rsidR="00467BF5" w:rsidRPr="00F3515B">
        <w:t xml:space="preserve"> </w:t>
      </w:r>
      <w:proofErr w:type="spellStart"/>
      <w:r w:rsidR="00467BF5" w:rsidRPr="00F3515B">
        <w:t>Tiriti</w:t>
      </w:r>
      <w:proofErr w:type="spellEnd"/>
      <w:r w:rsidR="00467BF5" w:rsidRPr="00F3515B">
        <w:t xml:space="preserve"> principles</w:t>
      </w:r>
      <w:r w:rsidR="006301CE">
        <w:t xml:space="preserve"> (</w:t>
      </w:r>
      <w:r w:rsidR="003A6C5F">
        <w:t>t</w:t>
      </w:r>
      <w:r w:rsidR="006301CE">
        <w:t>able</w:t>
      </w:r>
      <w:r w:rsidR="003A6C5F">
        <w:t>s</w:t>
      </w:r>
      <w:r w:rsidR="006301CE">
        <w:t xml:space="preserve"> </w:t>
      </w:r>
      <w:r w:rsidR="008A7E2E">
        <w:t>1</w:t>
      </w:r>
      <w:r w:rsidR="006301CE">
        <w:t xml:space="preserve"> and </w:t>
      </w:r>
      <w:r w:rsidR="008A7E2E">
        <w:t>2</w:t>
      </w:r>
      <w:r w:rsidR="003A6C5F">
        <w:t xml:space="preserve"> respectively</w:t>
      </w:r>
      <w:r w:rsidR="006301CE">
        <w:t>)</w:t>
      </w:r>
      <w:r w:rsidR="00467BF5" w:rsidRPr="00F3515B">
        <w:t>.</w:t>
      </w:r>
    </w:p>
    <w:p w14:paraId="18CE1957" w14:textId="3D2988A9" w:rsidR="0027544F" w:rsidRPr="00F3515B" w:rsidRDefault="0027544F" w:rsidP="00B867C6">
      <w:pPr>
        <w:pStyle w:val="NEACNormal"/>
      </w:pPr>
      <w:r w:rsidRPr="00F3515B">
        <w:t>This framework</w:t>
      </w:r>
      <w:r w:rsidR="005B5028" w:rsidRPr="00F3515B">
        <w:t xml:space="preserve"> do</w:t>
      </w:r>
      <w:r w:rsidRPr="00F3515B">
        <w:t>es</w:t>
      </w:r>
      <w:r w:rsidR="005B5028" w:rsidRPr="00F3515B">
        <w:t xml:space="preserve"> not prioritise </w:t>
      </w:r>
      <w:r w:rsidR="00816308" w:rsidRPr="00F3515B">
        <w:t>the</w:t>
      </w:r>
      <w:r w:rsidR="005B5028" w:rsidRPr="00F3515B">
        <w:t xml:space="preserve"> principles</w:t>
      </w:r>
      <w:r w:rsidR="003A6C5F" w:rsidRPr="003A6C5F">
        <w:t xml:space="preserve"> </w:t>
      </w:r>
      <w:r w:rsidR="003A6C5F" w:rsidRPr="00F3515B">
        <w:t>ethically or conceptually</w:t>
      </w:r>
      <w:r w:rsidR="005B5028" w:rsidRPr="00F3515B">
        <w:t>. However, the</w:t>
      </w:r>
      <w:r w:rsidR="003A6C5F">
        <w:t xml:space="preserve"> two sets of principles</w:t>
      </w:r>
      <w:r w:rsidR="005B5028" w:rsidRPr="00F3515B">
        <w:t xml:space="preserve"> do have </w:t>
      </w:r>
      <w:r w:rsidR="003A6C5F">
        <w:t xml:space="preserve">one </w:t>
      </w:r>
      <w:r w:rsidR="005B5028" w:rsidRPr="00F3515B">
        <w:t xml:space="preserve">important common ground: they highlight the important </w:t>
      </w:r>
      <w:r w:rsidR="00DF238D">
        <w:t>factors</w:t>
      </w:r>
      <w:r w:rsidR="00467BF5" w:rsidRPr="00F3515B">
        <w:t xml:space="preserve">, particularly for </w:t>
      </w:r>
      <w:r w:rsidR="00A273BF">
        <w:t>Māori</w:t>
      </w:r>
      <w:r w:rsidR="00467BF5" w:rsidRPr="00F3515B">
        <w:t>,</w:t>
      </w:r>
      <w:r w:rsidR="005B5028" w:rsidRPr="00F3515B">
        <w:t xml:space="preserve"> that must be </w:t>
      </w:r>
      <w:r w:rsidR="00DF238D">
        <w:t>considered</w:t>
      </w:r>
      <w:r w:rsidR="00DF238D" w:rsidRPr="00F3515B">
        <w:t xml:space="preserve"> </w:t>
      </w:r>
      <w:r w:rsidR="00FB086A" w:rsidRPr="00F3515B">
        <w:t xml:space="preserve">when </w:t>
      </w:r>
      <w:r w:rsidR="00BD75C0" w:rsidRPr="00F3515B">
        <w:t>allocating scarce resources.</w:t>
      </w:r>
      <w:r w:rsidR="00816308" w:rsidRPr="00F3515B">
        <w:t xml:space="preserve"> </w:t>
      </w:r>
      <w:r w:rsidR="00027EEE" w:rsidRPr="00F3515B">
        <w:t>Importantly, the</w:t>
      </w:r>
      <w:r w:rsidR="003A6C5F">
        <w:t xml:space="preserve"> way they are applied</w:t>
      </w:r>
      <w:r w:rsidR="00027EEE" w:rsidRPr="00F3515B">
        <w:t xml:space="preserve"> will </w:t>
      </w:r>
      <w:r w:rsidR="003A6C5F">
        <w:t>vary</w:t>
      </w:r>
      <w:r w:rsidR="00027EEE" w:rsidRPr="00F3515B">
        <w:t xml:space="preserve"> depending on the resource</w:t>
      </w:r>
      <w:r w:rsidR="00816308" w:rsidRPr="00F3515B">
        <w:t xml:space="preserve"> being considered</w:t>
      </w:r>
      <w:r w:rsidR="00027EEE" w:rsidRPr="00F3515B">
        <w:t xml:space="preserve">, the level of scarcity and the context (clinical or public health). </w:t>
      </w:r>
    </w:p>
    <w:p w14:paraId="35AED6CD" w14:textId="4F71732E" w:rsidR="0027544F" w:rsidRPr="00F3515B" w:rsidRDefault="0027544F" w:rsidP="00B867C6">
      <w:pPr>
        <w:pStyle w:val="Heading3"/>
      </w:pPr>
      <w:bookmarkStart w:id="21" w:name="_Toc42073327"/>
      <w:r w:rsidRPr="00F3515B">
        <w:t>Tensions between the principles</w:t>
      </w:r>
      <w:bookmarkEnd w:id="21"/>
    </w:p>
    <w:p w14:paraId="2C92B87B" w14:textId="24081021" w:rsidR="00467BF5" w:rsidRPr="00F3515B" w:rsidRDefault="0027544F" w:rsidP="00B867C6">
      <w:pPr>
        <w:pStyle w:val="NEACNormal"/>
      </w:pPr>
      <w:r w:rsidRPr="00F3515B">
        <w:t>NEAC holds that having multiple principles reflecting a plurality of values is the best basis of ethical decision-making. It may be that in some circumstances different principles can be followed at the same time. For example, in some elective surger</w:t>
      </w:r>
      <w:r w:rsidR="003A6C5F">
        <w:t>ies</w:t>
      </w:r>
      <w:r w:rsidRPr="00F3515B">
        <w:t xml:space="preserve">, prioritising those with most need </w:t>
      </w:r>
      <w:r w:rsidR="0015250D">
        <w:t>and</w:t>
      </w:r>
      <w:r w:rsidRPr="00F3515B">
        <w:t xml:space="preserve"> achieving the most benefit</w:t>
      </w:r>
      <w:r w:rsidR="0015250D">
        <w:t xml:space="preserve"> might be considered in tandem to achieve the best result</w:t>
      </w:r>
      <w:r w:rsidRPr="00F3515B">
        <w:t>. But in a pandemic (as with many other contexts)</w:t>
      </w:r>
      <w:r w:rsidR="003A6C5F">
        <w:t>,</w:t>
      </w:r>
      <w:r w:rsidRPr="00F3515B">
        <w:t xml:space="preserve"> values and principles </w:t>
      </w:r>
      <w:r w:rsidR="0015250D">
        <w:t xml:space="preserve">can </w:t>
      </w:r>
      <w:r w:rsidRPr="00F3515B">
        <w:t xml:space="preserve">conflict.  </w:t>
      </w:r>
    </w:p>
    <w:p w14:paraId="0F735928" w14:textId="78E8788F" w:rsidR="0027544F" w:rsidRPr="00F3515B" w:rsidRDefault="0027544F" w:rsidP="00B867C6">
      <w:pPr>
        <w:pStyle w:val="NEACNormal"/>
      </w:pPr>
      <w:r w:rsidRPr="00F3515B">
        <w:t xml:space="preserve">For example, with </w:t>
      </w:r>
      <w:r w:rsidR="00D800D8">
        <w:t>COVID-19</w:t>
      </w:r>
      <w:r w:rsidRPr="00F3515B">
        <w:t xml:space="preserve">, it may not be possible to achieve equity and to benefit the most people possible. </w:t>
      </w:r>
      <w:r w:rsidR="0015250D">
        <w:t>As an example, i</w:t>
      </w:r>
      <w:r w:rsidRPr="00F3515B">
        <w:t xml:space="preserve">n the case of </w:t>
      </w:r>
      <w:r w:rsidR="0015250D">
        <w:t>intensive care unit (</w:t>
      </w:r>
      <w:r w:rsidRPr="00F3515B">
        <w:t>ICU</w:t>
      </w:r>
      <w:r w:rsidR="0015250D">
        <w:t>)</w:t>
      </w:r>
      <w:r w:rsidRPr="00F3515B">
        <w:t xml:space="preserve"> beds or ventilators,</w:t>
      </w:r>
      <w:r w:rsidR="00467BF5" w:rsidRPr="00F3515B">
        <w:t xml:space="preserve"> </w:t>
      </w:r>
      <w:r w:rsidR="0015250D">
        <w:t xml:space="preserve">the decision might be made to treat </w:t>
      </w:r>
      <w:r w:rsidRPr="00F3515B">
        <w:t xml:space="preserve">those </w:t>
      </w:r>
      <w:r w:rsidR="0015250D">
        <w:t>with</w:t>
      </w:r>
      <w:r w:rsidRPr="00F3515B">
        <w:t xml:space="preserve"> fewer comorbidities first because this is predicted to be the best way of saving as many lives as possible. Yet, doing so may undermine equity if </w:t>
      </w:r>
      <w:r w:rsidR="0001192B">
        <w:t>some</w:t>
      </w:r>
      <w:r w:rsidR="008545E6">
        <w:t xml:space="preserve"> </w:t>
      </w:r>
      <w:r w:rsidRPr="00F3515B">
        <w:t xml:space="preserve">groups (such as </w:t>
      </w:r>
      <w:r w:rsidR="00A273BF">
        <w:t>Māori</w:t>
      </w:r>
      <w:r w:rsidRPr="00F3515B">
        <w:t xml:space="preserve"> or </w:t>
      </w:r>
      <w:r w:rsidR="006301CE">
        <w:t>disabled people</w:t>
      </w:r>
      <w:r w:rsidRPr="00F3515B">
        <w:t>) tend to have more comorbidities than other groups to start with.</w:t>
      </w:r>
    </w:p>
    <w:p w14:paraId="57300F79" w14:textId="0AF7D93A" w:rsidR="0027544F" w:rsidRPr="00F3515B" w:rsidRDefault="0027544F" w:rsidP="00B867C6">
      <w:pPr>
        <w:pStyle w:val="NEACNormal"/>
      </w:pPr>
      <w:r w:rsidRPr="00F3515B">
        <w:t>From a theoretical position, NEAC’s approach fits with the idea that the different and sometimes inconsistent values and principles of ethics are prima facie. Th</w:t>
      </w:r>
      <w:r w:rsidR="00D9529B">
        <w:t>is</w:t>
      </w:r>
      <w:r w:rsidRPr="00F3515B">
        <w:t xml:space="preserve"> means </w:t>
      </w:r>
      <w:r w:rsidR="00CC1D2F">
        <w:t xml:space="preserve">that </w:t>
      </w:r>
      <w:r w:rsidRPr="00F3515B">
        <w:t xml:space="preserve">wherever they are relevant, they are significant, but a particular value or principle may sometimes have to be sacrificed to realise another value or principle, judged of greater weight or significance in the circumstances. From a psychological standpoint, people will often feel </w:t>
      </w:r>
      <w:r w:rsidR="00CC1D2F">
        <w:t>a variety of</w:t>
      </w:r>
      <w:r w:rsidRPr="00F3515B">
        <w:t xml:space="preserve"> values pulling them in different directions, experiencing internally the ethical dilemmas described </w:t>
      </w:r>
      <w:r w:rsidR="00CC1D2F" w:rsidRPr="00F3515B">
        <w:t>later</w:t>
      </w:r>
      <w:r w:rsidR="00CC1D2F">
        <w:t xml:space="preserve"> in this framework</w:t>
      </w:r>
      <w:r w:rsidR="00CC1D2F" w:rsidRPr="00F3515B">
        <w:t xml:space="preserve"> </w:t>
      </w:r>
      <w:r w:rsidR="00CC1D2F">
        <w:t>around</w:t>
      </w:r>
      <w:r w:rsidR="00CC1D2F" w:rsidRPr="00F3515B">
        <w:t xml:space="preserve"> </w:t>
      </w:r>
      <w:r w:rsidRPr="00F3515B">
        <w:t xml:space="preserve">the </w:t>
      </w:r>
      <w:r w:rsidR="00CC1D2F">
        <w:t>three examples</w:t>
      </w:r>
      <w:r w:rsidR="00CC1D2F" w:rsidRPr="00F3515B">
        <w:t xml:space="preserve"> </w:t>
      </w:r>
      <w:r w:rsidR="00CC1D2F">
        <w:t>of intensive care unit allocation, personal protective equipment allocation and vaccine allocation</w:t>
      </w:r>
      <w:r w:rsidRPr="00F3515B">
        <w:t>.</w:t>
      </w:r>
    </w:p>
    <w:p w14:paraId="6CC8FAE2" w14:textId="33D4A258" w:rsidR="001A5176" w:rsidRPr="00F3515B" w:rsidRDefault="00CC1D2F" w:rsidP="00B867C6">
      <w:pPr>
        <w:pStyle w:val="NEACNormal"/>
      </w:pPr>
      <w:r w:rsidRPr="00F3515B">
        <w:t xml:space="preserve">The three examples show </w:t>
      </w:r>
      <w:r>
        <w:t>the</w:t>
      </w:r>
      <w:r w:rsidRPr="00F3515B">
        <w:t xml:space="preserve"> tensions </w:t>
      </w:r>
      <w:r>
        <w:t xml:space="preserve">that </w:t>
      </w:r>
      <w:r w:rsidRPr="00F3515B">
        <w:t>exist between values and principles when making difficult decisions</w:t>
      </w:r>
      <w:r>
        <w:t>.</w:t>
      </w:r>
      <w:r w:rsidRPr="00F3515B">
        <w:t xml:space="preserve"> </w:t>
      </w:r>
      <w:r w:rsidR="0027544F" w:rsidRPr="00F3515B">
        <w:t xml:space="preserve">NEAC </w:t>
      </w:r>
      <w:r>
        <w:t>believes</w:t>
      </w:r>
      <w:r w:rsidRPr="00F3515B">
        <w:t xml:space="preserve"> </w:t>
      </w:r>
      <w:r w:rsidR="0027544F" w:rsidRPr="00F3515B">
        <w:t>that good decision-making involves recognising</w:t>
      </w:r>
      <w:r w:rsidR="0001192B">
        <w:t>,</w:t>
      </w:r>
      <w:r w:rsidR="0027544F" w:rsidRPr="00F3515B">
        <w:t xml:space="preserve"> rather than </w:t>
      </w:r>
      <w:r>
        <w:t>ignoring,</w:t>
      </w:r>
      <w:r w:rsidR="0027544F" w:rsidRPr="00F3515B">
        <w:t xml:space="preserve"> th</w:t>
      </w:r>
      <w:r>
        <w:t>es</w:t>
      </w:r>
      <w:r w:rsidR="0027544F" w:rsidRPr="00F3515B">
        <w:t>e tensions</w:t>
      </w:r>
      <w:r w:rsidR="006E1BE7" w:rsidRPr="00F3515B">
        <w:t>.</w:t>
      </w:r>
    </w:p>
    <w:p w14:paraId="34099219" w14:textId="19CD1C72" w:rsidR="001A5176" w:rsidRPr="00F3515B" w:rsidRDefault="001A5176" w:rsidP="001A5176">
      <w:pPr>
        <w:pStyle w:val="BodycopyNES"/>
        <w:ind w:left="0"/>
        <w:jc w:val="both"/>
        <w:rPr>
          <w:rFonts w:ascii="Helv" w:hAnsi="Helv"/>
        </w:rPr>
        <w:sectPr w:rsidR="001A5176" w:rsidRPr="00F3515B" w:rsidSect="005928E7">
          <w:footerReference w:type="default" r:id="rId27"/>
          <w:pgSz w:w="16838" w:h="11906" w:orient="landscape"/>
          <w:pgMar w:top="1814" w:right="2041" w:bottom="1588" w:left="1361" w:header="709" w:footer="709" w:gutter="0"/>
          <w:pgNumType w:start="1"/>
          <w:cols w:num="2" w:space="708"/>
          <w:docGrid w:linePitch="360"/>
        </w:sectPr>
      </w:pPr>
    </w:p>
    <w:p w14:paraId="201C38CF" w14:textId="29E36067" w:rsidR="00487FB5" w:rsidRPr="00B867C6" w:rsidRDefault="00B867C6" w:rsidP="00B867C6">
      <w:pPr>
        <w:pStyle w:val="Figure"/>
      </w:pPr>
      <w:r>
        <w:lastRenderedPageBreak/>
        <w:t xml:space="preserve">Table </w:t>
      </w:r>
      <w:fldSimple w:instr=" SEQ Table \* ARABIC ">
        <w:r>
          <w:rPr>
            <w:noProof/>
          </w:rPr>
          <w:t>1</w:t>
        </w:r>
      </w:fldSimple>
      <w:r>
        <w:t xml:space="preserve">: </w:t>
      </w:r>
      <w:r w:rsidR="00487FB5" w:rsidRPr="00B867C6">
        <w:t xml:space="preserve">Resource </w:t>
      </w:r>
      <w:r w:rsidR="008C454A" w:rsidRPr="00B867C6">
        <w:t>a</w:t>
      </w:r>
      <w:r w:rsidR="00487FB5" w:rsidRPr="00B867C6">
        <w:t xml:space="preserve">llocation </w:t>
      </w:r>
      <w:r w:rsidR="008C454A" w:rsidRPr="00B867C6">
        <w:t>p</w:t>
      </w:r>
      <w:r w:rsidR="00487FB5" w:rsidRPr="00B867C6">
        <w:t>rinciples</w:t>
      </w:r>
    </w:p>
    <w:p w14:paraId="4E78449C" w14:textId="4988C7C1" w:rsidR="0082039E" w:rsidRPr="00F3515B" w:rsidRDefault="005B3EAA" w:rsidP="00B867C6">
      <w:pPr>
        <w:pStyle w:val="NEACNormal"/>
      </w:pPr>
      <w:r w:rsidRPr="00F3515B">
        <w:t xml:space="preserve">The </w:t>
      </w:r>
      <w:r w:rsidR="008C454A">
        <w:t>r</w:t>
      </w:r>
      <w:r w:rsidRPr="00F3515B">
        <w:t xml:space="preserve">esource </w:t>
      </w:r>
      <w:r w:rsidR="008C454A">
        <w:t>a</w:t>
      </w:r>
      <w:r w:rsidRPr="00F3515B">
        <w:t xml:space="preserve">llocation </w:t>
      </w:r>
      <w:r w:rsidR="008C454A">
        <w:t>p</w:t>
      </w:r>
      <w:r w:rsidRPr="00F3515B">
        <w:t xml:space="preserve">rinciples chosen </w:t>
      </w:r>
      <w:proofErr w:type="gramStart"/>
      <w:r w:rsidRPr="00F3515B">
        <w:t>reflect</w:t>
      </w:r>
      <w:proofErr w:type="gramEnd"/>
      <w:r w:rsidRPr="00F3515B">
        <w:t xml:space="preserve"> the important considerations that are made when prioritising scarce resources. They are in tension and must be considered in light of each resource allocation decision. </w:t>
      </w:r>
    </w:p>
    <w:tbl>
      <w:tblPr>
        <w:tblStyle w:val="TableGrid"/>
        <w:tblW w:w="5000" w:type="pct"/>
        <w:tblBorders>
          <w:top w:val="single" w:sz="4" w:space="0" w:color="003F5F" w:themeColor="accent1"/>
          <w:left w:val="single" w:sz="4" w:space="0" w:color="003F5F" w:themeColor="accent1"/>
          <w:bottom w:val="single" w:sz="4" w:space="0" w:color="003F5F" w:themeColor="accent1"/>
          <w:right w:val="single" w:sz="4" w:space="0" w:color="003F5F" w:themeColor="accent1"/>
          <w:insideH w:val="single" w:sz="4" w:space="0" w:color="003F5F" w:themeColor="accent1"/>
          <w:insideV w:val="single" w:sz="4" w:space="0" w:color="003F5F" w:themeColor="accent1"/>
        </w:tblBorders>
        <w:tblLook w:val="04A0" w:firstRow="1" w:lastRow="0" w:firstColumn="1" w:lastColumn="0" w:noHBand="0" w:noVBand="1"/>
      </w:tblPr>
      <w:tblGrid>
        <w:gridCol w:w="2830"/>
        <w:gridCol w:w="10596"/>
      </w:tblGrid>
      <w:tr w:rsidR="007C08CD" w:rsidRPr="00F3515B" w14:paraId="01F90A9F" w14:textId="344320FC" w:rsidTr="00A770D0">
        <w:trPr>
          <w:cnfStyle w:val="100000000000" w:firstRow="1" w:lastRow="0" w:firstColumn="0" w:lastColumn="0" w:oddVBand="0" w:evenVBand="0" w:oddHBand="0" w:evenHBand="0" w:firstRowFirstColumn="0" w:firstRowLastColumn="0" w:lastRowFirstColumn="0" w:lastRowLastColumn="0"/>
          <w:trHeight w:val="509"/>
          <w:tblHeader/>
        </w:trPr>
        <w:tc>
          <w:tcPr>
            <w:tcW w:w="1054" w:type="pct"/>
            <w:vAlign w:val="center"/>
          </w:tcPr>
          <w:p w14:paraId="0DE6B33A" w14:textId="5B1C6722" w:rsidR="007C08CD" w:rsidRPr="00B867C6" w:rsidRDefault="007C08CD" w:rsidP="00B867C6">
            <w:pPr>
              <w:pStyle w:val="NEACTableHeading"/>
            </w:pPr>
            <w:r w:rsidRPr="00B867C6">
              <w:t xml:space="preserve">Resource </w:t>
            </w:r>
            <w:r w:rsidR="003A6C5F" w:rsidRPr="00B867C6">
              <w:t>a</w:t>
            </w:r>
            <w:r w:rsidRPr="00B867C6">
              <w:t xml:space="preserve">llocation </w:t>
            </w:r>
            <w:r w:rsidR="003A6C5F" w:rsidRPr="00B867C6">
              <w:t>p</w:t>
            </w:r>
            <w:r w:rsidRPr="00B867C6">
              <w:t>rinciple</w:t>
            </w:r>
          </w:p>
        </w:tc>
        <w:tc>
          <w:tcPr>
            <w:tcW w:w="3946" w:type="pct"/>
            <w:vAlign w:val="center"/>
          </w:tcPr>
          <w:p w14:paraId="66767B6E" w14:textId="063E997A" w:rsidR="007C08CD" w:rsidRPr="00B867C6" w:rsidRDefault="007C08CD" w:rsidP="00B867C6">
            <w:pPr>
              <w:pStyle w:val="NEACTableHeading"/>
            </w:pPr>
            <w:r w:rsidRPr="00B867C6">
              <w:t>Application to resource allocation</w:t>
            </w:r>
          </w:p>
        </w:tc>
      </w:tr>
      <w:tr w:rsidR="007C08CD" w:rsidRPr="00F3515B" w14:paraId="4522E1F6" w14:textId="737D7A89" w:rsidTr="00A770D0">
        <w:trPr>
          <w:trHeight w:val="1692"/>
        </w:trPr>
        <w:tc>
          <w:tcPr>
            <w:tcW w:w="1054" w:type="pct"/>
            <w:vAlign w:val="center"/>
          </w:tcPr>
          <w:p w14:paraId="3C0E9B55" w14:textId="43CF79A4" w:rsidR="007C08CD" w:rsidRPr="00CF4309" w:rsidRDefault="007C08CD" w:rsidP="00A770D0">
            <w:pPr>
              <w:pStyle w:val="NEACTableTextBold"/>
            </w:pPr>
            <w:r w:rsidRPr="00CF4309">
              <w:t>All people are equally deserving of care</w:t>
            </w:r>
          </w:p>
          <w:p w14:paraId="4A192052" w14:textId="77777777" w:rsidR="007C08CD" w:rsidRPr="00CF4309" w:rsidRDefault="007C08CD" w:rsidP="00A770D0">
            <w:pPr>
              <w:pStyle w:val="NEACTableHeading"/>
            </w:pPr>
          </w:p>
        </w:tc>
        <w:tc>
          <w:tcPr>
            <w:tcW w:w="3946" w:type="pct"/>
            <w:vAlign w:val="center"/>
          </w:tcPr>
          <w:p w14:paraId="687F4DAB" w14:textId="5AFDA2E7" w:rsidR="007C08CD" w:rsidRPr="00A770D0" w:rsidRDefault="007C08CD" w:rsidP="00C510BA">
            <w:pPr>
              <w:pStyle w:val="NEACBullet"/>
            </w:pPr>
            <w:r w:rsidRPr="00A770D0">
              <w:t xml:space="preserve">Each person affected by the </w:t>
            </w:r>
            <w:r w:rsidR="00764EDA" w:rsidRPr="00A770D0">
              <w:t>COVID-19</w:t>
            </w:r>
            <w:r w:rsidRPr="00A770D0">
              <w:t xml:space="preserve"> pandemic in New Zealand deserv</w:t>
            </w:r>
            <w:r w:rsidR="00F7260B" w:rsidRPr="00A770D0">
              <w:t>es</w:t>
            </w:r>
            <w:r w:rsidRPr="00A770D0">
              <w:t xml:space="preserve"> equal respect and consideration.</w:t>
            </w:r>
          </w:p>
          <w:p w14:paraId="6B6A6E46" w14:textId="1BF7B37E" w:rsidR="007C08CD" w:rsidRPr="00A770D0" w:rsidRDefault="007C08CD" w:rsidP="00C510BA">
            <w:pPr>
              <w:pStyle w:val="NEACBullet"/>
            </w:pPr>
            <w:r w:rsidRPr="00A770D0">
              <w:t xml:space="preserve">Resources should not be distributed </w:t>
            </w:r>
            <w:r w:rsidR="005501A4" w:rsidRPr="00A770D0">
              <w:t xml:space="preserve">arbitrarily </w:t>
            </w:r>
            <w:r w:rsidRPr="00A770D0">
              <w:t xml:space="preserve">or withheld on </w:t>
            </w:r>
            <w:r w:rsidR="0001192B" w:rsidRPr="00A770D0">
              <w:t xml:space="preserve">the </w:t>
            </w:r>
            <w:r w:rsidRPr="00A770D0">
              <w:t xml:space="preserve">basis of individual or group characteristics that are irrelevant to </w:t>
            </w:r>
            <w:r w:rsidR="00C7491C" w:rsidRPr="00A770D0">
              <w:t>the</w:t>
            </w:r>
            <w:r w:rsidR="005501A4" w:rsidRPr="00A770D0">
              <w:t xml:space="preserve"> </w:t>
            </w:r>
            <w:r w:rsidRPr="00A770D0">
              <w:t>clinical prognosis</w:t>
            </w:r>
            <w:r w:rsidR="00C7491C" w:rsidRPr="00A770D0">
              <w:t>, f</w:t>
            </w:r>
            <w:r w:rsidR="0001192B" w:rsidRPr="00A770D0">
              <w:t xml:space="preserve">or </w:t>
            </w:r>
            <w:r w:rsidR="008545E6" w:rsidRPr="00A770D0">
              <w:t>example,</w:t>
            </w:r>
            <w:r w:rsidRPr="00A770D0">
              <w:t xml:space="preserve"> including: </w:t>
            </w:r>
            <w:r w:rsidR="00F7260B" w:rsidRPr="00A770D0">
              <w:t>‘</w:t>
            </w:r>
            <w:r w:rsidRPr="00A770D0">
              <w:t>race, colour, sex, language, religion, political or other opinion, national or social origin, property, birth or other status such as disability, age, marital and family status, sexual orientation and gender identity, health status, place of residence, economic and social situation</w:t>
            </w:r>
            <w:r w:rsidR="00F7260B" w:rsidRPr="00A770D0">
              <w:t xml:space="preserve">’ (United Nations </w:t>
            </w:r>
            <w:r w:rsidR="00F7260B" w:rsidRPr="00A770D0">
              <w:rPr>
                <w:rFonts w:cs="Helvetica"/>
              </w:rPr>
              <w:t>Committee on Economic, Social and Cultural Rights</w:t>
            </w:r>
            <w:r w:rsidR="00F7260B" w:rsidRPr="00A770D0">
              <w:rPr>
                <w:rFonts w:cs="Helvetica"/>
                <w:i/>
              </w:rPr>
              <w:t xml:space="preserve">. </w:t>
            </w:r>
            <w:r w:rsidR="00F7260B" w:rsidRPr="00A770D0">
              <w:rPr>
                <w:rFonts w:cs="Helvetica"/>
              </w:rPr>
              <w:t>2009</w:t>
            </w:r>
            <w:r w:rsidR="00F7260B" w:rsidRPr="00A770D0">
              <w:t>)</w:t>
            </w:r>
            <w:r w:rsidR="00171C9D" w:rsidRPr="00A770D0">
              <w:t>.</w:t>
            </w:r>
            <w:r w:rsidR="00F7260B" w:rsidRPr="00A770D0">
              <w:rPr>
                <w:rStyle w:val="FootnoteReference"/>
                <w:color w:val="595959"/>
              </w:rPr>
              <w:footnoteReference w:id="3"/>
            </w:r>
            <w:r w:rsidR="00F7260B" w:rsidRPr="00A770D0">
              <w:t xml:space="preserve"> </w:t>
            </w:r>
            <w:r w:rsidRPr="00A770D0">
              <w:t>There must be sufficient evidence to demonstrate that these factors are predictive of prognosis if they are to be used in allocation decisions.</w:t>
            </w:r>
          </w:p>
          <w:p w14:paraId="40F9CA39" w14:textId="450B1377" w:rsidR="007C08CD" w:rsidRPr="00F3515B" w:rsidRDefault="007C08CD" w:rsidP="00C510BA">
            <w:pPr>
              <w:pStyle w:val="NEACBullet"/>
            </w:pPr>
            <w:r w:rsidRPr="00A770D0">
              <w:t>Fair allocation should aim to avoid a first-come</w:t>
            </w:r>
            <w:r w:rsidR="00171C9D" w:rsidRPr="00A770D0">
              <w:t>, first-</w:t>
            </w:r>
            <w:r w:rsidRPr="00A770D0">
              <w:t>served bias.</w:t>
            </w:r>
          </w:p>
        </w:tc>
      </w:tr>
      <w:tr w:rsidR="007C08CD" w:rsidRPr="00F3515B" w14:paraId="03933CD7" w14:textId="45D044EA" w:rsidTr="00A770D0">
        <w:trPr>
          <w:trHeight w:val="627"/>
        </w:trPr>
        <w:tc>
          <w:tcPr>
            <w:tcW w:w="1054" w:type="pct"/>
            <w:vAlign w:val="center"/>
          </w:tcPr>
          <w:p w14:paraId="66436405" w14:textId="54F6A61A" w:rsidR="007C08CD" w:rsidRPr="00CF4309" w:rsidRDefault="007C08CD" w:rsidP="00A770D0">
            <w:pPr>
              <w:pStyle w:val="NEACTableTextBold"/>
            </w:pPr>
            <w:r w:rsidRPr="00CF4309">
              <w:t>Get</w:t>
            </w:r>
            <w:r w:rsidR="00C16215" w:rsidRPr="00CF4309">
              <w:t>ting</w:t>
            </w:r>
            <w:r w:rsidRPr="00CF4309">
              <w:t xml:space="preserve"> the most from the resources</w:t>
            </w:r>
          </w:p>
        </w:tc>
        <w:tc>
          <w:tcPr>
            <w:tcW w:w="3946" w:type="pct"/>
            <w:vAlign w:val="center"/>
          </w:tcPr>
          <w:p w14:paraId="6A51C9B5" w14:textId="39BA1A5C" w:rsidR="007C08CD" w:rsidRPr="00F3515B" w:rsidRDefault="007C08CD" w:rsidP="00C510BA">
            <w:pPr>
              <w:pStyle w:val="NEACBullet"/>
            </w:pPr>
            <w:r w:rsidRPr="00F3515B">
              <w:t xml:space="preserve">Resources required for the </w:t>
            </w:r>
            <w:r w:rsidR="00764EDA">
              <w:t>COVID-19</w:t>
            </w:r>
            <w:r w:rsidRPr="00F3515B">
              <w:t xml:space="preserve"> pandemic response must be</w:t>
            </w:r>
            <w:r w:rsidR="00171C9D">
              <w:t xml:space="preserve"> managed</w:t>
            </w:r>
            <w:r w:rsidRPr="00F3515B">
              <w:t xml:space="preserve"> responsibly. In the context of a health emergency, we should aim to allocate resources efficiently and maximise the clinical benefit</w:t>
            </w:r>
            <w:r w:rsidR="0015250D">
              <w:t>s</w:t>
            </w:r>
            <w:r w:rsidRPr="00F3515B">
              <w:t>.</w:t>
            </w:r>
          </w:p>
          <w:p w14:paraId="426102DC" w14:textId="16441094" w:rsidR="007C08CD" w:rsidRPr="00F3515B" w:rsidRDefault="007C08CD" w:rsidP="00C510BA">
            <w:pPr>
              <w:pStyle w:val="NEACBullet"/>
            </w:pPr>
            <w:r w:rsidRPr="00F3515B">
              <w:t xml:space="preserve">There are several competing interpretations of how best </w:t>
            </w:r>
            <w:r w:rsidR="00C7491C">
              <w:t xml:space="preserve">to </w:t>
            </w:r>
            <w:r w:rsidRPr="00F3515B">
              <w:t xml:space="preserve">measure clinical benefit, for example: </w:t>
            </w:r>
            <w:r w:rsidR="00C7491C">
              <w:t xml:space="preserve">to </w:t>
            </w:r>
            <w:r w:rsidRPr="00F3515B">
              <w:t xml:space="preserve">maximise lives saved, </w:t>
            </w:r>
            <w:r w:rsidR="00C7491C">
              <w:t xml:space="preserve">to </w:t>
            </w:r>
            <w:r w:rsidRPr="00F3515B">
              <w:t>maximise life years saved (</w:t>
            </w:r>
            <w:proofErr w:type="spellStart"/>
            <w:r w:rsidRPr="00F3515B">
              <w:t>eg</w:t>
            </w:r>
            <w:proofErr w:type="spellEnd"/>
            <w:r w:rsidR="002462E6">
              <w:t>,</w:t>
            </w:r>
            <w:r w:rsidRPr="00F3515B">
              <w:t xml:space="preserve"> by prioriti</w:t>
            </w:r>
            <w:r w:rsidR="0001192B">
              <w:t>s</w:t>
            </w:r>
            <w:r w:rsidRPr="00F3515B">
              <w:t>ing the young to maximise length of lives saved)</w:t>
            </w:r>
            <w:r w:rsidR="0015250D">
              <w:t>,</w:t>
            </w:r>
            <w:r w:rsidRPr="00F3515B">
              <w:t xml:space="preserve"> </w:t>
            </w:r>
            <w:r w:rsidR="00C7491C">
              <w:t xml:space="preserve">to </w:t>
            </w:r>
            <w:r w:rsidRPr="00F3515B">
              <w:t>maximise the cost-effective use of resources</w:t>
            </w:r>
            <w:r w:rsidR="0015250D">
              <w:t xml:space="preserve"> and</w:t>
            </w:r>
            <w:r w:rsidR="0015250D" w:rsidRPr="00F3515B">
              <w:t xml:space="preserve"> </w:t>
            </w:r>
            <w:r w:rsidR="00C7491C">
              <w:t xml:space="preserve">to </w:t>
            </w:r>
            <w:r w:rsidRPr="00F3515B">
              <w:t xml:space="preserve">prioritise essential workers (such as </w:t>
            </w:r>
            <w:r w:rsidR="00C96E2B">
              <w:t>health care</w:t>
            </w:r>
            <w:r w:rsidRPr="00F3515B">
              <w:t xml:space="preserve"> staff) so they can continue to serve and protect the public.</w:t>
            </w:r>
          </w:p>
        </w:tc>
      </w:tr>
      <w:tr w:rsidR="007C08CD" w:rsidRPr="00F3515B" w14:paraId="509B2970" w14:textId="647E39DC" w:rsidTr="00A770D0">
        <w:trPr>
          <w:trHeight w:val="627"/>
        </w:trPr>
        <w:tc>
          <w:tcPr>
            <w:tcW w:w="1054" w:type="pct"/>
            <w:vAlign w:val="center"/>
          </w:tcPr>
          <w:p w14:paraId="4291C944" w14:textId="35C9C8D7" w:rsidR="007C08CD" w:rsidRPr="00F3515B" w:rsidRDefault="00541500" w:rsidP="00A770D0">
            <w:pPr>
              <w:pStyle w:val="NEACTableTextBold"/>
            </w:pPr>
            <w:r>
              <w:lastRenderedPageBreak/>
              <w:t>Prioritising the people most in need</w:t>
            </w:r>
          </w:p>
        </w:tc>
        <w:tc>
          <w:tcPr>
            <w:tcW w:w="3946" w:type="pct"/>
            <w:vAlign w:val="center"/>
          </w:tcPr>
          <w:p w14:paraId="7CFB373A" w14:textId="70434DB9" w:rsidR="007C08CD" w:rsidRPr="00F3515B" w:rsidRDefault="007C08CD" w:rsidP="00C510BA">
            <w:pPr>
              <w:pStyle w:val="NEACTableBullet"/>
            </w:pPr>
            <w:r w:rsidRPr="00F3515B">
              <w:t>There are competing interpretations of how to measure need – the sickest, the most disadvantaged or marginali</w:t>
            </w:r>
            <w:r w:rsidR="0001192B">
              <w:t>s</w:t>
            </w:r>
            <w:r w:rsidRPr="00F3515B">
              <w:t>ed, those at greatest risk of harm</w:t>
            </w:r>
            <w:r w:rsidR="00111132">
              <w:t xml:space="preserve"> or</w:t>
            </w:r>
            <w:r w:rsidR="00111132" w:rsidRPr="00F3515B">
              <w:t xml:space="preserve"> </w:t>
            </w:r>
            <w:r w:rsidRPr="00F3515B">
              <w:t xml:space="preserve">those subjected to </w:t>
            </w:r>
            <w:r w:rsidR="00111132">
              <w:t>previous</w:t>
            </w:r>
            <w:r w:rsidR="00111132" w:rsidRPr="00F3515B">
              <w:t xml:space="preserve"> </w:t>
            </w:r>
            <w:r w:rsidRPr="00F3515B">
              <w:t>injustice</w:t>
            </w:r>
            <w:r w:rsidR="00111132">
              <w:t>s</w:t>
            </w:r>
            <w:r w:rsidRPr="00F3515B">
              <w:t>.</w:t>
            </w:r>
          </w:p>
          <w:p w14:paraId="51462CC8" w14:textId="61099376" w:rsidR="007C08CD" w:rsidRPr="00F3515B" w:rsidRDefault="007C08CD" w:rsidP="00C510BA">
            <w:pPr>
              <w:pStyle w:val="NEACTableBullet"/>
            </w:pPr>
            <w:r w:rsidRPr="00F3515B">
              <w:t>Prioriti</w:t>
            </w:r>
            <w:r w:rsidR="0001192B">
              <w:t>s</w:t>
            </w:r>
            <w:r w:rsidRPr="00F3515B">
              <w:t>ing those in need will sometimes align with and sometimes conflict with prioritising those</w:t>
            </w:r>
            <w:r w:rsidR="00111132">
              <w:t xml:space="preserve"> who can most</w:t>
            </w:r>
            <w:r w:rsidRPr="00F3515B">
              <w:t xml:space="preserve"> benefit from health resources.</w:t>
            </w:r>
          </w:p>
          <w:p w14:paraId="6DE30247" w14:textId="68020BE7" w:rsidR="007C08CD" w:rsidRPr="00F3515B" w:rsidRDefault="007C08CD" w:rsidP="00C510BA">
            <w:pPr>
              <w:pStyle w:val="NEACTableBullet"/>
            </w:pPr>
            <w:r w:rsidRPr="00F3515B">
              <w:t>One option is to give priority to individuals or groups in greatest need in order to restore them to an appropriate health threshold</w:t>
            </w:r>
            <w:r w:rsidR="008E4671">
              <w:rPr>
                <w:rStyle w:val="FootnoteReference"/>
              </w:rPr>
              <w:footnoteReference w:id="4"/>
            </w:r>
            <w:r w:rsidRPr="00F3515B">
              <w:t xml:space="preserve"> </w:t>
            </w:r>
          </w:p>
        </w:tc>
      </w:tr>
      <w:tr w:rsidR="007C08CD" w:rsidRPr="00F3515B" w14:paraId="282258B9" w14:textId="6829BFCF" w:rsidTr="00A770D0">
        <w:trPr>
          <w:trHeight w:val="841"/>
        </w:trPr>
        <w:tc>
          <w:tcPr>
            <w:tcW w:w="1054" w:type="pct"/>
            <w:vAlign w:val="center"/>
          </w:tcPr>
          <w:p w14:paraId="6B918D4B" w14:textId="010B9E6F" w:rsidR="007C08CD" w:rsidRPr="00F3515B" w:rsidRDefault="00AD0C31" w:rsidP="00A770D0">
            <w:pPr>
              <w:pStyle w:val="NEACTableTextBold"/>
            </w:pPr>
            <w:r>
              <w:t>Achieving Equity</w:t>
            </w:r>
          </w:p>
        </w:tc>
        <w:tc>
          <w:tcPr>
            <w:tcW w:w="3946" w:type="pct"/>
            <w:vAlign w:val="center"/>
          </w:tcPr>
          <w:p w14:paraId="072A1B7A" w14:textId="476B0D61" w:rsidR="007C08CD" w:rsidRPr="00F3515B" w:rsidRDefault="005501A4" w:rsidP="00C510BA">
            <w:pPr>
              <w:pStyle w:val="NEACBullet"/>
            </w:pPr>
            <w:r>
              <w:t>‘</w:t>
            </w:r>
            <w:r w:rsidR="007C08CD" w:rsidRPr="00F3515B">
              <w:t>In Aotearoa New Zealand, people have differences in health that are not only avoidable but unfair and unjust. Equity recognises different people with different levels of advantage require different approaches and resources to get equitable health outcomes</w:t>
            </w:r>
            <w:r>
              <w:t xml:space="preserve">’ (Ministry of Health </w:t>
            </w:r>
            <w:proofErr w:type="spellStart"/>
            <w:r>
              <w:t>nd</w:t>
            </w:r>
            <w:proofErr w:type="spellEnd"/>
            <w:r>
              <w:t>)</w:t>
            </w:r>
            <w:r w:rsidR="007C08CD" w:rsidRPr="00F3515B">
              <w:t>.</w:t>
            </w:r>
          </w:p>
          <w:p w14:paraId="4E0E158B" w14:textId="6EC46281" w:rsidR="005B3EAA" w:rsidRPr="00F3515B" w:rsidRDefault="007C08CD" w:rsidP="00C510BA">
            <w:pPr>
              <w:pStyle w:val="NEACBullet"/>
            </w:pPr>
            <w:r w:rsidRPr="00F3515B">
              <w:t xml:space="preserve">An equity approach would consider how resources can be allocated to mitigate the adverse consequences of pandemic response measures and avoid or minimise growth in inequity deriving from </w:t>
            </w:r>
            <w:r w:rsidR="007D7B72">
              <w:t>those</w:t>
            </w:r>
            <w:r w:rsidRPr="00F3515B">
              <w:t xml:space="preserve"> measures. </w:t>
            </w:r>
          </w:p>
          <w:p w14:paraId="601B2299" w14:textId="7F03DA75" w:rsidR="008E4671" w:rsidRDefault="007C08CD" w:rsidP="00C510BA">
            <w:pPr>
              <w:pStyle w:val="NEACBullet"/>
            </w:pPr>
            <w:r w:rsidRPr="00F3515B">
              <w:t>It is likely to be difficult to ameliorate existing inequity during a public health crisis</w:t>
            </w:r>
            <w:r w:rsidR="008E4671">
              <w:t>, however</w:t>
            </w:r>
            <w:r w:rsidR="003A6C5F">
              <w:t>,</w:t>
            </w:r>
            <w:r w:rsidR="008E4671">
              <w:t xml:space="preserve"> all efforts must be made to </w:t>
            </w:r>
            <w:r w:rsidR="001F3220">
              <w:t>ensure</w:t>
            </w:r>
            <w:r w:rsidR="008E4671">
              <w:t xml:space="preserve"> equity</w:t>
            </w:r>
            <w:r w:rsidR="001F3220">
              <w:t xml:space="preserve"> is at the forefront of</w:t>
            </w:r>
            <w:r w:rsidR="008E4671">
              <w:t xml:space="preserve"> </w:t>
            </w:r>
            <w:r w:rsidR="007D7B72">
              <w:t>decision-</w:t>
            </w:r>
            <w:r w:rsidR="008E4671">
              <w:t>making.</w:t>
            </w:r>
            <w:r w:rsidRPr="00F3515B">
              <w:t xml:space="preserve"> </w:t>
            </w:r>
          </w:p>
          <w:p w14:paraId="49E66DC2" w14:textId="641889DA" w:rsidR="007C08CD" w:rsidRPr="00F3515B" w:rsidRDefault="006301CE" w:rsidP="00C510BA">
            <w:pPr>
              <w:pStyle w:val="NEACBullet"/>
            </w:pPr>
            <w:r>
              <w:t xml:space="preserve">The </w:t>
            </w:r>
            <w:r w:rsidR="007D7B72">
              <w:t xml:space="preserve">COVID-19 pandemic </w:t>
            </w:r>
            <w:r>
              <w:t>shed light</w:t>
            </w:r>
            <w:r w:rsidR="007C08CD" w:rsidRPr="00F3515B">
              <w:t xml:space="preserve"> on existing social fault lines and provide</w:t>
            </w:r>
            <w:r w:rsidR="007D7B72">
              <w:t>d</w:t>
            </w:r>
            <w:r w:rsidR="007C08CD" w:rsidRPr="00F3515B">
              <w:t xml:space="preserve"> momentum to address entrenched inequity after the acute emergency </w:t>
            </w:r>
            <w:r w:rsidR="007D7B72">
              <w:t>had</w:t>
            </w:r>
            <w:r w:rsidR="007D7B72" w:rsidRPr="00F3515B">
              <w:t xml:space="preserve"> </w:t>
            </w:r>
            <w:r w:rsidR="007C08CD" w:rsidRPr="00F3515B">
              <w:t>passed.</w:t>
            </w:r>
          </w:p>
        </w:tc>
      </w:tr>
    </w:tbl>
    <w:p w14:paraId="31CD86DE" w14:textId="30FA29CD" w:rsidR="00487FB5" w:rsidRPr="00F3515B" w:rsidRDefault="00487FB5">
      <w:pPr>
        <w:spacing w:before="0" w:after="160" w:line="259" w:lineRule="auto"/>
        <w:rPr>
          <w:rFonts w:ascii="Helv" w:hAnsi="Helv"/>
          <w:color w:val="000000"/>
        </w:rPr>
      </w:pPr>
    </w:p>
    <w:p w14:paraId="74FD2B96" w14:textId="77777777" w:rsidR="00525500" w:rsidRDefault="00525500" w:rsidP="00B867C6">
      <w:pPr>
        <w:pStyle w:val="Figure"/>
        <w:sectPr w:rsidR="00525500" w:rsidSect="0082039E">
          <w:pgSz w:w="16838" w:h="11906" w:orient="landscape"/>
          <w:pgMar w:top="1814" w:right="2041" w:bottom="1588" w:left="1361" w:header="709" w:footer="709" w:gutter="0"/>
          <w:cols w:space="708"/>
          <w:docGrid w:linePitch="360"/>
        </w:sectPr>
      </w:pPr>
    </w:p>
    <w:p w14:paraId="74572B57" w14:textId="033A773E" w:rsidR="00487FB5" w:rsidRPr="00F3515B" w:rsidRDefault="00B867C6" w:rsidP="00B867C6">
      <w:pPr>
        <w:pStyle w:val="Figure"/>
        <w:rPr>
          <w:rFonts w:ascii="Helv" w:hAnsi="Helv"/>
        </w:rPr>
      </w:pPr>
      <w:r>
        <w:lastRenderedPageBreak/>
        <w:t xml:space="preserve">Table </w:t>
      </w:r>
      <w:fldSimple w:instr=" SEQ Table \* ARABIC ">
        <w:r w:rsidR="00A770D0">
          <w:rPr>
            <w:noProof/>
          </w:rPr>
          <w:t>2</w:t>
        </w:r>
      </w:fldSimple>
      <w:r>
        <w:t xml:space="preserve">: </w:t>
      </w:r>
      <w:proofErr w:type="spellStart"/>
      <w:r w:rsidR="00487FB5" w:rsidRPr="00F3515B">
        <w:rPr>
          <w:rFonts w:ascii="Helv" w:hAnsi="Helv"/>
        </w:rPr>
        <w:t>Te</w:t>
      </w:r>
      <w:proofErr w:type="spellEnd"/>
      <w:r w:rsidR="00487FB5" w:rsidRPr="00F3515B">
        <w:rPr>
          <w:rFonts w:ascii="Helv" w:hAnsi="Helv"/>
        </w:rPr>
        <w:t xml:space="preserve"> </w:t>
      </w:r>
      <w:proofErr w:type="spellStart"/>
      <w:r w:rsidR="00487FB5" w:rsidRPr="00F3515B">
        <w:rPr>
          <w:rFonts w:ascii="Helv" w:hAnsi="Helv"/>
        </w:rPr>
        <w:t>Tiriti</w:t>
      </w:r>
      <w:proofErr w:type="spellEnd"/>
      <w:r w:rsidR="00487FB5" w:rsidRPr="00F3515B">
        <w:rPr>
          <w:rFonts w:ascii="Helv" w:hAnsi="Helv"/>
        </w:rPr>
        <w:t xml:space="preserve"> o Waitangi </w:t>
      </w:r>
      <w:r w:rsidR="008C454A">
        <w:rPr>
          <w:rFonts w:ascii="Helv" w:hAnsi="Helv"/>
        </w:rPr>
        <w:t>p</w:t>
      </w:r>
      <w:r w:rsidR="00487FB5" w:rsidRPr="00F3515B">
        <w:rPr>
          <w:rFonts w:ascii="Helv" w:hAnsi="Helv"/>
        </w:rPr>
        <w:t xml:space="preserve">rinciples </w:t>
      </w:r>
    </w:p>
    <w:p w14:paraId="32E2E1F3" w14:textId="4022AC67" w:rsidR="0027544F" w:rsidRPr="00F3515B" w:rsidRDefault="002C7A51" w:rsidP="00A770D0">
      <w:pPr>
        <w:pStyle w:val="NEACNormal"/>
      </w:pPr>
      <w:r w:rsidRPr="00B867C6">
        <w:t xml:space="preserve">The principles of </w:t>
      </w:r>
      <w:proofErr w:type="spellStart"/>
      <w:r w:rsidRPr="00B867C6">
        <w:t>Te</w:t>
      </w:r>
      <w:proofErr w:type="spellEnd"/>
      <w:r w:rsidRPr="00B867C6">
        <w:t xml:space="preserve"> </w:t>
      </w:r>
      <w:proofErr w:type="spellStart"/>
      <w:r w:rsidRPr="00B867C6">
        <w:t>Tiriti</w:t>
      </w:r>
      <w:proofErr w:type="spellEnd"/>
      <w:r w:rsidRPr="00B867C6">
        <w:t xml:space="preserve"> o Waitangi, as articulated by the Courts and the Waitangi Tribunal, provide the framework for how </w:t>
      </w:r>
      <w:r w:rsidR="007D7B72" w:rsidRPr="00B867C6">
        <w:t>our</w:t>
      </w:r>
      <w:r w:rsidRPr="00B867C6">
        <w:t xml:space="preserve"> health and disability system ought to meet its obligations under </w:t>
      </w:r>
      <w:proofErr w:type="spellStart"/>
      <w:r w:rsidRPr="00B867C6">
        <w:t>Te</w:t>
      </w:r>
      <w:proofErr w:type="spellEnd"/>
      <w:r w:rsidRPr="00B867C6">
        <w:t xml:space="preserve"> </w:t>
      </w:r>
      <w:proofErr w:type="spellStart"/>
      <w:r w:rsidRPr="00B867C6">
        <w:t>Tiriti</w:t>
      </w:r>
      <w:proofErr w:type="spellEnd"/>
      <w:r w:rsidRPr="00B867C6">
        <w:t xml:space="preserve"> in </w:t>
      </w:r>
      <w:r w:rsidR="007D7B72" w:rsidRPr="00B867C6">
        <w:t xml:space="preserve">its </w:t>
      </w:r>
      <w:r w:rsidRPr="00B867C6">
        <w:t>day-to-day work. The</w:t>
      </w:r>
      <w:r w:rsidR="00F04E15" w:rsidRPr="00B867C6">
        <w:t xml:space="preserve"> Waitangi Tribunal’s</w:t>
      </w:r>
      <w:r w:rsidRPr="00B867C6">
        <w:t xml:space="preserve"> 2019 Hauora report recommends a set of principles for the primary health care system that are applicable to the wider health and disability system and are applied to resource allocation principles in </w:t>
      </w:r>
      <w:r w:rsidR="008545E6" w:rsidRPr="00B867C6">
        <w:t>t</w:t>
      </w:r>
      <w:r w:rsidRPr="00B867C6">
        <w:t>able</w:t>
      </w:r>
      <w:r w:rsidR="008545E6" w:rsidRPr="00B867C6">
        <w:t xml:space="preserve"> </w:t>
      </w:r>
      <w:r w:rsidR="00F04E15" w:rsidRPr="00B867C6">
        <w:t xml:space="preserve">2 </w:t>
      </w:r>
      <w:r w:rsidR="008545E6" w:rsidRPr="00B867C6">
        <w:t>below</w:t>
      </w:r>
      <w:r w:rsidR="00F04E15" w:rsidRPr="00B867C6">
        <w:t xml:space="preserve"> (Waitangi Tribunal 2019, pages 163–64)</w:t>
      </w:r>
      <w:r w:rsidRPr="00B867C6">
        <w:t xml:space="preserve">.  </w:t>
      </w:r>
    </w:p>
    <w:tbl>
      <w:tblPr>
        <w:tblStyle w:val="TableGrid"/>
        <w:tblW w:w="5000" w:type="pct"/>
        <w:tblBorders>
          <w:top w:val="single" w:sz="4" w:space="0" w:color="003F5F" w:themeColor="accent1"/>
          <w:left w:val="single" w:sz="4" w:space="0" w:color="003F5F" w:themeColor="accent1"/>
          <w:bottom w:val="single" w:sz="4" w:space="0" w:color="003F5F" w:themeColor="accent1"/>
          <w:right w:val="single" w:sz="4" w:space="0" w:color="003F5F" w:themeColor="accent1"/>
          <w:insideH w:val="single" w:sz="4" w:space="0" w:color="003F5F" w:themeColor="accent1"/>
          <w:insideV w:val="single" w:sz="4" w:space="0" w:color="003F5F" w:themeColor="accent1"/>
        </w:tblBorders>
        <w:tblLook w:val="04A0" w:firstRow="1" w:lastRow="0" w:firstColumn="1" w:lastColumn="0" w:noHBand="0" w:noVBand="1"/>
      </w:tblPr>
      <w:tblGrid>
        <w:gridCol w:w="4285"/>
        <w:gridCol w:w="4286"/>
        <w:gridCol w:w="4855"/>
      </w:tblGrid>
      <w:tr w:rsidR="00900305" w:rsidRPr="00F3515B" w14:paraId="269DCC79" w14:textId="77777777" w:rsidTr="00A770D0">
        <w:trPr>
          <w:cnfStyle w:val="100000000000" w:firstRow="1" w:lastRow="0" w:firstColumn="0" w:lastColumn="0" w:oddVBand="0" w:evenVBand="0" w:oddHBand="0" w:evenHBand="0" w:firstRowFirstColumn="0" w:firstRowLastColumn="0" w:lastRowFirstColumn="0" w:lastRowLastColumn="0"/>
          <w:trHeight w:val="627"/>
          <w:tblHeader/>
        </w:trPr>
        <w:tc>
          <w:tcPr>
            <w:tcW w:w="1596" w:type="pct"/>
          </w:tcPr>
          <w:p w14:paraId="3E321587" w14:textId="18D1F2FE" w:rsidR="00900305" w:rsidRPr="00F3515B" w:rsidRDefault="00900305" w:rsidP="00A770D0">
            <w:pPr>
              <w:pStyle w:val="NEACTableHeading"/>
            </w:pPr>
            <w:proofErr w:type="spellStart"/>
            <w:r w:rsidRPr="00900305">
              <w:t>Te</w:t>
            </w:r>
            <w:proofErr w:type="spellEnd"/>
            <w:r w:rsidRPr="00900305">
              <w:t xml:space="preserve"> </w:t>
            </w:r>
            <w:proofErr w:type="spellStart"/>
            <w:r w:rsidRPr="00900305">
              <w:t>Tiriti</w:t>
            </w:r>
            <w:proofErr w:type="spellEnd"/>
            <w:r w:rsidRPr="00900305">
              <w:t xml:space="preserve"> o Waitangi </w:t>
            </w:r>
            <w:r w:rsidR="007D7B72">
              <w:t>p</w:t>
            </w:r>
            <w:r w:rsidRPr="00900305">
              <w:t xml:space="preserve">rinciples as set out in the </w:t>
            </w:r>
            <w:r w:rsidRPr="00FE6CC6">
              <w:rPr>
                <w:i/>
              </w:rPr>
              <w:t>Hauora</w:t>
            </w:r>
            <w:r w:rsidRPr="00900305">
              <w:t xml:space="preserve"> </w:t>
            </w:r>
            <w:r w:rsidR="00F04E15">
              <w:t>report</w:t>
            </w:r>
          </w:p>
        </w:tc>
        <w:tc>
          <w:tcPr>
            <w:tcW w:w="1596" w:type="pct"/>
            <w:vAlign w:val="center"/>
          </w:tcPr>
          <w:p w14:paraId="4502F98C" w14:textId="2BC604DA" w:rsidR="00900305" w:rsidRPr="00F3515B" w:rsidRDefault="00900305" w:rsidP="00A770D0">
            <w:pPr>
              <w:pStyle w:val="NEACTableHeading"/>
            </w:pPr>
            <w:proofErr w:type="spellStart"/>
            <w:r w:rsidRPr="00F3515B">
              <w:t>Te</w:t>
            </w:r>
            <w:proofErr w:type="spellEnd"/>
            <w:r w:rsidRPr="00F3515B">
              <w:t xml:space="preserve"> </w:t>
            </w:r>
            <w:proofErr w:type="spellStart"/>
            <w:r w:rsidRPr="00F3515B">
              <w:t>Tiriti</w:t>
            </w:r>
            <w:proofErr w:type="spellEnd"/>
            <w:r w:rsidRPr="00F3515B">
              <w:t xml:space="preserve"> o Waitangi </w:t>
            </w:r>
            <w:r w:rsidR="007D7B72">
              <w:t>p</w:t>
            </w:r>
            <w:r w:rsidRPr="00F3515B">
              <w:t>rinciples</w:t>
            </w:r>
            <w:r w:rsidR="00F04E15">
              <w:t>’</w:t>
            </w:r>
            <w:r w:rsidRPr="00F3515B">
              <w:t xml:space="preserve"> </w:t>
            </w:r>
            <w:r w:rsidR="00F04E15">
              <w:t>a</w:t>
            </w:r>
            <w:r w:rsidRPr="00F3515B">
              <w:t xml:space="preserve">pplication to the </w:t>
            </w:r>
            <w:r w:rsidR="00F04E15">
              <w:t>primary h</w:t>
            </w:r>
            <w:r w:rsidR="00C96E2B">
              <w:t>ealth care</w:t>
            </w:r>
            <w:r w:rsidRPr="00F3515B">
              <w:t xml:space="preserve"> </w:t>
            </w:r>
            <w:r w:rsidR="00F04E15">
              <w:t>s</w:t>
            </w:r>
            <w:r w:rsidRPr="00F3515B">
              <w:t>ystem</w:t>
            </w:r>
          </w:p>
        </w:tc>
        <w:tc>
          <w:tcPr>
            <w:tcW w:w="1808" w:type="pct"/>
            <w:vAlign w:val="center"/>
          </w:tcPr>
          <w:p w14:paraId="1E2C5AA2" w14:textId="66B4D6DD" w:rsidR="00900305" w:rsidRPr="00F3515B" w:rsidRDefault="00F04E15" w:rsidP="00A770D0">
            <w:pPr>
              <w:pStyle w:val="NEACTableHeading"/>
            </w:pPr>
            <w:proofErr w:type="spellStart"/>
            <w:r w:rsidRPr="00F3515B">
              <w:t>Te</w:t>
            </w:r>
            <w:proofErr w:type="spellEnd"/>
            <w:r w:rsidRPr="00F3515B">
              <w:t xml:space="preserve"> </w:t>
            </w:r>
            <w:proofErr w:type="spellStart"/>
            <w:r w:rsidRPr="00F3515B">
              <w:t>Tiriti</w:t>
            </w:r>
            <w:proofErr w:type="spellEnd"/>
            <w:r w:rsidRPr="00F3515B">
              <w:t xml:space="preserve"> o Waitangi </w:t>
            </w:r>
            <w:r>
              <w:t>p</w:t>
            </w:r>
            <w:r w:rsidRPr="00F3515B">
              <w:t>rinciples</w:t>
            </w:r>
            <w:r>
              <w:t>’</w:t>
            </w:r>
            <w:r w:rsidRPr="00F3515B">
              <w:t xml:space="preserve"> </w:t>
            </w:r>
            <w:r>
              <w:t>a</w:t>
            </w:r>
            <w:r w:rsidR="00900305" w:rsidRPr="00F3515B">
              <w:t>pplication to resource allocation</w:t>
            </w:r>
          </w:p>
        </w:tc>
      </w:tr>
      <w:tr w:rsidR="00900305" w:rsidRPr="00F3515B" w14:paraId="30584DA2" w14:textId="77777777" w:rsidTr="00A770D0">
        <w:trPr>
          <w:trHeight w:val="1692"/>
        </w:trPr>
        <w:tc>
          <w:tcPr>
            <w:tcW w:w="1596" w:type="pct"/>
          </w:tcPr>
          <w:p w14:paraId="3E1900F6" w14:textId="42A3DAEA" w:rsidR="00900305" w:rsidRPr="00900305" w:rsidRDefault="00900305" w:rsidP="00C510BA">
            <w:pPr>
              <w:pStyle w:val="NEACTableText"/>
            </w:pPr>
            <w:r w:rsidRPr="00900305">
              <w:t xml:space="preserve">The guarantee of </w:t>
            </w:r>
            <w:proofErr w:type="spellStart"/>
            <w:r w:rsidRPr="00900305">
              <w:t>tino</w:t>
            </w:r>
            <w:proofErr w:type="spellEnd"/>
            <w:r w:rsidRPr="00900305">
              <w:t xml:space="preserve"> rangatiratanga, which provides for Māori self-determination and mana </w:t>
            </w:r>
            <w:proofErr w:type="spellStart"/>
            <w:r w:rsidRPr="00900305">
              <w:t>motuhake</w:t>
            </w:r>
            <w:proofErr w:type="spellEnd"/>
            <w:r w:rsidRPr="00900305">
              <w:t xml:space="preserve"> in the design, delivery and monitoring of primary health care.</w:t>
            </w:r>
          </w:p>
        </w:tc>
        <w:tc>
          <w:tcPr>
            <w:tcW w:w="1596" w:type="pct"/>
          </w:tcPr>
          <w:p w14:paraId="128651ED" w14:textId="23121BCD" w:rsidR="00900305" w:rsidRPr="00F3515B" w:rsidRDefault="00900305" w:rsidP="00C510BA">
            <w:pPr>
              <w:pStyle w:val="NEACTableText"/>
            </w:pPr>
            <w:r w:rsidRPr="00F3515B">
              <w:rPr>
                <w:b/>
              </w:rPr>
              <w:t>Tino rangatiratanga</w:t>
            </w:r>
            <w:r w:rsidRPr="00F3515B">
              <w:t xml:space="preserve"> requires clinicians, hospital administrators and public health policy makers to provide for Māori self-determination.</w:t>
            </w:r>
          </w:p>
        </w:tc>
        <w:tc>
          <w:tcPr>
            <w:tcW w:w="1808" w:type="pct"/>
          </w:tcPr>
          <w:p w14:paraId="476CB493" w14:textId="79669DC8" w:rsidR="00900305" w:rsidRPr="00F3515B" w:rsidRDefault="00900305" w:rsidP="00C510BA">
            <w:pPr>
              <w:pStyle w:val="NEACTableText"/>
            </w:pPr>
            <w:r w:rsidRPr="00F3515B">
              <w:t xml:space="preserve">In a resource allocation setting, this means that Māori are key decision makers in the design, delivery, </w:t>
            </w:r>
            <w:r w:rsidRPr="00900305">
              <w:t xml:space="preserve">prioritisation </w:t>
            </w:r>
            <w:r w:rsidRPr="00F3515B">
              <w:t>and monitoring of health and disability services and the response to pandemics or public health emergencies.</w:t>
            </w:r>
          </w:p>
        </w:tc>
      </w:tr>
      <w:tr w:rsidR="00900305" w:rsidRPr="00F3515B" w14:paraId="6CCEDCEC" w14:textId="77777777" w:rsidTr="00A770D0">
        <w:trPr>
          <w:trHeight w:val="627"/>
        </w:trPr>
        <w:tc>
          <w:tcPr>
            <w:tcW w:w="1596" w:type="pct"/>
          </w:tcPr>
          <w:p w14:paraId="48E463A2" w14:textId="49E3041E" w:rsidR="00900305" w:rsidRPr="00900305" w:rsidRDefault="00900305" w:rsidP="00C510BA">
            <w:pPr>
              <w:pStyle w:val="NEACTableText"/>
            </w:pPr>
            <w:r w:rsidRPr="00900305">
              <w:t xml:space="preserve">The principle of options, which requires the Crown to provide for and properly resource </w:t>
            </w:r>
            <w:proofErr w:type="spellStart"/>
            <w:r w:rsidRPr="00900305">
              <w:t>kaupapa</w:t>
            </w:r>
            <w:proofErr w:type="spellEnd"/>
            <w:r w:rsidRPr="00900305">
              <w:t xml:space="preserve"> Māori primary health services. Furthermore, the Crown is obliged to ensure that all primary health care services are provided in a culturally appropriate way that recognises and supports the expression of </w:t>
            </w:r>
            <w:proofErr w:type="spellStart"/>
            <w:r w:rsidRPr="00900305">
              <w:t>hauora</w:t>
            </w:r>
            <w:proofErr w:type="spellEnd"/>
            <w:r w:rsidRPr="00900305">
              <w:t xml:space="preserve"> Māori models of care.</w:t>
            </w:r>
          </w:p>
        </w:tc>
        <w:tc>
          <w:tcPr>
            <w:tcW w:w="1596" w:type="pct"/>
          </w:tcPr>
          <w:p w14:paraId="14520450" w14:textId="613C1D06" w:rsidR="00900305" w:rsidRPr="00F3515B" w:rsidRDefault="00900305" w:rsidP="00C510BA">
            <w:pPr>
              <w:pStyle w:val="NEACTableText"/>
            </w:pPr>
            <w:r w:rsidRPr="00F3515B">
              <w:rPr>
                <w:b/>
              </w:rPr>
              <w:t>Options,</w:t>
            </w:r>
            <w:r w:rsidRPr="00F3515B">
              <w:t xml:space="preserve"> which requires clinicians, hospital administrators and public health </w:t>
            </w:r>
            <w:r w:rsidR="00F04E15">
              <w:t>policy make</w:t>
            </w:r>
            <w:r w:rsidRPr="00F3515B">
              <w:t>rs</w:t>
            </w:r>
            <w:r w:rsidRPr="00F3515B" w:rsidDel="006E2A8C">
              <w:t xml:space="preserve"> </w:t>
            </w:r>
            <w:r w:rsidRPr="00F3515B">
              <w:t xml:space="preserve">to provide for and properly resource </w:t>
            </w:r>
            <w:proofErr w:type="spellStart"/>
            <w:r w:rsidRPr="00F3515B">
              <w:t>kaupapa</w:t>
            </w:r>
            <w:proofErr w:type="spellEnd"/>
            <w:r w:rsidRPr="00F3515B">
              <w:t xml:space="preserve"> Māori health and disability services in response to a pandemic or public health emergency.</w:t>
            </w:r>
          </w:p>
        </w:tc>
        <w:tc>
          <w:tcPr>
            <w:tcW w:w="1808" w:type="pct"/>
          </w:tcPr>
          <w:p w14:paraId="195F01A5" w14:textId="58D71794" w:rsidR="00900305" w:rsidRPr="00F3515B" w:rsidRDefault="00900305" w:rsidP="00C510BA">
            <w:pPr>
              <w:pStyle w:val="NEACTableText"/>
            </w:pPr>
            <w:r w:rsidRPr="00F3515B">
              <w:t xml:space="preserve">In a resource allocation setting, this means that the health and disability system is agile in adapting and responding to the pandemic resource needs of </w:t>
            </w:r>
            <w:proofErr w:type="spellStart"/>
            <w:r w:rsidRPr="00F3515B">
              <w:t>kaupapa</w:t>
            </w:r>
            <w:proofErr w:type="spellEnd"/>
            <w:r w:rsidRPr="00F3515B">
              <w:t xml:space="preserve"> Māori health and disability services to be able to serve Māori communities. </w:t>
            </w:r>
          </w:p>
        </w:tc>
      </w:tr>
      <w:tr w:rsidR="00900305" w:rsidRPr="00F3515B" w14:paraId="06EED317" w14:textId="77777777" w:rsidTr="00A770D0">
        <w:trPr>
          <w:trHeight w:val="627"/>
        </w:trPr>
        <w:tc>
          <w:tcPr>
            <w:tcW w:w="1596" w:type="pct"/>
          </w:tcPr>
          <w:p w14:paraId="269A0C68" w14:textId="4E70C2FA" w:rsidR="00900305" w:rsidRPr="00900305" w:rsidRDefault="00900305" w:rsidP="00C510BA">
            <w:pPr>
              <w:pStyle w:val="NEACTableText"/>
            </w:pPr>
            <w:r w:rsidRPr="00900305">
              <w:t xml:space="preserve">The principle of active protection, which requires the Crown to act, to the fullest extent </w:t>
            </w:r>
            <w:r w:rsidRPr="00900305">
              <w:lastRenderedPageBreak/>
              <w:t>practicable, to achieve equitable health outcomes for Māori.</w:t>
            </w:r>
          </w:p>
          <w:p w14:paraId="5C8460AA" w14:textId="4967B146" w:rsidR="00900305" w:rsidRPr="00900305" w:rsidRDefault="00900305" w:rsidP="00C510BA">
            <w:pPr>
              <w:pStyle w:val="NEACTableText"/>
            </w:pPr>
            <w:r w:rsidRPr="00900305">
              <w:t xml:space="preserve">This includes ensuring that </w:t>
            </w:r>
            <w:r w:rsidR="00F04E15">
              <w:t>the Crown</w:t>
            </w:r>
            <w:r w:rsidRPr="00900305">
              <w:t>, its agents and its Treaty partner are well</w:t>
            </w:r>
            <w:r w:rsidR="00F04E15">
              <w:t xml:space="preserve"> </w:t>
            </w:r>
            <w:r w:rsidRPr="00900305">
              <w:t xml:space="preserve">informed </w:t>
            </w:r>
            <w:r w:rsidR="00F04E15">
              <w:t>about</w:t>
            </w:r>
            <w:r w:rsidR="00F04E15" w:rsidRPr="00900305">
              <w:t xml:space="preserve"> </w:t>
            </w:r>
            <w:r w:rsidRPr="00900305">
              <w:t>the extent, and nature, of both Māori health outcomes and efforts to achieve Māori health equity.</w:t>
            </w:r>
          </w:p>
        </w:tc>
        <w:tc>
          <w:tcPr>
            <w:tcW w:w="1596" w:type="pct"/>
          </w:tcPr>
          <w:p w14:paraId="7267A4F4" w14:textId="1D7B155C" w:rsidR="00900305" w:rsidRPr="00F3515B" w:rsidRDefault="00900305" w:rsidP="00C510BA">
            <w:pPr>
              <w:pStyle w:val="NEACTableText"/>
              <w:rPr>
                <w:highlight w:val="yellow"/>
              </w:rPr>
            </w:pPr>
            <w:r w:rsidRPr="00F3515B">
              <w:rPr>
                <w:b/>
              </w:rPr>
              <w:lastRenderedPageBreak/>
              <w:t>Active protection,</w:t>
            </w:r>
            <w:r w:rsidRPr="00F3515B">
              <w:t xml:space="preserve"> which requires clinicians, hospital administrators and public health </w:t>
            </w:r>
            <w:r w:rsidR="00F04E15">
              <w:lastRenderedPageBreak/>
              <w:t>policy make</w:t>
            </w:r>
            <w:r w:rsidRPr="00F3515B">
              <w:t xml:space="preserve">rs to act, to the fullest extent practicable, to protect Māori health and achieve equitable health outcomes for Māori in response to </w:t>
            </w:r>
            <w:r w:rsidR="00F04E15">
              <w:t xml:space="preserve">a </w:t>
            </w:r>
            <w:r w:rsidRPr="00F3515B">
              <w:t xml:space="preserve">pandemic or public health </w:t>
            </w:r>
            <w:r w:rsidR="00F04E15" w:rsidRPr="00F3515B">
              <w:t>emergenc</w:t>
            </w:r>
            <w:r w:rsidR="00F04E15">
              <w:t>y</w:t>
            </w:r>
            <w:r w:rsidRPr="00F3515B">
              <w:t>.</w:t>
            </w:r>
          </w:p>
        </w:tc>
        <w:tc>
          <w:tcPr>
            <w:tcW w:w="1808" w:type="pct"/>
          </w:tcPr>
          <w:p w14:paraId="0D3009A6" w14:textId="74319AB5" w:rsidR="00900305" w:rsidRPr="00F3515B" w:rsidRDefault="00900305" w:rsidP="00C510BA">
            <w:pPr>
              <w:pStyle w:val="NEACTableText"/>
              <w:rPr>
                <w:highlight w:val="yellow"/>
              </w:rPr>
            </w:pPr>
            <w:r w:rsidRPr="00900305">
              <w:lastRenderedPageBreak/>
              <w:t xml:space="preserve">This requires the clinicians, hospital administrators and public health </w:t>
            </w:r>
            <w:r w:rsidR="00F04E15">
              <w:t>policy make</w:t>
            </w:r>
            <w:r w:rsidRPr="00900305">
              <w:t xml:space="preserve">rs to prioritise </w:t>
            </w:r>
            <w:r w:rsidRPr="00900305">
              <w:lastRenderedPageBreak/>
              <w:t xml:space="preserve">resources </w:t>
            </w:r>
            <w:r w:rsidR="00F04E15">
              <w:t>to</w:t>
            </w:r>
            <w:r w:rsidRPr="00900305">
              <w:t xml:space="preserve"> active</w:t>
            </w:r>
            <w:r w:rsidR="00F04E15">
              <w:t>ly</w:t>
            </w:r>
            <w:r w:rsidRPr="00900305">
              <w:t xml:space="preserve"> protect the health of the Māori population </w:t>
            </w:r>
            <w:r w:rsidR="00FA2050" w:rsidRPr="00900305">
              <w:t>and implement</w:t>
            </w:r>
            <w:r w:rsidRPr="00900305">
              <w:t xml:space="preserve"> approaches to equip </w:t>
            </w:r>
            <w:proofErr w:type="spellStart"/>
            <w:r w:rsidRPr="00900305">
              <w:t>whānau</w:t>
            </w:r>
            <w:proofErr w:type="spellEnd"/>
            <w:r w:rsidRPr="00900305">
              <w:t xml:space="preserve">, </w:t>
            </w:r>
            <w:proofErr w:type="spellStart"/>
            <w:r w:rsidRPr="00900305">
              <w:t>hapū</w:t>
            </w:r>
            <w:proofErr w:type="spellEnd"/>
            <w:r w:rsidRPr="00900305">
              <w:t>, iwi and Māori communities with the resources to undertake and respond to public health measures to prevent and/or manage the spread and transmission of disease</w:t>
            </w:r>
            <w:r w:rsidR="00F04E15">
              <w:t xml:space="preserve"> among their people</w:t>
            </w:r>
            <w:r w:rsidRPr="00900305">
              <w:t>.</w:t>
            </w:r>
          </w:p>
        </w:tc>
      </w:tr>
      <w:tr w:rsidR="00900305" w:rsidRPr="00F3515B" w14:paraId="5141A945" w14:textId="77777777" w:rsidTr="00A770D0">
        <w:trPr>
          <w:trHeight w:val="627"/>
        </w:trPr>
        <w:tc>
          <w:tcPr>
            <w:tcW w:w="1596" w:type="pct"/>
          </w:tcPr>
          <w:p w14:paraId="615B8F75" w14:textId="2E0916C1" w:rsidR="00900305" w:rsidRPr="00900305" w:rsidRDefault="00900305" w:rsidP="00C510BA">
            <w:pPr>
              <w:pStyle w:val="NEACTableText"/>
            </w:pPr>
            <w:r w:rsidRPr="00900305">
              <w:lastRenderedPageBreak/>
              <w:t>The principle of partnership, which requires the Crown and Māori to work in partnership in the governance, design, delivery, and monitoring of primary health services. Māori must be co-designers, with the Crown, of the primary health system for Māori.</w:t>
            </w:r>
          </w:p>
        </w:tc>
        <w:tc>
          <w:tcPr>
            <w:tcW w:w="1596" w:type="pct"/>
          </w:tcPr>
          <w:p w14:paraId="05B8FA38" w14:textId="6D9DE01C" w:rsidR="00900305" w:rsidRPr="00F3515B" w:rsidRDefault="00900305" w:rsidP="00C510BA">
            <w:pPr>
              <w:pStyle w:val="NEACTableText"/>
            </w:pPr>
            <w:r w:rsidRPr="00F3515B">
              <w:rPr>
                <w:b/>
              </w:rPr>
              <w:t>Partnership</w:t>
            </w:r>
            <w:r w:rsidRPr="00F3515B">
              <w:t xml:space="preserve">, which requires the clinicians, hospital administrators and public health </w:t>
            </w:r>
            <w:r w:rsidR="00F04E15">
              <w:t>policy make</w:t>
            </w:r>
            <w:r w:rsidRPr="00F3515B">
              <w:t>rs</w:t>
            </w:r>
            <w:r w:rsidRPr="00F3515B" w:rsidDel="006E2A8C">
              <w:t xml:space="preserve"> </w:t>
            </w:r>
            <w:r w:rsidRPr="00F3515B">
              <w:t>and Māori to work in partnership in the governance, design, delivery and monitoring of the response to a pandemic or public health emergency. This contributes to a shared responsibility for achieving health equity for Māori.</w:t>
            </w:r>
          </w:p>
        </w:tc>
        <w:tc>
          <w:tcPr>
            <w:tcW w:w="1808" w:type="pct"/>
          </w:tcPr>
          <w:p w14:paraId="27CBD1F0" w14:textId="5CAB7440" w:rsidR="00900305" w:rsidRPr="00F3515B" w:rsidRDefault="00900305" w:rsidP="00C510BA">
            <w:pPr>
              <w:pStyle w:val="NEACTableText"/>
            </w:pPr>
            <w:r w:rsidRPr="00900305">
              <w:t xml:space="preserve">In a resource allocation setting, this means that the health and disability system works alongside Māori leaders to enable a coordinated and </w:t>
            </w:r>
            <w:r w:rsidR="00CC67D5">
              <w:t>united</w:t>
            </w:r>
            <w:r w:rsidRPr="00900305">
              <w:t xml:space="preserve"> response to a pandemic or public health emergency whereby Māori have the resources to govern, design, deliver, manage and </w:t>
            </w:r>
            <w:r w:rsidR="00FA2050" w:rsidRPr="00900305">
              <w:t>monitor a</w:t>
            </w:r>
            <w:r w:rsidRPr="00900305">
              <w:t xml:space="preserve"> response and the impacts on Māori communities</w:t>
            </w:r>
            <w:r w:rsidR="0001192B">
              <w:t>.</w:t>
            </w:r>
          </w:p>
        </w:tc>
      </w:tr>
    </w:tbl>
    <w:p w14:paraId="338D9E60" w14:textId="62C17643" w:rsidR="007C08CD" w:rsidRPr="00F3515B" w:rsidRDefault="007C08CD" w:rsidP="00984F14">
      <w:pPr>
        <w:pStyle w:val="Nospace"/>
        <w:ind w:left="0"/>
        <w:rPr>
          <w:rFonts w:ascii="Helv" w:hAnsi="Helv"/>
        </w:rPr>
        <w:sectPr w:rsidR="007C08CD" w:rsidRPr="00F3515B" w:rsidSect="0082039E">
          <w:pgSz w:w="16838" w:h="11906" w:orient="landscape"/>
          <w:pgMar w:top="1814" w:right="2041" w:bottom="1588" w:left="1361" w:header="709" w:footer="709" w:gutter="0"/>
          <w:cols w:space="708"/>
          <w:docGrid w:linePitch="360"/>
        </w:sectPr>
      </w:pPr>
    </w:p>
    <w:p w14:paraId="25FA7D6F" w14:textId="482185C5" w:rsidR="009E20B5" w:rsidRPr="00F3515B" w:rsidRDefault="009E20B5" w:rsidP="00640FEF">
      <w:pPr>
        <w:pStyle w:val="Heading1"/>
      </w:pPr>
      <w:bookmarkStart w:id="22" w:name="_Toc42073328"/>
      <w:r w:rsidRPr="00F3515B">
        <w:lastRenderedPageBreak/>
        <w:t xml:space="preserve">Allocation of </w:t>
      </w:r>
      <w:r w:rsidR="008C454A">
        <w:t>r</w:t>
      </w:r>
      <w:r w:rsidRPr="00F3515B">
        <w:t>esources</w:t>
      </w:r>
      <w:bookmarkEnd w:id="22"/>
    </w:p>
    <w:p w14:paraId="1DAFF954" w14:textId="1EEDC5A1" w:rsidR="00984F14" w:rsidRPr="00B80B3D" w:rsidRDefault="00984F14" w:rsidP="00B867C6">
      <w:pPr>
        <w:pStyle w:val="Heading2"/>
      </w:pPr>
      <w:bookmarkStart w:id="23" w:name="_Toc42073329"/>
      <w:bookmarkEnd w:id="0"/>
      <w:r w:rsidRPr="00B80B3D">
        <w:t>Resources</w:t>
      </w:r>
      <w:bookmarkEnd w:id="23"/>
      <w:r w:rsidRPr="00B80B3D">
        <w:t xml:space="preserve"> </w:t>
      </w:r>
    </w:p>
    <w:p w14:paraId="02FCC00B" w14:textId="2D32D870" w:rsidR="00984F14" w:rsidRPr="00B80B3D" w:rsidRDefault="00984F14" w:rsidP="00B867C6">
      <w:pPr>
        <w:pStyle w:val="NEACNormal"/>
      </w:pPr>
      <w:r w:rsidRPr="00B80B3D">
        <w:t xml:space="preserve">When </w:t>
      </w:r>
      <w:r w:rsidR="00CC67D5" w:rsidRPr="00B80B3D">
        <w:t>we don’t have enough of</w:t>
      </w:r>
      <w:r w:rsidRPr="00B80B3D">
        <w:t xml:space="preserve"> </w:t>
      </w:r>
      <w:r w:rsidR="00CC67D5" w:rsidRPr="00B80B3D">
        <w:t xml:space="preserve">a particular resource </w:t>
      </w:r>
      <w:r w:rsidRPr="00B80B3D">
        <w:t xml:space="preserve">to meet demand, we must decide </w:t>
      </w:r>
      <w:r w:rsidR="00CC67D5" w:rsidRPr="00B80B3D">
        <w:t xml:space="preserve">the best way </w:t>
      </w:r>
      <w:r w:rsidRPr="00B80B3D">
        <w:t xml:space="preserve">to distribute </w:t>
      </w:r>
      <w:r w:rsidR="00CC67D5" w:rsidRPr="00B80B3D">
        <w:t>that supply of resource to ensure the most effective results</w:t>
      </w:r>
      <w:r w:rsidRPr="00B80B3D">
        <w:t xml:space="preserve">. Resource allocation is the mechanism we use to do this. </w:t>
      </w:r>
    </w:p>
    <w:p w14:paraId="281973EA" w14:textId="7FBE21B5" w:rsidR="005B4E34" w:rsidRPr="00F3515B" w:rsidRDefault="00AD2FBD" w:rsidP="00B867C6">
      <w:pPr>
        <w:pStyle w:val="NEACNormal"/>
      </w:pPr>
      <w:r w:rsidRPr="00F3515B">
        <w:t>This framework applies to</w:t>
      </w:r>
      <w:r w:rsidR="0050577D" w:rsidRPr="00F3515B">
        <w:t xml:space="preserve"> extreme measures intended to be implemented only in the worst-case scenario, in which adequate resources are not available</w:t>
      </w:r>
      <w:r w:rsidR="008C2CC7" w:rsidRPr="00F3515B">
        <w:t xml:space="preserve">. </w:t>
      </w:r>
      <w:r w:rsidR="001C74B7" w:rsidRPr="00F3515B">
        <w:t xml:space="preserve">The </w:t>
      </w:r>
      <w:r w:rsidR="00E3305D" w:rsidRPr="00F3515B">
        <w:t>application of principles</w:t>
      </w:r>
      <w:r w:rsidR="001C74B7" w:rsidRPr="00F3515B">
        <w:t xml:space="preserve"> and the relative w</w:t>
      </w:r>
      <w:r w:rsidR="00E3305D" w:rsidRPr="00F3515B">
        <w:t>eighting of different principles</w:t>
      </w:r>
      <w:r w:rsidR="001C74B7" w:rsidRPr="00F3515B">
        <w:t xml:space="preserve"> may differ </w:t>
      </w:r>
      <w:r w:rsidR="00CC67D5">
        <w:t>between</w:t>
      </w:r>
      <w:r w:rsidR="00CC67D5" w:rsidRPr="00F3515B">
        <w:t xml:space="preserve"> </w:t>
      </w:r>
      <w:r w:rsidR="001C74B7" w:rsidRPr="00F3515B">
        <w:t xml:space="preserve">emergency and non-emergency situations. For example, </w:t>
      </w:r>
      <w:r w:rsidR="00E3305D" w:rsidRPr="00F3515B">
        <w:t xml:space="preserve">a novel </w:t>
      </w:r>
      <w:r w:rsidR="000A03D8">
        <w:t>COVID-19</w:t>
      </w:r>
      <w:r w:rsidR="00E3305D" w:rsidRPr="00F3515B">
        <w:t xml:space="preserve"> vaccine would still need to meet </w:t>
      </w:r>
      <w:r w:rsidR="001C74B7" w:rsidRPr="00F3515B">
        <w:t>safety and efficacy standards</w:t>
      </w:r>
      <w:r w:rsidR="00E3305D" w:rsidRPr="00F3515B">
        <w:t xml:space="preserve">; </w:t>
      </w:r>
      <w:r w:rsidR="001C74B7" w:rsidRPr="00F3515B">
        <w:t xml:space="preserve">but it may be ethical to </w:t>
      </w:r>
      <w:r w:rsidR="00E3305D" w:rsidRPr="00F3515B">
        <w:t xml:space="preserve">endorse </w:t>
      </w:r>
      <w:r w:rsidR="00CC67D5">
        <w:t xml:space="preserve">a </w:t>
      </w:r>
      <w:r w:rsidR="00E3305D" w:rsidRPr="00F3515B">
        <w:t>wide-spread immuni</w:t>
      </w:r>
      <w:r w:rsidR="00D85C5E">
        <w:t>s</w:t>
      </w:r>
      <w:r w:rsidR="00E3305D" w:rsidRPr="00F3515B">
        <w:t>ation program</w:t>
      </w:r>
      <w:r w:rsidR="00CC67D5">
        <w:t>me</w:t>
      </w:r>
      <w:r w:rsidR="00E3305D" w:rsidRPr="00F3515B">
        <w:t xml:space="preserve"> without </w:t>
      </w:r>
      <w:r w:rsidR="00CC67D5" w:rsidRPr="00F3515B">
        <w:t>long</w:t>
      </w:r>
      <w:r w:rsidR="00CC67D5">
        <w:t>-</w:t>
      </w:r>
      <w:r w:rsidR="00E3305D" w:rsidRPr="00F3515B">
        <w:t>term outcome data</w:t>
      </w:r>
      <w:r w:rsidR="00CC67D5">
        <w:t>.</w:t>
      </w:r>
      <w:r w:rsidR="005B4E34" w:rsidRPr="00F3515B">
        <w:rPr>
          <w:rStyle w:val="FootnoteReference"/>
        </w:rPr>
        <w:footnoteReference w:id="5"/>
      </w:r>
      <w:r w:rsidR="00E3305D" w:rsidRPr="00F3515B">
        <w:t xml:space="preserve"> </w:t>
      </w:r>
    </w:p>
    <w:p w14:paraId="0F28A73C" w14:textId="262149EE" w:rsidR="006A6919" w:rsidRDefault="00984F14" w:rsidP="00B867C6">
      <w:pPr>
        <w:pStyle w:val="NEACNormal"/>
      </w:pPr>
      <w:r w:rsidRPr="00F3515B">
        <w:t xml:space="preserve">Ethical resource allocation should not be limited to clinical resources. There are many different </w:t>
      </w:r>
      <w:r w:rsidR="00132F48" w:rsidRPr="00F3515B">
        <w:t>kinds</w:t>
      </w:r>
      <w:r w:rsidRPr="00F3515B">
        <w:t xml:space="preserve"> of resources that may become scarce </w:t>
      </w:r>
      <w:r w:rsidRPr="00F3515B">
        <w:t>during a pandemic</w:t>
      </w:r>
      <w:r w:rsidR="00132F48" w:rsidRPr="00F3515B">
        <w:t>.</w:t>
      </w:r>
      <w:r w:rsidRPr="00F3515B">
        <w:t xml:space="preserve"> </w:t>
      </w:r>
      <w:r w:rsidR="00132F48" w:rsidRPr="00F3515B">
        <w:t>Each</w:t>
      </w:r>
      <w:r w:rsidRPr="00F3515B">
        <w:t xml:space="preserve"> resource has a different risk/benefit profile and may be rationed or prioritised </w:t>
      </w:r>
      <w:r w:rsidR="00132F48" w:rsidRPr="00F3515B">
        <w:t>using a different weighting of the principles</w:t>
      </w:r>
      <w:r w:rsidRPr="00F3515B">
        <w:t>, for example</w:t>
      </w:r>
      <w:r w:rsidR="006A6919">
        <w:t>,</w:t>
      </w:r>
      <w:r w:rsidRPr="00F3515B">
        <w:t xml:space="preserve"> a clinical or medical context in the case of ventilators or a public health context in the case of personal protective equipment. </w:t>
      </w:r>
    </w:p>
    <w:p w14:paraId="35602623" w14:textId="0AE203E0" w:rsidR="00984F14" w:rsidRPr="00F3515B" w:rsidRDefault="006A6919" w:rsidP="00B867C6">
      <w:pPr>
        <w:pStyle w:val="NEACNormal"/>
      </w:pPr>
      <w:r>
        <w:t>S</w:t>
      </w:r>
      <w:r w:rsidR="00751866" w:rsidRPr="00F3515B">
        <w:t>upport services are an additional category of essential pandemic resources and</w:t>
      </w:r>
      <w:r>
        <w:t>,</w:t>
      </w:r>
      <w:r w:rsidR="00751866" w:rsidRPr="00F3515B">
        <w:t xml:space="preserve"> if allocated well, </w:t>
      </w:r>
      <w:r>
        <w:t xml:space="preserve">they can be useful in </w:t>
      </w:r>
      <w:r w:rsidR="00751866" w:rsidRPr="00F3515B">
        <w:t>mitigat</w:t>
      </w:r>
      <w:r>
        <w:t>ing</w:t>
      </w:r>
      <w:r w:rsidR="00751866" w:rsidRPr="00F3515B">
        <w:t xml:space="preserve"> risk for individuals and communities.</w:t>
      </w:r>
    </w:p>
    <w:p w14:paraId="44A3D2C6" w14:textId="40D828CD" w:rsidR="00984F14" w:rsidRDefault="006A6919" w:rsidP="00B867C6">
      <w:pPr>
        <w:pStyle w:val="NEACNormal"/>
      </w:pPr>
      <w:r>
        <w:t>T</w:t>
      </w:r>
      <w:r w:rsidR="00984F14" w:rsidRPr="00F3515B">
        <w:t>his framework could be applied</w:t>
      </w:r>
      <w:r>
        <w:t xml:space="preserve"> to a variety of resources. Some options are listed </w:t>
      </w:r>
      <w:r w:rsidR="00984F14" w:rsidRPr="00F3515B">
        <w:t>below</w:t>
      </w:r>
      <w:r>
        <w:t>.</w:t>
      </w:r>
      <w:r w:rsidR="00ED66A1" w:rsidRPr="00ED66A1">
        <w:rPr>
          <w:rStyle w:val="FootnoteReference"/>
        </w:rPr>
        <w:t xml:space="preserve"> </w:t>
      </w:r>
      <w:r w:rsidR="00ED66A1" w:rsidRPr="008545E6">
        <w:rPr>
          <w:rStyle w:val="FootnoteReference"/>
        </w:rPr>
        <w:footnoteReference w:id="6"/>
      </w:r>
    </w:p>
    <w:p w14:paraId="7BEE20EF" w14:textId="4FB197B2" w:rsidR="00B80B3D" w:rsidRPr="00B80B3D" w:rsidRDefault="00B80B3D" w:rsidP="00B867C6">
      <w:pPr>
        <w:pStyle w:val="Heading3"/>
      </w:pPr>
      <w:bookmarkStart w:id="24" w:name="_Toc42073330"/>
      <w:r w:rsidRPr="00B80B3D">
        <w:t>Clinical resources</w:t>
      </w:r>
      <w:bookmarkEnd w:id="24"/>
    </w:p>
    <w:p w14:paraId="620CFD65" w14:textId="1D83B382" w:rsidR="00751866" w:rsidRPr="00F3515B" w:rsidRDefault="006A6919" w:rsidP="00B867C6">
      <w:pPr>
        <w:pStyle w:val="NEACNormal"/>
      </w:pPr>
      <w:r>
        <w:t>T</w:t>
      </w:r>
      <w:r w:rsidR="00751866" w:rsidRPr="00F3515B">
        <w:t>reatment has burdens and benefits</w:t>
      </w:r>
      <w:r>
        <w:t xml:space="preserve">; the </w:t>
      </w:r>
      <w:r w:rsidR="00751866" w:rsidRPr="00F3515B">
        <w:t xml:space="preserve">decision to allocate </w:t>
      </w:r>
      <w:r>
        <w:t xml:space="preserve">a clinical resource </w:t>
      </w:r>
      <w:r w:rsidR="00751866" w:rsidRPr="00F3515B">
        <w:t xml:space="preserve">is complex and requires assessment of futility/appropriateness of medical intervention, </w:t>
      </w:r>
      <w:r>
        <w:t xml:space="preserve">the </w:t>
      </w:r>
      <w:r w:rsidR="00751866" w:rsidRPr="00F3515B">
        <w:t xml:space="preserve">patient’s best interests, </w:t>
      </w:r>
      <w:r>
        <w:t xml:space="preserve">the </w:t>
      </w:r>
      <w:r w:rsidR="00751866" w:rsidRPr="00F3515B">
        <w:t>patient</w:t>
      </w:r>
      <w:r>
        <w:t>’s</w:t>
      </w:r>
      <w:r w:rsidR="00751866" w:rsidRPr="00F3515B">
        <w:t xml:space="preserve"> autonomy</w:t>
      </w:r>
      <w:r>
        <w:t xml:space="preserve"> and</w:t>
      </w:r>
      <w:r w:rsidR="00751866" w:rsidRPr="00F3515B">
        <w:t xml:space="preserve"> </w:t>
      </w:r>
      <w:r>
        <w:t xml:space="preserve">the </w:t>
      </w:r>
      <w:r w:rsidR="00751866" w:rsidRPr="00F3515B">
        <w:t>principles of resource allocation</w:t>
      </w:r>
      <w:r>
        <w:t>. Clinical resources include access to:</w:t>
      </w:r>
      <w:r w:rsidRPr="00F3515B">
        <w:t xml:space="preserve"> </w:t>
      </w:r>
    </w:p>
    <w:p w14:paraId="2762047A" w14:textId="608A38D9" w:rsidR="00751866" w:rsidRPr="00B80B3D" w:rsidRDefault="00751866" w:rsidP="00C510BA">
      <w:pPr>
        <w:pStyle w:val="NEACBullet"/>
      </w:pPr>
      <w:r w:rsidRPr="00B80B3D">
        <w:t>ICU</w:t>
      </w:r>
    </w:p>
    <w:p w14:paraId="76528EAA" w14:textId="77B484C5" w:rsidR="00751866" w:rsidRPr="00B80B3D" w:rsidRDefault="00751866" w:rsidP="00C510BA">
      <w:pPr>
        <w:pStyle w:val="NEACBullet"/>
      </w:pPr>
      <w:r w:rsidRPr="00B80B3D">
        <w:t xml:space="preserve">ventilators </w:t>
      </w:r>
    </w:p>
    <w:p w14:paraId="5838017F" w14:textId="2FA29FBA" w:rsidR="00751866" w:rsidRPr="00B80B3D" w:rsidRDefault="00751866" w:rsidP="00C510BA">
      <w:pPr>
        <w:pStyle w:val="NEACBullet"/>
      </w:pPr>
      <w:r w:rsidRPr="00B80B3D">
        <w:lastRenderedPageBreak/>
        <w:t>palliative care</w:t>
      </w:r>
    </w:p>
    <w:p w14:paraId="3E98DA18" w14:textId="31B3C6A2" w:rsidR="00751866" w:rsidRPr="00B80B3D" w:rsidRDefault="00751866" w:rsidP="00C510BA">
      <w:pPr>
        <w:pStyle w:val="NEACBullet"/>
        <w:rPr>
          <w:b/>
        </w:rPr>
      </w:pPr>
      <w:r w:rsidRPr="00B80B3D">
        <w:t>medications</w:t>
      </w:r>
      <w:r w:rsidR="00723340" w:rsidRPr="00B80B3D">
        <w:t>.</w:t>
      </w:r>
    </w:p>
    <w:p w14:paraId="73709C8B" w14:textId="5BC0E8B4" w:rsidR="00B867C6" w:rsidRPr="00B867C6" w:rsidRDefault="00B867C6" w:rsidP="00B867C6">
      <w:pPr>
        <w:pStyle w:val="Heading3"/>
      </w:pPr>
      <w:bookmarkStart w:id="25" w:name="_Toc42073331"/>
      <w:r>
        <w:t>Public health resources</w:t>
      </w:r>
      <w:bookmarkEnd w:id="25"/>
    </w:p>
    <w:p w14:paraId="779E5B25" w14:textId="70B610A1" w:rsidR="00751866" w:rsidRPr="00F3515B" w:rsidRDefault="006A6919" w:rsidP="00B867C6">
      <w:pPr>
        <w:pStyle w:val="NEACNormal"/>
      </w:pPr>
      <w:r>
        <w:t>T</w:t>
      </w:r>
      <w:r w:rsidR="00751866" w:rsidRPr="00F3515B">
        <w:t>hese are clearly valuable goods, typically with minimal risks or downside</w:t>
      </w:r>
      <w:r>
        <w:t>s. They include:</w:t>
      </w:r>
    </w:p>
    <w:p w14:paraId="111B9DDE" w14:textId="6F60D419" w:rsidR="00751866" w:rsidRPr="00F3515B" w:rsidRDefault="00751866" w:rsidP="00C510BA">
      <w:pPr>
        <w:pStyle w:val="NEACBullet"/>
      </w:pPr>
      <w:r w:rsidRPr="00F3515B">
        <w:t xml:space="preserve">personal protective equipment </w:t>
      </w:r>
      <w:r w:rsidR="00ED66A1">
        <w:t>(PPE)</w:t>
      </w:r>
    </w:p>
    <w:p w14:paraId="6B841833" w14:textId="07F78767" w:rsidR="00751866" w:rsidRPr="00F3515B" w:rsidRDefault="00751866" w:rsidP="00C510BA">
      <w:pPr>
        <w:pStyle w:val="NEACBullet"/>
      </w:pPr>
      <w:r w:rsidRPr="00F3515B">
        <w:t xml:space="preserve">diagnostics </w:t>
      </w:r>
    </w:p>
    <w:p w14:paraId="45A15277" w14:textId="3E123144" w:rsidR="00751866" w:rsidRPr="00F3515B" w:rsidRDefault="00751866" w:rsidP="00C510BA">
      <w:pPr>
        <w:pStyle w:val="NEACBullet"/>
      </w:pPr>
      <w:r w:rsidRPr="00F3515B">
        <w:t xml:space="preserve">clinical expertise </w:t>
      </w:r>
    </w:p>
    <w:p w14:paraId="77B0B0FF" w14:textId="13A8E827" w:rsidR="00984F14" w:rsidRPr="00F3515B" w:rsidRDefault="00751866" w:rsidP="00C510BA">
      <w:pPr>
        <w:pStyle w:val="NEACBullet"/>
      </w:pPr>
      <w:r w:rsidRPr="00F3515B">
        <w:t>vaccines</w:t>
      </w:r>
      <w:r w:rsidR="006A6919">
        <w:t>.</w:t>
      </w:r>
    </w:p>
    <w:p w14:paraId="481AA0C9" w14:textId="25B089F1" w:rsidR="00B867C6" w:rsidRPr="00B867C6" w:rsidRDefault="00B867C6" w:rsidP="00B867C6">
      <w:pPr>
        <w:pStyle w:val="Heading3"/>
      </w:pPr>
      <w:bookmarkStart w:id="26" w:name="_Toc42073332"/>
      <w:r w:rsidRPr="00B867C6">
        <w:t>Support service resources</w:t>
      </w:r>
      <w:bookmarkEnd w:id="26"/>
    </w:p>
    <w:p w14:paraId="50832E42" w14:textId="6CE2ED2E" w:rsidR="00984F14" w:rsidRPr="00F3515B" w:rsidRDefault="006A6919" w:rsidP="00B867C6">
      <w:pPr>
        <w:pStyle w:val="NEACNormal"/>
      </w:pPr>
      <w:r>
        <w:t>These are m</w:t>
      </w:r>
      <w:r w:rsidR="00984F14" w:rsidRPr="00F3515B">
        <w:t>easures that can increase access to services and mitigate adverse impact</w:t>
      </w:r>
      <w:r w:rsidR="00ED66A1">
        <w:t>. They include:</w:t>
      </w:r>
    </w:p>
    <w:p w14:paraId="660C210C" w14:textId="3C646E6A" w:rsidR="00751866" w:rsidRPr="00F3515B" w:rsidRDefault="00ED66A1" w:rsidP="00C510BA">
      <w:pPr>
        <w:pStyle w:val="NEACBullet"/>
      </w:pPr>
      <w:r>
        <w:t>c</w:t>
      </w:r>
      <w:r w:rsidR="00984F14" w:rsidRPr="00F3515B">
        <w:t>arers visitation rights (allocat</w:t>
      </w:r>
      <w:r>
        <w:t>ing</w:t>
      </w:r>
      <w:r w:rsidR="00984F14" w:rsidRPr="00F3515B">
        <w:t xml:space="preserve"> PPE to support this) </w:t>
      </w:r>
    </w:p>
    <w:p w14:paraId="53D014F1" w14:textId="648C2232" w:rsidR="00751866" w:rsidRPr="00F3515B" w:rsidRDefault="00984F14" w:rsidP="00C510BA">
      <w:pPr>
        <w:pStyle w:val="NEACBullet"/>
      </w:pPr>
      <w:r w:rsidRPr="00F3515B">
        <w:t>accessible communication (public and patient)</w:t>
      </w:r>
    </w:p>
    <w:p w14:paraId="1B346BAC" w14:textId="73ECB0C5" w:rsidR="00751866" w:rsidRPr="00F3515B" w:rsidRDefault="00984F14" w:rsidP="00C510BA">
      <w:pPr>
        <w:pStyle w:val="NEACBullet"/>
      </w:pPr>
      <w:r w:rsidRPr="00F3515B">
        <w:t xml:space="preserve">supported </w:t>
      </w:r>
      <w:r w:rsidR="00ED66A1" w:rsidRPr="00F3515B">
        <w:t>decision</w:t>
      </w:r>
      <w:r w:rsidR="00ED66A1">
        <w:t>-</w:t>
      </w:r>
      <w:r w:rsidRPr="00F3515B">
        <w:t xml:space="preserve">making tools and services </w:t>
      </w:r>
    </w:p>
    <w:p w14:paraId="15B27FBA" w14:textId="3E8460CC" w:rsidR="00751866" w:rsidRPr="00F3515B" w:rsidRDefault="00984F14" w:rsidP="00C510BA">
      <w:pPr>
        <w:pStyle w:val="NEACBullet"/>
      </w:pPr>
      <w:r w:rsidRPr="00F3515B">
        <w:t>financial support for home careers</w:t>
      </w:r>
    </w:p>
    <w:p w14:paraId="126F660D" w14:textId="77825AA2" w:rsidR="00751866" w:rsidRPr="00F3515B" w:rsidRDefault="00984F14" w:rsidP="00C510BA">
      <w:pPr>
        <w:pStyle w:val="NEACBullet"/>
      </w:pPr>
      <w:r w:rsidRPr="00F3515B">
        <w:t xml:space="preserve">interpreters </w:t>
      </w:r>
    </w:p>
    <w:p w14:paraId="6C3D6C4D" w14:textId="5EDBE19A" w:rsidR="00751866" w:rsidRPr="00F3515B" w:rsidRDefault="00984F14" w:rsidP="00C510BA">
      <w:pPr>
        <w:pStyle w:val="NEACBullet"/>
      </w:pPr>
      <w:r w:rsidRPr="00F3515B">
        <w:t xml:space="preserve">social workers </w:t>
      </w:r>
    </w:p>
    <w:p w14:paraId="0097BC4A" w14:textId="346AA863" w:rsidR="00751866" w:rsidRPr="00F3515B" w:rsidRDefault="00984F14" w:rsidP="00C510BA">
      <w:pPr>
        <w:pStyle w:val="NEACBullet"/>
      </w:pPr>
      <w:r w:rsidRPr="00F3515B">
        <w:t xml:space="preserve">health navigators </w:t>
      </w:r>
    </w:p>
    <w:p w14:paraId="39BE0F36" w14:textId="513C09A3" w:rsidR="00751866" w:rsidRDefault="00984F14" w:rsidP="00C510BA">
      <w:pPr>
        <w:pStyle w:val="NEACBullet"/>
      </w:pPr>
      <w:r w:rsidRPr="00F3515B">
        <w:t xml:space="preserve">health and disability advocates </w:t>
      </w:r>
    </w:p>
    <w:p w14:paraId="074A8C22" w14:textId="38144126" w:rsidR="00BE08D6" w:rsidRPr="00BE08D6" w:rsidRDefault="00BE08D6" w:rsidP="00C510BA">
      <w:pPr>
        <w:pStyle w:val="NEACBullet"/>
      </w:pPr>
      <w:r w:rsidRPr="00BE08D6">
        <w:t>rehabilitation support (given the growing evidence of disabilities associated with critical COVID-19 e.g. Post-Intensive Care Syndrome cases).</w:t>
      </w:r>
    </w:p>
    <w:p w14:paraId="2259261D" w14:textId="00021B2C" w:rsidR="00E232AD" w:rsidRPr="00F3515B" w:rsidRDefault="00E232AD" w:rsidP="00B867C6">
      <w:pPr>
        <w:pStyle w:val="Heading2"/>
      </w:pPr>
      <w:bookmarkStart w:id="27" w:name="_Toc42073333"/>
      <w:r>
        <w:t>Making decisions</w:t>
      </w:r>
      <w:bookmarkEnd w:id="27"/>
    </w:p>
    <w:p w14:paraId="710A034F" w14:textId="30F02924" w:rsidR="00FB086A" w:rsidRPr="00F3515B" w:rsidRDefault="00E232AD" w:rsidP="00B867C6">
      <w:pPr>
        <w:pStyle w:val="Heading3"/>
      </w:pPr>
      <w:bookmarkStart w:id="28" w:name="_Toc42073334"/>
      <w:r>
        <w:t>The decision-making p</w:t>
      </w:r>
      <w:r w:rsidRPr="00F3515B">
        <w:t>rocess</w:t>
      </w:r>
      <w:bookmarkEnd w:id="28"/>
      <w:r w:rsidRPr="00F3515B">
        <w:t xml:space="preserve"> </w:t>
      </w:r>
    </w:p>
    <w:p w14:paraId="713B6C9F" w14:textId="43CDD82A" w:rsidR="005D046A" w:rsidRDefault="00751866" w:rsidP="00B867C6">
      <w:pPr>
        <w:pStyle w:val="NEACNormal"/>
        <w:rPr>
          <w:b/>
          <w:bCs/>
        </w:rPr>
      </w:pPr>
      <w:r w:rsidRPr="00F3515B">
        <w:t xml:space="preserve">Good decision-making processes confer legitimacy on the </w:t>
      </w:r>
      <w:r w:rsidR="00F340BD">
        <w:t xml:space="preserve">final </w:t>
      </w:r>
      <w:r w:rsidRPr="00F3515B">
        <w:t>decisions, even when disagreement persists</w:t>
      </w:r>
      <w:r w:rsidR="00F340BD">
        <w:t>,</w:t>
      </w:r>
      <w:r w:rsidR="005D046A">
        <w:t xml:space="preserve"> and</w:t>
      </w:r>
      <w:r w:rsidRPr="00F3515B">
        <w:t xml:space="preserve"> may help to resolve </w:t>
      </w:r>
      <w:r w:rsidR="00F340BD">
        <w:t>ongoing disagreement</w:t>
      </w:r>
      <w:r w:rsidRPr="00F3515B">
        <w:t xml:space="preserve">. </w:t>
      </w:r>
      <w:r w:rsidR="005D046A">
        <w:t>They</w:t>
      </w:r>
      <w:r w:rsidR="005D046A" w:rsidRPr="00F3515B">
        <w:t xml:space="preserve"> </w:t>
      </w:r>
      <w:r w:rsidRPr="00F3515B">
        <w:t xml:space="preserve">may also help ensure that decisions include comprehensive consideration of relevant issues. </w:t>
      </w:r>
    </w:p>
    <w:p w14:paraId="00808E3B" w14:textId="4DB5BE61" w:rsidR="00751866" w:rsidRPr="00F3515B" w:rsidRDefault="00751866" w:rsidP="00B867C6">
      <w:pPr>
        <w:pStyle w:val="NEACNormal"/>
        <w:rPr>
          <w:b/>
          <w:bCs/>
        </w:rPr>
      </w:pPr>
      <w:r w:rsidRPr="00F3515B">
        <w:t>Pandemic planning decisions should be</w:t>
      </w:r>
      <w:r w:rsidR="00E232AD">
        <w:t xml:space="preserve"> clearly consistent and</w:t>
      </w:r>
      <w:r w:rsidRPr="00F3515B">
        <w:t xml:space="preserve"> underpinned by ethical values. A good decision-making process fosters public trust and goodwill towards institutions such as hospitals, leading to greater acceptance and satisfaction and fewer complaints. </w:t>
      </w:r>
      <w:r w:rsidR="00F340BD">
        <w:t>Such processes identify v</w:t>
      </w:r>
      <w:r w:rsidR="00F340BD" w:rsidRPr="00F3515B">
        <w:t xml:space="preserve">alues </w:t>
      </w:r>
      <w:r w:rsidRPr="00F3515B">
        <w:t xml:space="preserve">recognised in </w:t>
      </w:r>
      <w:r w:rsidR="00A273BF">
        <w:t>Māori</w:t>
      </w:r>
      <w:r w:rsidRPr="00F3515B">
        <w:t xml:space="preserve"> tikanga or </w:t>
      </w:r>
      <w:proofErr w:type="spellStart"/>
      <w:r w:rsidRPr="00F3515B">
        <w:t>kawa</w:t>
      </w:r>
      <w:proofErr w:type="spellEnd"/>
      <w:r w:rsidRPr="00F3515B">
        <w:t xml:space="preserve"> (</w:t>
      </w:r>
      <w:r w:rsidR="00E232AD">
        <w:t>protocol or ceremonial actions</w:t>
      </w:r>
      <w:r w:rsidRPr="00F3515B">
        <w:t>) alongside other values.</w:t>
      </w:r>
    </w:p>
    <w:p w14:paraId="5EDD282D" w14:textId="1BCD39A3" w:rsidR="00751866" w:rsidRPr="00F3515B" w:rsidRDefault="00751866" w:rsidP="00B867C6">
      <w:pPr>
        <w:pStyle w:val="NEACNormal"/>
        <w:rPr>
          <w:b/>
          <w:bCs/>
        </w:rPr>
      </w:pPr>
      <w:r w:rsidRPr="00F3515B">
        <w:t>It has been suggested that ‘due process requirements are inherently important because fair hearings affirm the dignity of the person’</w:t>
      </w:r>
      <w:r w:rsidR="001E3778">
        <w:t xml:space="preserve"> (Bayer 2007 p. 266)</w:t>
      </w:r>
      <w:r w:rsidRPr="00F3515B">
        <w:t xml:space="preserve">. Good decision-making processes may be necessary in </w:t>
      </w:r>
      <w:r w:rsidRPr="00F3515B">
        <w:lastRenderedPageBreak/>
        <w:t xml:space="preserve">order to show respect for people and ensure procedural fairness. As such, they may also reflect the value of </w:t>
      </w:r>
      <w:proofErr w:type="spellStart"/>
      <w:r w:rsidRPr="00F3515B">
        <w:t>tika</w:t>
      </w:r>
      <w:proofErr w:type="spellEnd"/>
      <w:r w:rsidRPr="00F3515B">
        <w:t xml:space="preserve">, in the sense of acting in a way that is just and proper. </w:t>
      </w:r>
      <w:r w:rsidR="00900305" w:rsidRPr="00900305">
        <w:t xml:space="preserve">Māori tikanga and </w:t>
      </w:r>
      <w:proofErr w:type="spellStart"/>
      <w:r w:rsidR="00900305" w:rsidRPr="00900305">
        <w:t>m</w:t>
      </w:r>
      <w:r w:rsidR="00204B30">
        <w:t>ā</w:t>
      </w:r>
      <w:r w:rsidR="00900305" w:rsidRPr="00900305">
        <w:t>tauranga</w:t>
      </w:r>
      <w:proofErr w:type="spellEnd"/>
      <w:r w:rsidR="00900305" w:rsidRPr="00900305">
        <w:t xml:space="preserve"> Māori may need to be considered in the context of challenging other values not just </w:t>
      </w:r>
      <w:r w:rsidR="00E232AD">
        <w:t xml:space="preserve">sitting </w:t>
      </w:r>
      <w:r w:rsidR="00900305" w:rsidRPr="00900305">
        <w:t xml:space="preserve">alongside </w:t>
      </w:r>
      <w:r w:rsidR="00E232AD">
        <w:t>those</w:t>
      </w:r>
      <w:r w:rsidR="00E232AD" w:rsidRPr="00900305">
        <w:t xml:space="preserve"> </w:t>
      </w:r>
      <w:r w:rsidR="00900305" w:rsidRPr="00900305">
        <w:t>values</w:t>
      </w:r>
      <w:r w:rsidR="00723340">
        <w:t>.</w:t>
      </w:r>
    </w:p>
    <w:p w14:paraId="764493AC" w14:textId="032EDB25" w:rsidR="00751866" w:rsidRPr="00F3515B" w:rsidRDefault="00F340BD" w:rsidP="00B867C6">
      <w:pPr>
        <w:pStyle w:val="NEACNormal"/>
        <w:rPr>
          <w:b/>
          <w:bCs/>
        </w:rPr>
      </w:pPr>
      <w:r>
        <w:t>A wide range of views can be present when considering e</w:t>
      </w:r>
      <w:r w:rsidR="00751866" w:rsidRPr="00F3515B">
        <w:t>thical issues</w:t>
      </w:r>
      <w:r>
        <w:t>,</w:t>
      </w:r>
      <w:r w:rsidR="00751866" w:rsidRPr="00F3515B">
        <w:t xml:space="preserve"> and </w:t>
      </w:r>
      <w:r w:rsidR="00E232AD">
        <w:t xml:space="preserve">it is common to have </w:t>
      </w:r>
      <w:r w:rsidR="00751866" w:rsidRPr="00F3515B">
        <w:t xml:space="preserve">a lack of consensus </w:t>
      </w:r>
      <w:r w:rsidR="00E232AD">
        <w:t>about</w:t>
      </w:r>
      <w:r w:rsidR="00751866" w:rsidRPr="00F3515B">
        <w:t xml:space="preserve"> which values and principles are the most important on which to base a decision. This is </w:t>
      </w:r>
      <w:r>
        <w:t>another</w:t>
      </w:r>
      <w:r w:rsidRPr="00F3515B">
        <w:t xml:space="preserve"> </w:t>
      </w:r>
      <w:r w:rsidR="00751866" w:rsidRPr="00F3515B">
        <w:t xml:space="preserve">reason why </w:t>
      </w:r>
      <w:r w:rsidR="00E232AD">
        <w:t xml:space="preserve">we need to develop </w:t>
      </w:r>
      <w:r w:rsidR="00751866" w:rsidRPr="00F3515B">
        <w:t xml:space="preserve">acceptable, fair processes. </w:t>
      </w:r>
    </w:p>
    <w:p w14:paraId="493736A9" w14:textId="4B6E5A4C" w:rsidR="00D54DD4" w:rsidRPr="00F3515B" w:rsidRDefault="00D54DD4" w:rsidP="00B867C6">
      <w:pPr>
        <w:pStyle w:val="Heading3"/>
        <w:rPr>
          <w:rFonts w:eastAsiaTheme="minorHAnsi"/>
        </w:rPr>
      </w:pPr>
      <w:bookmarkStart w:id="29" w:name="_Toc42073335"/>
      <w:r w:rsidRPr="00F3515B">
        <w:rPr>
          <w:rFonts w:eastAsiaTheme="minorHAnsi"/>
        </w:rPr>
        <w:t>Establishing a decision-making group</w:t>
      </w:r>
      <w:r w:rsidR="00EE1FD3" w:rsidRPr="00F3515B">
        <w:rPr>
          <w:rStyle w:val="FootnoteReference"/>
          <w:rFonts w:ascii="Helv" w:eastAsiaTheme="minorHAnsi" w:hAnsi="Helv"/>
        </w:rPr>
        <w:footnoteReference w:id="7"/>
      </w:r>
      <w:bookmarkEnd w:id="29"/>
    </w:p>
    <w:p w14:paraId="72BC7FC2" w14:textId="50949079" w:rsidR="004F6A51" w:rsidRPr="00F3515B" w:rsidRDefault="004F6A51" w:rsidP="00B867C6">
      <w:pPr>
        <w:pStyle w:val="NEACNormal"/>
        <w:rPr>
          <w:b/>
          <w:bCs/>
        </w:rPr>
      </w:pPr>
      <w:r w:rsidRPr="00F3515B">
        <w:t>NEAC recommend</w:t>
      </w:r>
      <w:r w:rsidR="00751866" w:rsidRPr="00F3515B">
        <w:t>s</w:t>
      </w:r>
      <w:r w:rsidRPr="00F3515B">
        <w:t xml:space="preserve"> that a </w:t>
      </w:r>
      <w:r w:rsidR="00872487">
        <w:t xml:space="preserve">decision-making </w:t>
      </w:r>
      <w:r w:rsidRPr="00F3515B">
        <w:t xml:space="preserve">group </w:t>
      </w:r>
      <w:r w:rsidR="00F340BD">
        <w:t>be</w:t>
      </w:r>
      <w:r w:rsidR="00F340BD" w:rsidRPr="00F3515B">
        <w:t xml:space="preserve"> </w:t>
      </w:r>
      <w:r w:rsidRPr="00F3515B">
        <w:t xml:space="preserve">established in </w:t>
      </w:r>
      <w:r w:rsidR="0085117A">
        <w:t>appropriate</w:t>
      </w:r>
      <w:r w:rsidR="0085117A" w:rsidRPr="00F3515B">
        <w:t xml:space="preserve"> </w:t>
      </w:r>
      <w:r w:rsidR="00F340BD">
        <w:t xml:space="preserve">health services </w:t>
      </w:r>
      <w:r w:rsidRPr="00F3515B">
        <w:t>institution</w:t>
      </w:r>
      <w:r w:rsidR="0085117A">
        <w:t>s</w:t>
      </w:r>
      <w:r w:rsidRPr="00F3515B">
        <w:t xml:space="preserve"> at </w:t>
      </w:r>
      <w:r w:rsidR="0085117A">
        <w:t xml:space="preserve">both </w:t>
      </w:r>
      <w:r w:rsidRPr="00F3515B">
        <w:t xml:space="preserve">the national </w:t>
      </w:r>
      <w:r w:rsidR="0085117A">
        <w:t>and</w:t>
      </w:r>
      <w:r w:rsidR="0085117A" w:rsidRPr="00F3515B">
        <w:t xml:space="preserve"> </w:t>
      </w:r>
      <w:r w:rsidRPr="00F3515B">
        <w:t>local level</w:t>
      </w:r>
      <w:r w:rsidR="0085117A">
        <w:t>, as necessary</w:t>
      </w:r>
      <w:r w:rsidRPr="00F3515B">
        <w:t xml:space="preserve">. </w:t>
      </w:r>
      <w:r w:rsidR="0085117A" w:rsidRPr="00F3515B">
        <w:t xml:space="preserve">Each institution will </w:t>
      </w:r>
      <w:r w:rsidR="0085117A">
        <w:t>need</w:t>
      </w:r>
      <w:r w:rsidR="0085117A" w:rsidRPr="00F3515B">
        <w:t xml:space="preserve"> to consider the kind of membership</w:t>
      </w:r>
      <w:r w:rsidR="0085117A">
        <w:t xml:space="preserve"> for their decision-making group</w:t>
      </w:r>
      <w:r w:rsidR="0085117A" w:rsidRPr="00F3515B">
        <w:t xml:space="preserve"> that will work best for them. </w:t>
      </w:r>
      <w:r w:rsidR="0085117A">
        <w:t>Each</w:t>
      </w:r>
      <w:r w:rsidR="0085117A" w:rsidRPr="00F3515B">
        <w:t xml:space="preserve"> </w:t>
      </w:r>
      <w:r w:rsidRPr="00F3515B">
        <w:t xml:space="preserve">group should include </w:t>
      </w:r>
      <w:r w:rsidR="0085117A">
        <w:t xml:space="preserve">the </w:t>
      </w:r>
      <w:r w:rsidRPr="00F3515B">
        <w:t xml:space="preserve">perspectives of </w:t>
      </w:r>
      <w:r w:rsidR="0085117A">
        <w:t xml:space="preserve">their particular institution’s </w:t>
      </w:r>
      <w:r w:rsidR="00EE1FD3" w:rsidRPr="00F3515B">
        <w:t xml:space="preserve">patients, </w:t>
      </w:r>
      <w:r w:rsidR="00A273BF">
        <w:t>Māori</w:t>
      </w:r>
      <w:r w:rsidRPr="00F3515B">
        <w:t>, disabled people, clinicians, ethicists</w:t>
      </w:r>
      <w:r w:rsidR="00EE1FD3" w:rsidRPr="00F3515B">
        <w:t xml:space="preserve">, legal and any other relevant stakeholders </w:t>
      </w:r>
      <w:r w:rsidR="00F340BD">
        <w:t>who</w:t>
      </w:r>
      <w:r w:rsidR="00F340BD" w:rsidRPr="00F3515B">
        <w:t xml:space="preserve"> </w:t>
      </w:r>
      <w:r w:rsidR="00EE1FD3" w:rsidRPr="00F3515B">
        <w:t>will be impacted by the decisions</w:t>
      </w:r>
      <w:r w:rsidR="00F340BD">
        <w:t xml:space="preserve"> the group will be making</w:t>
      </w:r>
      <w:r w:rsidR="00EE1FD3" w:rsidRPr="00F3515B">
        <w:t>. The group should:</w:t>
      </w:r>
    </w:p>
    <w:p w14:paraId="55F5684A" w14:textId="6F8723C9" w:rsidR="00C3092A" w:rsidRPr="00B867C6" w:rsidRDefault="00F340BD" w:rsidP="00C510BA">
      <w:pPr>
        <w:pStyle w:val="NEACBullet"/>
      </w:pPr>
      <w:r w:rsidRPr="00B867C6">
        <w:t>f</w:t>
      </w:r>
      <w:r w:rsidR="00EE1FD3" w:rsidRPr="00B867C6">
        <w:t xml:space="preserve">requently re-evaluate their allocation criteria </w:t>
      </w:r>
      <w:r w:rsidR="00723340" w:rsidRPr="00B867C6">
        <w:t>s</w:t>
      </w:r>
      <w:r w:rsidR="00C3092A" w:rsidRPr="00B867C6">
        <w:t xml:space="preserve">ince the application of ethical frameworks should be a fluid process that moves back and forth along a continuum contingent on available resources and as </w:t>
      </w:r>
      <w:r w:rsidR="00EE1FD3" w:rsidRPr="00B867C6">
        <w:t>the</w:t>
      </w:r>
      <w:r w:rsidR="00C3092A" w:rsidRPr="00B867C6">
        <w:t xml:space="preserve"> understanding of the spread, pathophysiology, treatment and outcomes of </w:t>
      </w:r>
      <w:r w:rsidR="00D800D8" w:rsidRPr="00B867C6">
        <w:t>COVID-19</w:t>
      </w:r>
      <w:r w:rsidR="00C3092A" w:rsidRPr="00B867C6">
        <w:t xml:space="preserve"> infection evolves</w:t>
      </w:r>
    </w:p>
    <w:p w14:paraId="2ABDBEB9" w14:textId="1A9D6318" w:rsidR="00751866" w:rsidRPr="00B867C6" w:rsidRDefault="00F340BD" w:rsidP="00C510BA">
      <w:pPr>
        <w:pStyle w:val="NEACBullet"/>
      </w:pPr>
      <w:r w:rsidRPr="00B867C6">
        <w:t>d</w:t>
      </w:r>
      <w:r w:rsidR="00EE1FD3" w:rsidRPr="00B867C6">
        <w:t xml:space="preserve">etermine the best </w:t>
      </w:r>
      <w:r w:rsidRPr="00B867C6">
        <w:t>way of</w:t>
      </w:r>
      <w:r w:rsidR="00EE1FD3" w:rsidRPr="00B867C6">
        <w:t xml:space="preserve"> communicat</w:t>
      </w:r>
      <w:r w:rsidRPr="00B867C6">
        <w:t>ing</w:t>
      </w:r>
      <w:r w:rsidR="00EE1FD3" w:rsidRPr="00B867C6">
        <w:t xml:space="preserve"> clearly and consistently to appropriate personnel about when crisis level allocation or re-allocation is and is not in effect</w:t>
      </w:r>
    </w:p>
    <w:p w14:paraId="0BE2C66C" w14:textId="53FF5826" w:rsidR="00C131B0" w:rsidRPr="00B867C6" w:rsidRDefault="00F340BD" w:rsidP="00C510BA">
      <w:pPr>
        <w:pStyle w:val="NEACBullet"/>
      </w:pPr>
      <w:proofErr w:type="gramStart"/>
      <w:r w:rsidRPr="00B867C6">
        <w:t>t</w:t>
      </w:r>
      <w:r w:rsidR="00C131B0" w:rsidRPr="00B867C6">
        <w:t>ake into account</w:t>
      </w:r>
      <w:proofErr w:type="gramEnd"/>
      <w:r w:rsidR="00C131B0" w:rsidRPr="00B867C6">
        <w:t xml:space="preserve"> </w:t>
      </w:r>
      <w:proofErr w:type="spellStart"/>
      <w:r w:rsidR="00C131B0" w:rsidRPr="00B867C6">
        <w:t>Te</w:t>
      </w:r>
      <w:proofErr w:type="spellEnd"/>
      <w:r w:rsidR="00C131B0" w:rsidRPr="00B867C6">
        <w:t xml:space="preserve"> </w:t>
      </w:r>
      <w:proofErr w:type="spellStart"/>
      <w:r w:rsidR="00C131B0" w:rsidRPr="00B867C6">
        <w:t>Tiriti</w:t>
      </w:r>
      <w:proofErr w:type="spellEnd"/>
      <w:r w:rsidR="00C131B0" w:rsidRPr="00B867C6">
        <w:t xml:space="preserve"> </w:t>
      </w:r>
      <w:r w:rsidR="00900305" w:rsidRPr="00B867C6">
        <w:t xml:space="preserve">articles and </w:t>
      </w:r>
      <w:r w:rsidR="00C131B0" w:rsidRPr="00B867C6">
        <w:t>principles and their application to resource allocation</w:t>
      </w:r>
    </w:p>
    <w:p w14:paraId="62CDB457" w14:textId="05E58BAA" w:rsidR="00EE1FD3" w:rsidRPr="00B867C6" w:rsidRDefault="0085117A" w:rsidP="00C510BA">
      <w:pPr>
        <w:pStyle w:val="NEACBullet"/>
      </w:pPr>
      <w:r w:rsidRPr="00B867C6">
        <w:t>c</w:t>
      </w:r>
      <w:r w:rsidR="00EE1FD3" w:rsidRPr="00B867C6">
        <w:t>onsider plans for ensuring staff safety, maintaining clinician-to-patient ratios, training additional personnel, supporting</w:t>
      </w:r>
      <w:r w:rsidR="00A66120" w:rsidRPr="00B867C6">
        <w:t xml:space="preserve"> organisational </w:t>
      </w:r>
      <w:r w:rsidR="00EE1FD3" w:rsidRPr="00B867C6">
        <w:t>resiliency and providing support resources for staff (child care, payment, sick leave, etc.)</w:t>
      </w:r>
    </w:p>
    <w:p w14:paraId="78CE7987" w14:textId="4D062FF6" w:rsidR="00EE1FD3" w:rsidRPr="00F3515B" w:rsidRDefault="0085117A" w:rsidP="00C510BA">
      <w:pPr>
        <w:pStyle w:val="NEACBullet"/>
      </w:pPr>
      <w:r>
        <w:t>e</w:t>
      </w:r>
      <w:r w:rsidR="00EE1FD3" w:rsidRPr="00F3515B">
        <w:t xml:space="preserve">nsure appropriate communication </w:t>
      </w:r>
      <w:r>
        <w:t>with</w:t>
      </w:r>
      <w:r w:rsidRPr="00F3515B">
        <w:t xml:space="preserve"> </w:t>
      </w:r>
      <w:r w:rsidR="00EE1FD3" w:rsidRPr="00F3515B">
        <w:t xml:space="preserve">patients, the </w:t>
      </w:r>
      <w:r>
        <w:t xml:space="preserve">local </w:t>
      </w:r>
      <w:r w:rsidR="00EE1FD3" w:rsidRPr="00F3515B">
        <w:t xml:space="preserve">community and the </w:t>
      </w:r>
      <w:r>
        <w:t xml:space="preserve">broader </w:t>
      </w:r>
      <w:r w:rsidR="00EE1FD3" w:rsidRPr="00F3515B">
        <w:t>general public about plans for scarce resource allocation</w:t>
      </w:r>
    </w:p>
    <w:p w14:paraId="05C1DBB0" w14:textId="016AD79F" w:rsidR="0036181E" w:rsidRPr="00F3515B" w:rsidRDefault="0085117A" w:rsidP="00C510BA">
      <w:pPr>
        <w:pStyle w:val="NEACBullet"/>
      </w:pPr>
      <w:r>
        <w:t>m</w:t>
      </w:r>
      <w:r w:rsidR="0036181E" w:rsidRPr="00F3515B">
        <w:t xml:space="preserve">aintain communication links between local and national responses. </w:t>
      </w:r>
    </w:p>
    <w:p w14:paraId="39D142B9" w14:textId="4BBD7BEB" w:rsidR="00E84D1E" w:rsidRPr="00F3515B" w:rsidRDefault="004F6A51" w:rsidP="00B867C6">
      <w:pPr>
        <w:pStyle w:val="NEACNormal"/>
        <w:rPr>
          <w:b/>
          <w:bCs/>
        </w:rPr>
      </w:pPr>
      <w:r w:rsidRPr="00F3515B">
        <w:lastRenderedPageBreak/>
        <w:t>In the clinical context, a key aim is to separate care and advocacy for a particular</w:t>
      </w:r>
      <w:r w:rsidR="0036181E" w:rsidRPr="00F3515B">
        <w:t xml:space="preserve"> </w:t>
      </w:r>
      <w:r w:rsidRPr="00F3515B">
        <w:t xml:space="preserve">patient from the allocation decisions. This provides a level of detachment from the immediate clinical needs of each patient, better ensuring a clear and defensible </w:t>
      </w:r>
      <w:r w:rsidR="0085117A">
        <w:t xml:space="preserve">decision-making </w:t>
      </w:r>
      <w:r w:rsidRPr="00F3515B">
        <w:t>process</w:t>
      </w:r>
      <w:r w:rsidR="0085117A">
        <w:t xml:space="preserve"> around resource allocation</w:t>
      </w:r>
      <w:r w:rsidRPr="00F3515B">
        <w:t xml:space="preserve">, thereby reducing the opportunities for accusations of bias. It also has the advantage of protecting those clinicians caring directly for patients from some of the direct stress and anxiety </w:t>
      </w:r>
      <w:r w:rsidR="0085117A">
        <w:t>of being</w:t>
      </w:r>
      <w:r w:rsidRPr="00F3515B">
        <w:t xml:space="preserve"> the decision-makers about allocation.</w:t>
      </w:r>
    </w:p>
    <w:p w14:paraId="49F7468C" w14:textId="687F724B" w:rsidR="004F6A51" w:rsidRPr="00F3515B" w:rsidRDefault="004F6A51" w:rsidP="00B867C6">
      <w:pPr>
        <w:pStyle w:val="NEACNormal"/>
        <w:rPr>
          <w:b/>
          <w:bCs/>
        </w:rPr>
      </w:pPr>
      <w:r w:rsidRPr="00F3515B">
        <w:t>In the public health context, establishing a group allow</w:t>
      </w:r>
      <w:r w:rsidR="00723340">
        <w:t>s</w:t>
      </w:r>
      <w:r w:rsidR="0036181E" w:rsidRPr="00F3515B">
        <w:t xml:space="preserve"> transparency and clear communication between the </w:t>
      </w:r>
      <w:r w:rsidR="0085117A">
        <w:t>n</w:t>
      </w:r>
      <w:r w:rsidR="0036181E" w:rsidRPr="00F3515B">
        <w:t xml:space="preserve">ational and </w:t>
      </w:r>
      <w:r w:rsidR="0085117A">
        <w:t>l</w:t>
      </w:r>
      <w:r w:rsidR="0036181E" w:rsidRPr="00F3515B">
        <w:t xml:space="preserve">ocal levels. It also ensures </w:t>
      </w:r>
      <w:r w:rsidR="00C131B0" w:rsidRPr="00F3515B">
        <w:t>a clearer path to</w:t>
      </w:r>
      <w:r w:rsidR="0036181E" w:rsidRPr="00F3515B">
        <w:t xml:space="preserve"> engag</w:t>
      </w:r>
      <w:r w:rsidR="0085117A">
        <w:t>ing</w:t>
      </w:r>
      <w:r w:rsidR="00C131B0" w:rsidRPr="00F3515B">
        <w:t xml:space="preserve"> </w:t>
      </w:r>
      <w:r w:rsidR="0036181E" w:rsidRPr="00F3515B">
        <w:t xml:space="preserve">with </w:t>
      </w:r>
      <w:r w:rsidR="0085117A">
        <w:t xml:space="preserve">local </w:t>
      </w:r>
      <w:r w:rsidR="0036181E" w:rsidRPr="00F3515B">
        <w:t>communities.</w:t>
      </w:r>
    </w:p>
    <w:p w14:paraId="744DCE83" w14:textId="77777777" w:rsidR="00A77705" w:rsidRPr="00F3515B" w:rsidRDefault="00A77705" w:rsidP="00A77705">
      <w:pPr>
        <w:rPr>
          <w:rFonts w:ascii="Helv" w:hAnsi="Helv"/>
        </w:rPr>
      </w:pPr>
    </w:p>
    <w:p w14:paraId="422618D2" w14:textId="7E287609" w:rsidR="00390E56" w:rsidRDefault="00C4052A" w:rsidP="00EC1B6D">
      <w:pPr>
        <w:pStyle w:val="Heading1"/>
      </w:pPr>
      <w:bookmarkStart w:id="30" w:name="_Toc42073336"/>
      <w:r w:rsidRPr="00F3515B">
        <w:t xml:space="preserve">General </w:t>
      </w:r>
      <w:r w:rsidR="008C454A">
        <w:t>a</w:t>
      </w:r>
      <w:r w:rsidR="00A77705" w:rsidRPr="00F3515B">
        <w:t xml:space="preserve">llocation </w:t>
      </w:r>
      <w:r w:rsidR="008C454A">
        <w:t>g</w:t>
      </w:r>
      <w:r w:rsidRPr="00F3515B">
        <w:t>uidance</w:t>
      </w:r>
      <w:bookmarkEnd w:id="30"/>
    </w:p>
    <w:p w14:paraId="0FA8C4B5" w14:textId="49B8DD95" w:rsidR="00A770D0" w:rsidRPr="00A770D0" w:rsidRDefault="00A770D0" w:rsidP="00A770D0">
      <w:pPr>
        <w:pStyle w:val="Heading3"/>
      </w:pPr>
      <w:bookmarkStart w:id="31" w:name="_Toc42062683"/>
      <w:bookmarkStart w:id="32" w:name="_Toc42073337"/>
      <w:r w:rsidRPr="00A770D0">
        <w:t>Should COVID-19 patients be prioritised over patients without COVID-19 in resource allocation?</w:t>
      </w:r>
      <w:bookmarkEnd w:id="31"/>
      <w:bookmarkEnd w:id="32"/>
    </w:p>
    <w:p w14:paraId="3755C7AB" w14:textId="6DDF5C07" w:rsidR="00262191" w:rsidRDefault="00723340" w:rsidP="00B867C6">
      <w:pPr>
        <w:pStyle w:val="NEACNormal"/>
        <w:rPr>
          <w:rStyle w:val="Heading4Char"/>
          <w:rFonts w:ascii="Helv" w:hAnsi="Helv"/>
        </w:rPr>
      </w:pPr>
      <w:r>
        <w:t xml:space="preserve">NEAC </w:t>
      </w:r>
      <w:r w:rsidR="00FD437D">
        <w:t xml:space="preserve">agrees with </w:t>
      </w:r>
      <w:r w:rsidR="00FD437D" w:rsidRPr="00640FEF">
        <w:rPr>
          <w:i/>
          <w:szCs w:val="18"/>
        </w:rPr>
        <w:t>Sydney Health Ethics: An Ethics Framework for Making Resource Allocation Decisions within Clinical Care: Responding to COVID-19</w:t>
      </w:r>
      <w:r w:rsidR="00FD437D" w:rsidRPr="00640FEF">
        <w:t xml:space="preserve"> </w:t>
      </w:r>
      <w:r w:rsidR="00FD437D">
        <w:t xml:space="preserve">that </w:t>
      </w:r>
      <w:r>
        <w:t>t</w:t>
      </w:r>
      <w:r w:rsidR="00A03641" w:rsidRPr="00F3515B">
        <w:t xml:space="preserve">here are no </w:t>
      </w:r>
      <w:r>
        <w:t>ethically defensible</w:t>
      </w:r>
      <w:r w:rsidR="00A03641" w:rsidRPr="00F3515B">
        <w:t xml:space="preserve"> grounds to prioritise </w:t>
      </w:r>
      <w:r w:rsidR="00A03641" w:rsidRPr="00F3515B">
        <w:t>a</w:t>
      </w:r>
      <w:r w:rsidR="0085117A">
        <w:t>n infected</w:t>
      </w:r>
      <w:r w:rsidR="00A03641" w:rsidRPr="00F3515B">
        <w:t xml:space="preserve"> patient over </w:t>
      </w:r>
      <w:r w:rsidR="0085117A">
        <w:t>any patient who is not infected</w:t>
      </w:r>
      <w:r w:rsidR="00FD437D">
        <w:t xml:space="preserve"> (University of Sydney 2020).</w:t>
      </w:r>
    </w:p>
    <w:p w14:paraId="27F18D91" w14:textId="56ACD12F" w:rsidR="00A770D0" w:rsidRPr="00A770D0" w:rsidRDefault="00A770D0" w:rsidP="00A770D0">
      <w:pPr>
        <w:pStyle w:val="Heading3"/>
      </w:pPr>
      <w:bookmarkStart w:id="33" w:name="_Toc42062684"/>
      <w:bookmarkStart w:id="34" w:name="_Toc42073338"/>
      <w:r w:rsidRPr="00A770D0">
        <w:t>How will resource allocation impact electives and routine health care?</w:t>
      </w:r>
      <w:bookmarkEnd w:id="33"/>
      <w:bookmarkEnd w:id="34"/>
    </w:p>
    <w:p w14:paraId="2721427A" w14:textId="5F3D8D24" w:rsidR="001546C4" w:rsidRDefault="001546C4" w:rsidP="00B867C6">
      <w:pPr>
        <w:pStyle w:val="NEACNormal"/>
      </w:pPr>
      <w:r>
        <w:t>If</w:t>
      </w:r>
      <w:r w:rsidRPr="00F3515B">
        <w:t xml:space="preserve"> resources</w:t>
      </w:r>
      <w:r w:rsidR="00FD437D">
        <w:t xml:space="preserve">, such as clinical expertise, </w:t>
      </w:r>
      <w:r w:rsidRPr="00F3515B">
        <w:t xml:space="preserve">become scarce, </w:t>
      </w:r>
      <w:r>
        <w:t>it may be necessary to</w:t>
      </w:r>
      <w:r w:rsidRPr="00F3515B">
        <w:t xml:space="preserve"> prioritise responding to the pandemic over non</w:t>
      </w:r>
      <w:r w:rsidR="00FD437D">
        <w:t>-</w:t>
      </w:r>
      <w:r w:rsidRPr="00F3515B">
        <w:t xml:space="preserve">essential interventions </w:t>
      </w:r>
      <w:r w:rsidR="005C6316">
        <w:t xml:space="preserve">(elective surgeries, cancer screening) </w:t>
      </w:r>
      <w:r w:rsidRPr="00F3515B">
        <w:t>that can be postponed</w:t>
      </w:r>
      <w:r w:rsidR="005C6316">
        <w:t xml:space="preserve">. </w:t>
      </w:r>
      <w:r w:rsidR="003C3AF9">
        <w:t xml:space="preserve">However, such a </w:t>
      </w:r>
      <w:r>
        <w:t xml:space="preserve">decision </w:t>
      </w:r>
      <w:r w:rsidR="003C3AF9">
        <w:t xml:space="preserve">could have </w:t>
      </w:r>
      <w:r w:rsidR="005C6316">
        <w:t xml:space="preserve">significant health impacts for individuals and should not be taken lightly. The decision </w:t>
      </w:r>
      <w:r>
        <w:t xml:space="preserve">is grounded in two interrelated justifications. The first is to reduce </w:t>
      </w:r>
      <w:r w:rsidR="001C7097">
        <w:t xml:space="preserve">the </w:t>
      </w:r>
      <w:r>
        <w:t xml:space="preserve">spread of COVID-19. </w:t>
      </w:r>
      <w:r w:rsidRPr="001546C4">
        <w:t>The second is to prepare for a potential swell of COVID-19 patients</w:t>
      </w:r>
      <w:r w:rsidR="005C6316">
        <w:t xml:space="preserve">. </w:t>
      </w:r>
    </w:p>
    <w:p w14:paraId="029BD1BE" w14:textId="20834277" w:rsidR="00D816CD" w:rsidRDefault="00D816CD" w:rsidP="00B867C6">
      <w:pPr>
        <w:pStyle w:val="NEACNormal"/>
      </w:pPr>
      <w:r>
        <w:t>Postponing non</w:t>
      </w:r>
      <w:r w:rsidR="003C3AF9">
        <w:t>-</w:t>
      </w:r>
      <w:r>
        <w:t>essential interventions necessarily involves a trade</w:t>
      </w:r>
      <w:r w:rsidR="003C3AF9">
        <w:t>-</w:t>
      </w:r>
      <w:r>
        <w:t xml:space="preserve">off between the harm caused </w:t>
      </w:r>
      <w:r w:rsidR="003C3AF9">
        <w:t xml:space="preserve">by </w:t>
      </w:r>
      <w:r>
        <w:t>postponing routine care and the potential harm of health systems being overwhelmed.</w:t>
      </w:r>
      <w:r w:rsidRPr="00D816CD">
        <w:t xml:space="preserve"> </w:t>
      </w:r>
      <w:r w:rsidRPr="00F3515B">
        <w:t>Decisions relating to postponing non</w:t>
      </w:r>
      <w:r w:rsidR="003C3AF9">
        <w:t>-</w:t>
      </w:r>
      <w:r w:rsidRPr="00F3515B">
        <w:t xml:space="preserve">essential interventions, </w:t>
      </w:r>
      <w:r w:rsidR="003C3AF9">
        <w:t>need to be</w:t>
      </w:r>
      <w:r w:rsidRPr="00F3515B">
        <w:t xml:space="preserve"> continually reassessed.</w:t>
      </w:r>
      <w:r>
        <w:t xml:space="preserve"> </w:t>
      </w:r>
      <w:r w:rsidRPr="005C6316">
        <w:t>National instructions to prohibit non</w:t>
      </w:r>
      <w:r w:rsidR="003C3AF9">
        <w:t>-</w:t>
      </w:r>
      <w:r w:rsidRPr="005C6316">
        <w:t xml:space="preserve">essential services may cause harm if they are applied to organisations in regions that do not have a high risk of COVID. </w:t>
      </w:r>
      <w:r w:rsidR="003C3AF9">
        <w:t>The decision-making group</w:t>
      </w:r>
      <w:r w:rsidR="003C3AF9" w:rsidRPr="005C6316">
        <w:t xml:space="preserve"> </w:t>
      </w:r>
      <w:r w:rsidR="003C3AF9">
        <w:t>needs to</w:t>
      </w:r>
      <w:r w:rsidR="003C3AF9" w:rsidRPr="005C6316">
        <w:t xml:space="preserve"> </w:t>
      </w:r>
      <w:r w:rsidRPr="005C6316">
        <w:t xml:space="preserve">make </w:t>
      </w:r>
      <w:r w:rsidR="003C3AF9">
        <w:t xml:space="preserve">its </w:t>
      </w:r>
      <w:r w:rsidRPr="005C6316">
        <w:t>decisions based on local and or regional data</w:t>
      </w:r>
      <w:r w:rsidR="00262191">
        <w:t>.</w:t>
      </w:r>
    </w:p>
    <w:p w14:paraId="411A7290" w14:textId="15AC3919" w:rsidR="001546C4" w:rsidRPr="0020061B" w:rsidRDefault="003C3AF9" w:rsidP="00B867C6">
      <w:pPr>
        <w:pStyle w:val="NEACNormal"/>
        <w:rPr>
          <w:rStyle w:val="Heading4Char"/>
          <w:rFonts w:ascii="Helv" w:hAnsi="Helv" w:cs="Times New Roman"/>
          <w:color w:val="595959"/>
        </w:rPr>
      </w:pPr>
      <w:r>
        <w:t>The group also needs</w:t>
      </w:r>
      <w:r w:rsidR="00900305" w:rsidRPr="00900305">
        <w:t xml:space="preserve"> to </w:t>
      </w:r>
      <w:proofErr w:type="gramStart"/>
      <w:r>
        <w:t>give</w:t>
      </w:r>
      <w:r w:rsidRPr="00900305">
        <w:t xml:space="preserve"> </w:t>
      </w:r>
      <w:r w:rsidR="00900305" w:rsidRPr="00900305">
        <w:t>explicit consideration to</w:t>
      </w:r>
      <w:proofErr w:type="gramEnd"/>
      <w:r w:rsidR="00900305" w:rsidRPr="00900305">
        <w:t xml:space="preserve"> the implications of </w:t>
      </w:r>
      <w:r>
        <w:t>t</w:t>
      </w:r>
      <w:r w:rsidR="00900305" w:rsidRPr="00900305">
        <w:t xml:space="preserve">ikanga and </w:t>
      </w:r>
      <w:proofErr w:type="spellStart"/>
      <w:r w:rsidR="00900305" w:rsidRPr="00900305">
        <w:t>m</w:t>
      </w:r>
      <w:r>
        <w:t>ā</w:t>
      </w:r>
      <w:r w:rsidR="00900305" w:rsidRPr="00900305">
        <w:t>tauranga</w:t>
      </w:r>
      <w:proofErr w:type="spellEnd"/>
      <w:r w:rsidR="00900305" w:rsidRPr="00900305">
        <w:t xml:space="preserve"> Māori</w:t>
      </w:r>
      <w:r w:rsidR="00204B30">
        <w:t>, including involving tikanga experts in the</w:t>
      </w:r>
      <w:r w:rsidR="00900305" w:rsidRPr="00900305">
        <w:t xml:space="preserve"> </w:t>
      </w:r>
      <w:r w:rsidR="00204B30" w:rsidRPr="00900305">
        <w:lastRenderedPageBreak/>
        <w:t>discussion</w:t>
      </w:r>
      <w:r w:rsidR="00204B30">
        <w:t>,</w:t>
      </w:r>
      <w:r w:rsidR="00204B30" w:rsidRPr="00900305">
        <w:t xml:space="preserve"> </w:t>
      </w:r>
      <w:r w:rsidR="00900305" w:rsidRPr="00900305">
        <w:t>when making decisions about standards of care in times of crisis</w:t>
      </w:r>
      <w:r w:rsidR="001C7097">
        <w:t>.</w:t>
      </w:r>
    </w:p>
    <w:p w14:paraId="79EDFC47" w14:textId="11686AE2" w:rsidR="00A770D0" w:rsidRPr="00A770D0" w:rsidRDefault="00A770D0" w:rsidP="00A770D0">
      <w:pPr>
        <w:pStyle w:val="Heading3"/>
      </w:pPr>
      <w:bookmarkStart w:id="35" w:name="_Toc42062685"/>
      <w:bookmarkStart w:id="36" w:name="_Toc42073339"/>
      <w:r w:rsidRPr="00A770D0">
        <w:t>Should the standard of care for patients change in an epidemic?</w:t>
      </w:r>
      <w:bookmarkEnd w:id="35"/>
      <w:bookmarkEnd w:id="36"/>
    </w:p>
    <w:p w14:paraId="21B96900" w14:textId="77524180" w:rsidR="00EF5C84" w:rsidRDefault="00093D8B" w:rsidP="00B867C6">
      <w:pPr>
        <w:pStyle w:val="NEACNormal"/>
      </w:pPr>
      <w:r w:rsidRPr="00F3515B">
        <w:t xml:space="preserve">Patients should receive the best available care during a pandemic. However, the range of options for what is ‘best’ </w:t>
      </w:r>
      <w:r w:rsidR="00204B30">
        <w:t>could well</w:t>
      </w:r>
      <w:r w:rsidR="00204B30" w:rsidRPr="00F3515B">
        <w:t xml:space="preserve"> </w:t>
      </w:r>
      <w:r w:rsidRPr="00F3515B">
        <w:t xml:space="preserve">change as a result of the constraints imposed by </w:t>
      </w:r>
      <w:r w:rsidR="00204B30">
        <w:t>a</w:t>
      </w:r>
      <w:r w:rsidR="00204B30" w:rsidRPr="00F3515B">
        <w:t xml:space="preserve"> </w:t>
      </w:r>
      <w:r w:rsidRPr="00F3515B">
        <w:t xml:space="preserve">pandemic. For example, patients may not be allowed to have visitors (especially when PPE is scarce). This </w:t>
      </w:r>
      <w:r w:rsidR="00204B30">
        <w:t>will be</w:t>
      </w:r>
      <w:r w:rsidR="00204B30" w:rsidRPr="00F3515B">
        <w:t xml:space="preserve"> </w:t>
      </w:r>
      <w:r w:rsidRPr="00F3515B">
        <w:t xml:space="preserve">necessary to protect staff and other patients and reduce the risk of transmission from and to visitors. </w:t>
      </w:r>
    </w:p>
    <w:p w14:paraId="0D2EB116" w14:textId="0CECAEDD" w:rsidR="004F6A51" w:rsidRDefault="00093D8B" w:rsidP="00B867C6">
      <w:pPr>
        <w:pStyle w:val="NEACNormal"/>
      </w:pPr>
      <w:r w:rsidRPr="00F3515B">
        <w:t>This could mean that some patients become seriously ill and die without the usual support of relatives and friends. This will inevitably cause distress to all parties. Access to other modes of communication</w:t>
      </w:r>
      <w:r w:rsidR="00204B30">
        <w:t>,</w:t>
      </w:r>
      <w:r w:rsidRPr="00F3515B">
        <w:t xml:space="preserve"> such as phone and video calls</w:t>
      </w:r>
      <w:r w:rsidR="00204B30">
        <w:t>,</w:t>
      </w:r>
      <w:r w:rsidRPr="00F3515B">
        <w:t xml:space="preserve"> should be provided where possible. It is important </w:t>
      </w:r>
      <w:r w:rsidR="00D818AF">
        <w:t>that</w:t>
      </w:r>
      <w:r w:rsidR="00D818AF" w:rsidRPr="00F3515B">
        <w:t xml:space="preserve"> </w:t>
      </w:r>
      <w:r w:rsidR="00204B30">
        <w:t>all</w:t>
      </w:r>
      <w:r w:rsidRPr="00F3515B">
        <w:t xml:space="preserve"> organisations inform the public about </w:t>
      </w:r>
      <w:r w:rsidR="00204B30">
        <w:t xml:space="preserve">any </w:t>
      </w:r>
      <w:r w:rsidRPr="00F3515B">
        <w:t>changes to standards of car</w:t>
      </w:r>
      <w:r w:rsidR="00D818AF">
        <w:t>e before such changes are introduced (University of Sydney 2020).</w:t>
      </w:r>
    </w:p>
    <w:p w14:paraId="0150C802" w14:textId="6058763A" w:rsidR="00673D52" w:rsidRPr="00262191" w:rsidRDefault="00673D52" w:rsidP="00B867C6">
      <w:pPr>
        <w:pStyle w:val="NEACNormal"/>
        <w:rPr>
          <w:rStyle w:val="FootnoteReference"/>
        </w:rPr>
      </w:pPr>
      <w:r w:rsidRPr="00F3515B">
        <w:t xml:space="preserve">Where patients </w:t>
      </w:r>
      <w:r w:rsidR="00204B30">
        <w:t xml:space="preserve">who are not infected </w:t>
      </w:r>
      <w:r w:rsidRPr="00F3515B">
        <w:t xml:space="preserve">are discharged earlier </w:t>
      </w:r>
      <w:r w:rsidR="00204B30">
        <w:t xml:space="preserve">because of the </w:t>
      </w:r>
      <w:r w:rsidR="00D818AF">
        <w:t>concerns</w:t>
      </w:r>
      <w:r w:rsidR="00204B30">
        <w:t xml:space="preserve"> of a</w:t>
      </w:r>
      <w:r w:rsidRPr="00F3515B">
        <w:t xml:space="preserve"> pandemic, </w:t>
      </w:r>
      <w:r w:rsidR="00204B30">
        <w:t>those patients</w:t>
      </w:r>
      <w:r w:rsidR="00204B30" w:rsidRPr="00F3515B">
        <w:t xml:space="preserve"> </w:t>
      </w:r>
      <w:r w:rsidRPr="00F3515B">
        <w:t>should receive more extensive continuing care at home to ensure they are not disadvantaged</w:t>
      </w:r>
      <w:r w:rsidR="00D818AF">
        <w:rPr>
          <w:rStyle w:val="FootnoteReference"/>
        </w:rPr>
        <w:t xml:space="preserve"> </w:t>
      </w:r>
      <w:r w:rsidR="00D818AF">
        <w:t>(University of Sydney 2020).</w:t>
      </w:r>
      <w:r w:rsidR="0038480E">
        <w:t xml:space="preserve"> This could be achieved through increased telehealth </w:t>
      </w:r>
      <w:proofErr w:type="gramStart"/>
      <w:r w:rsidR="0038480E">
        <w:t>services, and</w:t>
      </w:r>
      <w:proofErr w:type="gramEnd"/>
      <w:r w:rsidR="0038480E">
        <w:t xml:space="preserve"> should only occur when clinically appropriate.</w:t>
      </w:r>
    </w:p>
    <w:p w14:paraId="253CA949" w14:textId="08EB568A" w:rsidR="00A770D0" w:rsidRPr="00A770D0" w:rsidRDefault="00A770D0" w:rsidP="00A770D0">
      <w:pPr>
        <w:pStyle w:val="Heading3"/>
      </w:pPr>
      <w:bookmarkStart w:id="37" w:name="_Toc42062686"/>
      <w:bookmarkStart w:id="38" w:name="_Toc42073340"/>
      <w:r w:rsidRPr="00A770D0">
        <w:t>How will data be collected and shared?</w:t>
      </w:r>
      <w:bookmarkEnd w:id="37"/>
      <w:bookmarkEnd w:id="38"/>
    </w:p>
    <w:p w14:paraId="16A70D35" w14:textId="41FA4575" w:rsidR="000D13BD" w:rsidRPr="00F3515B" w:rsidRDefault="00642B53" w:rsidP="00B867C6">
      <w:pPr>
        <w:pStyle w:val="NEACNormal"/>
      </w:pPr>
      <w:r w:rsidRPr="00F3515B">
        <w:t xml:space="preserve">Data sharing between different institutions is </w:t>
      </w:r>
      <w:r w:rsidR="00D818AF">
        <w:t>critical in</w:t>
      </w:r>
      <w:r w:rsidR="00D818AF" w:rsidRPr="00F3515B">
        <w:t xml:space="preserve"> </w:t>
      </w:r>
      <w:r w:rsidR="00D818AF">
        <w:t xml:space="preserve">effective </w:t>
      </w:r>
      <w:r w:rsidRPr="00F3515B">
        <w:t>resource allocation</w:t>
      </w:r>
      <w:r w:rsidR="00D818AF">
        <w:t>. F</w:t>
      </w:r>
      <w:r w:rsidRPr="00F3515B">
        <w:t>or example</w:t>
      </w:r>
      <w:r w:rsidR="00D818AF">
        <w:t>,</w:t>
      </w:r>
      <w:r w:rsidRPr="00F3515B">
        <w:t xml:space="preserve"> there may be opportunities for </w:t>
      </w:r>
      <w:r w:rsidR="00D818AF">
        <w:t>district health boards (</w:t>
      </w:r>
      <w:r w:rsidRPr="00F3515B">
        <w:t>DHBs</w:t>
      </w:r>
      <w:r w:rsidR="00D818AF">
        <w:t>)</w:t>
      </w:r>
      <w:r w:rsidRPr="00F3515B">
        <w:t xml:space="preserve"> to share resources</w:t>
      </w:r>
      <w:r w:rsidR="00D818AF">
        <w:t>,</w:t>
      </w:r>
      <w:r w:rsidRPr="00F3515B">
        <w:t xml:space="preserve"> depending on </w:t>
      </w:r>
      <w:r w:rsidR="00D818AF">
        <w:t xml:space="preserve">the </w:t>
      </w:r>
      <w:r w:rsidRPr="00F3515B">
        <w:t xml:space="preserve">extent of impact of </w:t>
      </w:r>
      <w:r w:rsidR="00764EDA">
        <w:t>COVID-19</w:t>
      </w:r>
      <w:r w:rsidRPr="00F3515B">
        <w:t xml:space="preserve"> in each region. </w:t>
      </w:r>
      <w:r w:rsidR="00D818AF">
        <w:t>It will be important to ensure that adequate care standards are in place to p</w:t>
      </w:r>
      <w:r w:rsidR="000D13BD" w:rsidRPr="00F3515B">
        <w:t xml:space="preserve">rotect privacy and </w:t>
      </w:r>
      <w:r w:rsidR="00D818AF">
        <w:t xml:space="preserve">maintain </w:t>
      </w:r>
      <w:r w:rsidR="000D13BD" w:rsidRPr="00F3515B">
        <w:t>confidential communications</w:t>
      </w:r>
      <w:r w:rsidR="00D818AF">
        <w:t xml:space="preserve"> – c</w:t>
      </w:r>
      <w:r w:rsidR="000D13BD" w:rsidRPr="00F3515B">
        <w:t xml:space="preserve">risis standards of care do not weaken </w:t>
      </w:r>
      <w:r w:rsidR="00D818AF">
        <w:t xml:space="preserve">the </w:t>
      </w:r>
      <w:r w:rsidR="000D13BD" w:rsidRPr="00F3515B">
        <w:t>fundamental obligation to protect the privacy and confidentiality of patients.</w:t>
      </w:r>
      <w:r w:rsidR="00AD233F" w:rsidRPr="00F3515B">
        <w:t xml:space="preserve"> </w:t>
      </w:r>
    </w:p>
    <w:p w14:paraId="4821E4FD" w14:textId="79505E4A" w:rsidR="00F80357" w:rsidRPr="00F3515B" w:rsidRDefault="00751866" w:rsidP="00B867C6">
      <w:pPr>
        <w:pStyle w:val="NEACNormal"/>
      </w:pPr>
      <w:r w:rsidRPr="00F3515B">
        <w:t xml:space="preserve">Collecting high-quality ethnicity and disability data for monitoring is fundamentally important. Data collection and sharing enables the response measures and allocation decisions to be monitored and tailored to </w:t>
      </w:r>
      <w:r w:rsidR="00D818AF">
        <w:t xml:space="preserve">respond promptly and effectively </w:t>
      </w:r>
      <w:r w:rsidRPr="00F3515B">
        <w:t xml:space="preserve">to evidence </w:t>
      </w:r>
      <w:r w:rsidR="008E3E79" w:rsidRPr="00F3515B">
        <w:t>of inequitable</w:t>
      </w:r>
      <w:r w:rsidRPr="00F3515B">
        <w:t xml:space="preserve"> impacts and outcomes. </w:t>
      </w:r>
    </w:p>
    <w:p w14:paraId="09AB7A1B" w14:textId="1A396324" w:rsidR="00A770D0" w:rsidRPr="00A770D0" w:rsidRDefault="00A770D0" w:rsidP="00A770D0">
      <w:pPr>
        <w:pStyle w:val="Heading3"/>
      </w:pPr>
      <w:bookmarkStart w:id="39" w:name="_Toc42062687"/>
      <w:bookmarkStart w:id="40" w:name="_Toc42073341"/>
      <w:r w:rsidRPr="00A770D0">
        <w:t>What are organisations’ obligations?</w:t>
      </w:r>
      <w:bookmarkEnd w:id="39"/>
      <w:bookmarkEnd w:id="40"/>
    </w:p>
    <w:p w14:paraId="494A1742" w14:textId="1614EB62" w:rsidR="00C63699" w:rsidRPr="00872487" w:rsidRDefault="00872487" w:rsidP="00B867C6">
      <w:pPr>
        <w:pStyle w:val="NEACNormal"/>
        <w:rPr>
          <w:bCs/>
        </w:rPr>
      </w:pPr>
      <w:r w:rsidRPr="00872487">
        <w:t>Organisations</w:t>
      </w:r>
      <w:r w:rsidR="00AA3E5D" w:rsidRPr="00872487">
        <w:t xml:space="preserve"> must share information, adjust protocols, and balance resources and patient loads across the</w:t>
      </w:r>
      <w:r w:rsidR="00D818AF">
        <w:t>ir</w:t>
      </w:r>
      <w:r w:rsidR="00AA3E5D" w:rsidRPr="00872487">
        <w:t xml:space="preserve"> immediate surrounding region to ensure as consistent a standard of care </w:t>
      </w:r>
      <w:r w:rsidR="00D818AF">
        <w:t xml:space="preserve">is maintained </w:t>
      </w:r>
      <w:r w:rsidR="00AA3E5D" w:rsidRPr="00872487">
        <w:t>as possible.</w:t>
      </w:r>
      <w:r w:rsidRPr="00872487">
        <w:t xml:space="preserve"> </w:t>
      </w:r>
      <w:r w:rsidR="00AA3E5D" w:rsidRPr="00872487">
        <w:t>Public health decisions should be transparent.</w:t>
      </w:r>
    </w:p>
    <w:p w14:paraId="1A7DBE0A" w14:textId="6271F829" w:rsidR="00C63699" w:rsidRPr="00F3515B" w:rsidRDefault="00C63699" w:rsidP="004F6A51">
      <w:pPr>
        <w:rPr>
          <w:rStyle w:val="Heading4Char"/>
          <w:rFonts w:ascii="Helv" w:hAnsi="Helv"/>
        </w:rPr>
        <w:sectPr w:rsidR="00C63699" w:rsidRPr="00F3515B" w:rsidSect="008B3255">
          <w:pgSz w:w="16838" w:h="11906" w:orient="landscape"/>
          <w:pgMar w:top="1814" w:right="2041" w:bottom="1588" w:left="1361" w:header="709" w:footer="709" w:gutter="0"/>
          <w:cols w:num="2" w:space="708"/>
          <w:docGrid w:linePitch="360"/>
        </w:sectPr>
      </w:pPr>
    </w:p>
    <w:p w14:paraId="3260B0DF" w14:textId="0725A5B4" w:rsidR="003A33B5" w:rsidRPr="00F3515B" w:rsidRDefault="00212004" w:rsidP="00640FEF">
      <w:pPr>
        <w:pStyle w:val="Heading1"/>
      </w:pPr>
      <w:bookmarkStart w:id="41" w:name="_Toc42062688"/>
      <w:bookmarkStart w:id="42" w:name="_Toc42073342"/>
      <w:r w:rsidRPr="00F3515B">
        <w:lastRenderedPageBreak/>
        <w:t>Example</w:t>
      </w:r>
      <w:r w:rsidR="008C454A">
        <w:t xml:space="preserve"> 1</w:t>
      </w:r>
      <w:r w:rsidRPr="00F3515B">
        <w:t>:</w:t>
      </w:r>
      <w:r w:rsidR="00FB086A" w:rsidRPr="00F3515B">
        <w:t xml:space="preserve"> </w:t>
      </w:r>
      <w:r w:rsidR="008C454A">
        <w:t>Intensive care unit</w:t>
      </w:r>
      <w:r w:rsidR="008C454A" w:rsidRPr="00F3515B">
        <w:t xml:space="preserve"> </w:t>
      </w:r>
      <w:r w:rsidR="008C454A">
        <w:t>a</w:t>
      </w:r>
      <w:r w:rsidRPr="00F3515B">
        <w:t>llocation</w:t>
      </w:r>
      <w:bookmarkEnd w:id="41"/>
      <w:bookmarkEnd w:id="42"/>
    </w:p>
    <w:p w14:paraId="01E5EEE8" w14:textId="2DB5956E" w:rsidR="002D2D17" w:rsidRPr="00F3515B" w:rsidRDefault="002D2D17" w:rsidP="00B867C6">
      <w:pPr>
        <w:pStyle w:val="Heading2"/>
        <w:rPr>
          <w:shd w:val="clear" w:color="auto" w:fill="FFFFFF"/>
        </w:rPr>
      </w:pPr>
      <w:bookmarkStart w:id="43" w:name="_Toc42062689"/>
      <w:bookmarkStart w:id="44" w:name="_Toc42073343"/>
      <w:r w:rsidRPr="00F3515B">
        <w:rPr>
          <w:shd w:val="clear" w:color="auto" w:fill="FFFFFF"/>
        </w:rPr>
        <w:t>Introduction</w:t>
      </w:r>
      <w:bookmarkEnd w:id="43"/>
      <w:bookmarkEnd w:id="44"/>
    </w:p>
    <w:p w14:paraId="76DF3A1D" w14:textId="7D126192" w:rsidR="009C3F19" w:rsidRPr="00F3515B" w:rsidRDefault="0020061B" w:rsidP="00B867C6">
      <w:pPr>
        <w:pStyle w:val="NEACNormal"/>
        <w:rPr>
          <w:shd w:val="clear" w:color="auto" w:fill="FFFFFF"/>
        </w:rPr>
      </w:pPr>
      <w:r>
        <w:rPr>
          <w:shd w:val="clear" w:color="auto" w:fill="FFFFFF"/>
        </w:rPr>
        <w:t>In order to show fairness and sustain public trust, we need to implement t</w:t>
      </w:r>
      <w:r w:rsidRPr="00F3515B">
        <w:rPr>
          <w:shd w:val="clear" w:color="auto" w:fill="FFFFFF"/>
        </w:rPr>
        <w:t xml:space="preserve">riage </w:t>
      </w:r>
      <w:r w:rsidR="009C3F19" w:rsidRPr="00F3515B">
        <w:rPr>
          <w:shd w:val="clear" w:color="auto" w:fill="FFFFFF"/>
        </w:rPr>
        <w:t xml:space="preserve">guidelines consistently throughout New Zealand. Solidarity requires that resource allocation reflect our common interest in addressing </w:t>
      </w:r>
      <w:r w:rsidR="00640FEF">
        <w:rPr>
          <w:shd w:val="clear" w:color="auto" w:fill="FFFFFF"/>
        </w:rPr>
        <w:t>any</w:t>
      </w:r>
      <w:r w:rsidR="009C3F19" w:rsidRPr="00F3515B">
        <w:rPr>
          <w:shd w:val="clear" w:color="auto" w:fill="FFFFFF"/>
        </w:rPr>
        <w:t xml:space="preserve"> pandemic; collaborative regional cooperation may require the reallocation of resources between health services based on differential need. Clear and consistent triage guidelines and triage committees can reduce the moral injury and distress </w:t>
      </w:r>
      <w:r w:rsidRPr="00F3515B">
        <w:rPr>
          <w:shd w:val="clear" w:color="auto" w:fill="FFFFFF"/>
        </w:rPr>
        <w:t xml:space="preserve">frontline health workers </w:t>
      </w:r>
      <w:r>
        <w:rPr>
          <w:shd w:val="clear" w:color="auto" w:fill="FFFFFF"/>
        </w:rPr>
        <w:t xml:space="preserve">can </w:t>
      </w:r>
      <w:r w:rsidR="009C3F19" w:rsidRPr="00F3515B">
        <w:rPr>
          <w:shd w:val="clear" w:color="auto" w:fill="FFFFFF"/>
        </w:rPr>
        <w:t>experienc</w:t>
      </w:r>
      <w:r>
        <w:rPr>
          <w:shd w:val="clear" w:color="auto" w:fill="FFFFFF"/>
        </w:rPr>
        <w:t>e</w:t>
      </w:r>
      <w:r w:rsidR="009C3F19" w:rsidRPr="00F3515B">
        <w:rPr>
          <w:shd w:val="clear" w:color="auto" w:fill="FFFFFF"/>
        </w:rPr>
        <w:t xml:space="preserve"> during </w:t>
      </w:r>
      <w:r>
        <w:rPr>
          <w:shd w:val="clear" w:color="auto" w:fill="FFFFFF"/>
        </w:rPr>
        <w:t>a</w:t>
      </w:r>
      <w:r w:rsidRPr="00F3515B">
        <w:rPr>
          <w:shd w:val="clear" w:color="auto" w:fill="FFFFFF"/>
        </w:rPr>
        <w:t xml:space="preserve"> </w:t>
      </w:r>
      <w:r w:rsidR="007F2525" w:rsidRPr="00F3515B">
        <w:rPr>
          <w:shd w:val="clear" w:color="auto" w:fill="FFFFFF"/>
        </w:rPr>
        <w:t>pandemic.</w:t>
      </w:r>
      <w:r w:rsidR="009C3F19" w:rsidRPr="00F3515B">
        <w:rPr>
          <w:shd w:val="clear" w:color="auto" w:fill="FFFFFF"/>
        </w:rPr>
        <w:t xml:space="preserve"> </w:t>
      </w:r>
    </w:p>
    <w:p w14:paraId="22F1689E" w14:textId="77D33281" w:rsidR="0020061B" w:rsidRDefault="00751866" w:rsidP="00B867C6">
      <w:pPr>
        <w:pStyle w:val="NEACNormal"/>
        <w:rPr>
          <w:shd w:val="clear" w:color="auto" w:fill="FFFFFF"/>
        </w:rPr>
      </w:pPr>
      <w:r w:rsidRPr="00F3515B">
        <w:rPr>
          <w:shd w:val="clear" w:color="auto" w:fill="FFFFFF"/>
        </w:rPr>
        <w:t xml:space="preserve">Current </w:t>
      </w:r>
      <w:r w:rsidR="00483819">
        <w:rPr>
          <w:shd w:val="clear" w:color="auto" w:fill="FFFFFF"/>
        </w:rPr>
        <w:t>approaches</w:t>
      </w:r>
      <w:r w:rsidR="00483819" w:rsidRPr="00F3515B">
        <w:rPr>
          <w:shd w:val="clear" w:color="auto" w:fill="FFFFFF"/>
        </w:rPr>
        <w:t xml:space="preserve"> </w:t>
      </w:r>
      <w:r w:rsidRPr="00F3515B">
        <w:rPr>
          <w:shd w:val="clear" w:color="auto" w:fill="FFFFFF"/>
        </w:rPr>
        <w:t>of guidelines for access to ventilators and ICU beds</w:t>
      </w:r>
      <w:r w:rsidR="009C3F19" w:rsidRPr="00F3515B">
        <w:rPr>
          <w:shd w:val="clear" w:color="auto" w:fill="FFFFFF"/>
        </w:rPr>
        <w:t xml:space="preserve"> </w:t>
      </w:r>
      <w:r w:rsidRPr="00F3515B">
        <w:rPr>
          <w:shd w:val="clear" w:color="auto" w:fill="FFFFFF"/>
        </w:rPr>
        <w:t>use comorbid conditions, future life expectancy and health and public safety workers</w:t>
      </w:r>
      <w:r w:rsidR="0020061B">
        <w:rPr>
          <w:shd w:val="clear" w:color="auto" w:fill="FFFFFF"/>
        </w:rPr>
        <w:t>’</w:t>
      </w:r>
      <w:r w:rsidRPr="00F3515B">
        <w:rPr>
          <w:shd w:val="clear" w:color="auto" w:fill="FFFFFF"/>
        </w:rPr>
        <w:t xml:space="preserve"> </w:t>
      </w:r>
      <w:r w:rsidR="0020061B" w:rsidRPr="00F3515B">
        <w:rPr>
          <w:shd w:val="clear" w:color="auto" w:fill="FFFFFF"/>
        </w:rPr>
        <w:t xml:space="preserve">status </w:t>
      </w:r>
      <w:r w:rsidRPr="00F3515B">
        <w:rPr>
          <w:shd w:val="clear" w:color="auto" w:fill="FFFFFF"/>
        </w:rPr>
        <w:t xml:space="preserve">as the key determinants for prioritisation </w:t>
      </w:r>
      <w:r w:rsidR="0020061B">
        <w:rPr>
          <w:shd w:val="clear" w:color="auto" w:fill="FFFFFF"/>
        </w:rPr>
        <w:t>–</w:t>
      </w:r>
      <w:r w:rsidR="0020061B" w:rsidRPr="00F3515B">
        <w:rPr>
          <w:shd w:val="clear" w:color="auto" w:fill="FFFFFF"/>
        </w:rPr>
        <w:t xml:space="preserve"> </w:t>
      </w:r>
      <w:r w:rsidRPr="00F3515B">
        <w:rPr>
          <w:shd w:val="clear" w:color="auto" w:fill="FFFFFF"/>
        </w:rPr>
        <w:t xml:space="preserve">all of which </w:t>
      </w:r>
      <w:r w:rsidR="00573C15" w:rsidRPr="00F3515B">
        <w:rPr>
          <w:shd w:val="clear" w:color="auto" w:fill="FFFFFF"/>
        </w:rPr>
        <w:t>disadvantage lower</w:t>
      </w:r>
      <w:r w:rsidRPr="00F3515B">
        <w:rPr>
          <w:shd w:val="clear" w:color="auto" w:fill="FFFFFF"/>
        </w:rPr>
        <w:t xml:space="preserve"> socioeconomic classes, </w:t>
      </w:r>
      <w:r w:rsidR="00A273BF">
        <w:rPr>
          <w:shd w:val="clear" w:color="auto" w:fill="FFFFFF"/>
        </w:rPr>
        <w:t>Māori</w:t>
      </w:r>
      <w:r w:rsidRPr="00F3515B">
        <w:rPr>
          <w:shd w:val="clear" w:color="auto" w:fill="FFFFFF"/>
        </w:rPr>
        <w:t xml:space="preserve">, </w:t>
      </w:r>
      <w:r w:rsidR="0020061B" w:rsidRPr="00F3515B">
        <w:rPr>
          <w:shd w:val="clear" w:color="auto" w:fill="FFFFFF"/>
        </w:rPr>
        <w:t>Pacific</w:t>
      </w:r>
      <w:r w:rsidR="0020061B">
        <w:rPr>
          <w:shd w:val="clear" w:color="auto" w:fill="FFFFFF"/>
        </w:rPr>
        <w:t xml:space="preserve"> peoples </w:t>
      </w:r>
      <w:r w:rsidRPr="00F3515B">
        <w:rPr>
          <w:shd w:val="clear" w:color="auto" w:fill="FFFFFF"/>
        </w:rPr>
        <w:t xml:space="preserve">and people with disability. </w:t>
      </w:r>
    </w:p>
    <w:p w14:paraId="33E508E2" w14:textId="224743A0" w:rsidR="00751866" w:rsidRPr="00F3515B" w:rsidRDefault="00751866" w:rsidP="00B867C6">
      <w:pPr>
        <w:pStyle w:val="NEACNormal"/>
        <w:rPr>
          <w:shd w:val="clear" w:color="auto" w:fill="FFFFFF"/>
        </w:rPr>
      </w:pPr>
      <w:r w:rsidRPr="00F3515B">
        <w:rPr>
          <w:shd w:val="clear" w:color="auto" w:fill="FFFFFF"/>
        </w:rPr>
        <w:t xml:space="preserve">There are several tensions </w:t>
      </w:r>
      <w:r w:rsidR="0020061B">
        <w:rPr>
          <w:shd w:val="clear" w:color="auto" w:fill="FFFFFF"/>
        </w:rPr>
        <w:t xml:space="preserve">to be considered </w:t>
      </w:r>
      <w:r w:rsidRPr="00F3515B">
        <w:rPr>
          <w:shd w:val="clear" w:color="auto" w:fill="FFFFFF"/>
        </w:rPr>
        <w:t xml:space="preserve">when allocating resources in the clinical setting, as there is the additional consideration of clinical </w:t>
      </w:r>
      <w:r w:rsidRPr="00F3515B">
        <w:rPr>
          <w:shd w:val="clear" w:color="auto" w:fill="FFFFFF"/>
        </w:rPr>
        <w:t xml:space="preserve">appropriateness to </w:t>
      </w:r>
      <w:proofErr w:type="gramStart"/>
      <w:r w:rsidRPr="00F3515B">
        <w:rPr>
          <w:shd w:val="clear" w:color="auto" w:fill="FFFFFF"/>
        </w:rPr>
        <w:t>take into account</w:t>
      </w:r>
      <w:proofErr w:type="gramEnd"/>
      <w:r w:rsidRPr="00F3515B">
        <w:rPr>
          <w:shd w:val="clear" w:color="auto" w:fill="FFFFFF"/>
        </w:rPr>
        <w:t xml:space="preserve">, which may limit the ability for equity to be fully realised. </w:t>
      </w:r>
    </w:p>
    <w:p w14:paraId="630068DE" w14:textId="77777777" w:rsidR="00FB7AFB" w:rsidRPr="00F3515B" w:rsidRDefault="00FB7AFB" w:rsidP="00B867C6">
      <w:pPr>
        <w:pStyle w:val="Heading2"/>
        <w:rPr>
          <w:shd w:val="clear" w:color="auto" w:fill="FFFFFF"/>
        </w:rPr>
      </w:pPr>
      <w:bookmarkStart w:id="45" w:name="_Toc42062690"/>
      <w:bookmarkStart w:id="46" w:name="_Toc42073344"/>
      <w:r w:rsidRPr="00F3515B">
        <w:rPr>
          <w:shd w:val="clear" w:color="auto" w:fill="FFFFFF"/>
        </w:rPr>
        <w:t>Applying the principles</w:t>
      </w:r>
      <w:bookmarkEnd w:id="45"/>
      <w:bookmarkEnd w:id="46"/>
    </w:p>
    <w:p w14:paraId="737C7A6F" w14:textId="5264AE3C" w:rsidR="00FB7AFB" w:rsidRPr="00F3515B" w:rsidRDefault="00FB7AFB" w:rsidP="00B867C6">
      <w:pPr>
        <w:pStyle w:val="Heading3"/>
        <w:rPr>
          <w:lang w:eastAsia="en-NZ"/>
        </w:rPr>
      </w:pPr>
      <w:bookmarkStart w:id="47" w:name="_Toc42062691"/>
      <w:bookmarkStart w:id="48" w:name="_Toc42073345"/>
      <w:r w:rsidRPr="00F3515B">
        <w:rPr>
          <w:lang w:eastAsia="en-NZ"/>
        </w:rPr>
        <w:t xml:space="preserve">Prioritising </w:t>
      </w:r>
      <w:r w:rsidR="00C16215">
        <w:rPr>
          <w:lang w:eastAsia="en-NZ"/>
        </w:rPr>
        <w:t>the people</w:t>
      </w:r>
      <w:r w:rsidR="00C16215" w:rsidRPr="00F3515B">
        <w:rPr>
          <w:lang w:eastAsia="en-NZ"/>
        </w:rPr>
        <w:t xml:space="preserve"> </w:t>
      </w:r>
      <w:r w:rsidRPr="00F3515B">
        <w:rPr>
          <w:lang w:eastAsia="en-NZ"/>
        </w:rPr>
        <w:t>most in need</w:t>
      </w:r>
      <w:bookmarkEnd w:id="47"/>
      <w:bookmarkEnd w:id="48"/>
    </w:p>
    <w:p w14:paraId="7096F534" w14:textId="083BCF7C" w:rsidR="00FB7AFB" w:rsidRPr="00F3515B" w:rsidRDefault="00FB7AFB" w:rsidP="00B867C6">
      <w:pPr>
        <w:pStyle w:val="NEACNormal"/>
      </w:pPr>
      <w:r w:rsidRPr="00673D52">
        <w:t>Patients with the most severe disease who are most likely to die or suffer without treatment should be prioriti</w:t>
      </w:r>
      <w:r w:rsidR="0020061B">
        <w:t>s</w:t>
      </w:r>
      <w:r w:rsidRPr="00673D52">
        <w:t xml:space="preserve">ed for ICU access. Often this principle will align with </w:t>
      </w:r>
      <w:r w:rsidR="00C53BC4" w:rsidRPr="00673D52">
        <w:t>getting the most out of resources</w:t>
      </w:r>
      <w:r w:rsidRPr="00673D52">
        <w:t xml:space="preserve"> because the sickest patients will be most likely to benefit from ICU care. </w:t>
      </w:r>
      <w:r w:rsidR="008207AE" w:rsidRPr="00673D52">
        <w:t>However,</w:t>
      </w:r>
      <w:r w:rsidRPr="00673D52">
        <w:t xml:space="preserve"> some patients will fall below a threshold where they are so sick there is minimal chance of their survival, even with ICU</w:t>
      </w:r>
      <w:r w:rsidR="00483819">
        <w:t xml:space="preserve"> intervention</w:t>
      </w:r>
      <w:r w:rsidRPr="00673D52">
        <w:t xml:space="preserve">. </w:t>
      </w:r>
    </w:p>
    <w:p w14:paraId="6A49BA55" w14:textId="77777777" w:rsidR="00FB7AFB" w:rsidRPr="00F3515B" w:rsidRDefault="00FB7AFB" w:rsidP="00B867C6">
      <w:pPr>
        <w:pStyle w:val="Heading3"/>
        <w:rPr>
          <w:lang w:eastAsia="en-NZ"/>
        </w:rPr>
      </w:pPr>
      <w:bookmarkStart w:id="49" w:name="_Toc42062692"/>
      <w:bookmarkStart w:id="50" w:name="_Toc42073346"/>
      <w:r w:rsidRPr="00F3515B">
        <w:rPr>
          <w:lang w:eastAsia="en-NZ"/>
        </w:rPr>
        <w:t>Getting the most out of resources</w:t>
      </w:r>
      <w:bookmarkEnd w:id="49"/>
      <w:bookmarkEnd w:id="50"/>
    </w:p>
    <w:p w14:paraId="297E4531" w14:textId="2046E18C" w:rsidR="00FB7AFB" w:rsidRDefault="00FB7AFB" w:rsidP="00B867C6">
      <w:pPr>
        <w:pStyle w:val="NEACNormal"/>
      </w:pPr>
      <w:r w:rsidRPr="00673D52">
        <w:t>Most critical care triage guidelines prio</w:t>
      </w:r>
      <w:r w:rsidR="00751866" w:rsidRPr="00673D52">
        <w:t>ritise</w:t>
      </w:r>
      <w:r w:rsidRPr="00673D52">
        <w:t xml:space="preserve"> saving lives as the primary ethical value</w:t>
      </w:r>
      <w:r w:rsidR="00F63F3E">
        <w:t>, f</w:t>
      </w:r>
      <w:r w:rsidR="00483819">
        <w:t xml:space="preserve">or example, </w:t>
      </w:r>
      <w:r w:rsidR="008207AE" w:rsidRPr="00673D52">
        <w:t>r</w:t>
      </w:r>
      <w:r w:rsidRPr="00673D52">
        <w:t xml:space="preserve">esources should be allocated to patients with the greatest capacity to benefit from ICU. This is often defined as the likelihood of surviving an ICU admission and for </w:t>
      </w:r>
      <w:r w:rsidR="00483819">
        <w:t>one</w:t>
      </w:r>
      <w:r w:rsidRPr="00673D52">
        <w:t xml:space="preserve"> year following discharge</w:t>
      </w:r>
      <w:r w:rsidR="00EE3D96">
        <w:t xml:space="preserve"> (</w:t>
      </w:r>
      <w:proofErr w:type="spellStart"/>
      <w:r w:rsidR="00EE3D96">
        <w:t>Bideson</w:t>
      </w:r>
      <w:proofErr w:type="spellEnd"/>
      <w:r w:rsidR="00EE3D96">
        <w:t xml:space="preserve"> 2018)</w:t>
      </w:r>
      <w:r w:rsidRPr="00673D52">
        <w:t xml:space="preserve">. </w:t>
      </w:r>
      <w:r w:rsidR="00C53BC4" w:rsidRPr="00673D52">
        <w:t>This principle</w:t>
      </w:r>
      <w:r w:rsidR="0020061B">
        <w:t xml:space="preserve"> conflicts</w:t>
      </w:r>
      <w:r w:rsidR="00C53BC4" w:rsidRPr="00673D52">
        <w:t xml:space="preserve"> with the principle of achieving equity of clinical outcomes. </w:t>
      </w:r>
      <w:r w:rsidR="009C3F19" w:rsidRPr="00673D52">
        <w:t xml:space="preserve"> </w:t>
      </w:r>
      <w:r w:rsidR="00C53BC4" w:rsidRPr="00673D52">
        <w:t xml:space="preserve"> </w:t>
      </w:r>
    </w:p>
    <w:p w14:paraId="358AA9E1" w14:textId="57379B32" w:rsidR="00673D52" w:rsidRDefault="00BB7666" w:rsidP="00B867C6">
      <w:pPr>
        <w:pStyle w:val="NEACNormal"/>
      </w:pPr>
      <w:r>
        <w:t>G</w:t>
      </w:r>
      <w:r w:rsidRPr="00BB7666">
        <w:t xml:space="preserve">iving priority to individuals who have the most chance of benefiting from treatment in ICU may achieve the aim of saving the maximum number of lives. But greater ability to benefit is often associated with wider </w:t>
      </w:r>
      <w:r w:rsidRPr="00BB7666">
        <w:lastRenderedPageBreak/>
        <w:t>determinants of health, such as higher socioeconomic status. Socioeconomic status in turn may be systematically distributed to some groups and away from others. As a result, a socioeconomically advantaged group may be more likely to be represented among those individuals selected for ICU. Where reduced ability to benefit by reason of socioeconomic disadvantage is linked to injustice, this results in a tension with the value of equity.</w:t>
      </w:r>
    </w:p>
    <w:p w14:paraId="4E981DF0" w14:textId="77777777" w:rsidR="009B1BB0" w:rsidRPr="00F3515B" w:rsidRDefault="009B1BB0" w:rsidP="00B867C6">
      <w:pPr>
        <w:pStyle w:val="Heading3"/>
        <w:rPr>
          <w:lang w:eastAsia="en-NZ"/>
        </w:rPr>
      </w:pPr>
      <w:bookmarkStart w:id="51" w:name="_Toc42062693"/>
      <w:bookmarkStart w:id="52" w:name="_Toc42073347"/>
      <w:r>
        <w:rPr>
          <w:lang w:eastAsia="en-NZ"/>
        </w:rPr>
        <w:t>Achieving e</w:t>
      </w:r>
      <w:r w:rsidRPr="00F3515B">
        <w:rPr>
          <w:lang w:eastAsia="en-NZ"/>
        </w:rPr>
        <w:t>quity</w:t>
      </w:r>
      <w:bookmarkEnd w:id="51"/>
      <w:bookmarkEnd w:id="52"/>
    </w:p>
    <w:p w14:paraId="59BFA6F7" w14:textId="614EC8D2" w:rsidR="00673D52" w:rsidRDefault="00FB7AFB" w:rsidP="00B867C6">
      <w:pPr>
        <w:pStyle w:val="NEACNormal"/>
      </w:pPr>
      <w:r w:rsidRPr="00673D52">
        <w:t>Given the unequal distribution of comorbidity and multi-morbidity amongst the New Zealand population (for example on the grounds of socioeconomic depravation and ethnicity)</w:t>
      </w:r>
      <w:r w:rsidR="00F63F3E">
        <w:t>,</w:t>
      </w:r>
      <w:r w:rsidRPr="00673D52">
        <w:t xml:space="preserve"> it will be very difficult to avoid unequal outcomes based on demographic factors. </w:t>
      </w:r>
    </w:p>
    <w:p w14:paraId="3164D1B8" w14:textId="66F014E8" w:rsidR="00722202" w:rsidRPr="00F3515B" w:rsidRDefault="00FB7AFB" w:rsidP="00B867C6">
      <w:pPr>
        <w:pStyle w:val="NEACNormal"/>
      </w:pPr>
      <w:r w:rsidRPr="00673D52">
        <w:t xml:space="preserve">For critically ill </w:t>
      </w:r>
      <w:r w:rsidR="00764EDA" w:rsidRPr="00673D52">
        <w:t>COVID-19</w:t>
      </w:r>
      <w:r w:rsidRPr="00673D52">
        <w:t xml:space="preserve"> patients, the primary consideration should be whether ICU care is in the patient</w:t>
      </w:r>
      <w:r w:rsidR="00F63F3E">
        <w:t>’</w:t>
      </w:r>
      <w:r w:rsidRPr="00673D52">
        <w:t>s best interest and what other care may be appropriate</w:t>
      </w:r>
      <w:r w:rsidR="00F63F3E">
        <w:t>,</w:t>
      </w:r>
      <w:r w:rsidRPr="00673D52">
        <w:t xml:space="preserve"> including palliative or supportive care. When ICU space is severely limited, there will be tension between utility (saving the most lives) and equity (ensuring fair outcomes between groups). This tension cannot be resolved via ethical analysis </w:t>
      </w:r>
      <w:r w:rsidR="00722202" w:rsidRPr="00673D52">
        <w:t>at the stage of admission to ICU</w:t>
      </w:r>
      <w:r w:rsidR="00262191">
        <w:t>, as clinical considerations take precedent</w:t>
      </w:r>
      <w:r w:rsidR="00F63F3E">
        <w:t xml:space="preserve"> at that stage</w:t>
      </w:r>
      <w:r w:rsidR="00262191">
        <w:t xml:space="preserve">.   </w:t>
      </w:r>
      <w:r w:rsidRPr="00673D52">
        <w:t xml:space="preserve"> </w:t>
      </w:r>
    </w:p>
    <w:p w14:paraId="74030B66" w14:textId="77777777" w:rsidR="00C53BC4" w:rsidRPr="00F3515B" w:rsidRDefault="00C53BC4" w:rsidP="00B867C6">
      <w:pPr>
        <w:pStyle w:val="Heading3"/>
        <w:rPr>
          <w:lang w:eastAsia="en-NZ"/>
        </w:rPr>
      </w:pPr>
      <w:bookmarkStart w:id="53" w:name="_Toc42062694"/>
      <w:bookmarkStart w:id="54" w:name="_Toc42073348"/>
      <w:r w:rsidRPr="00F3515B">
        <w:rPr>
          <w:lang w:eastAsia="en-NZ"/>
        </w:rPr>
        <w:t>All people are equally deserving of care</w:t>
      </w:r>
      <w:bookmarkEnd w:id="53"/>
      <w:bookmarkEnd w:id="54"/>
      <w:r w:rsidRPr="00F3515B">
        <w:rPr>
          <w:lang w:eastAsia="en-NZ"/>
        </w:rPr>
        <w:t xml:space="preserve"> </w:t>
      </w:r>
    </w:p>
    <w:p w14:paraId="4C782501" w14:textId="14DD5725" w:rsidR="00FB7AFB" w:rsidRPr="00673D52" w:rsidRDefault="00FB7AFB" w:rsidP="00B867C6">
      <w:pPr>
        <w:pStyle w:val="NEACNormal"/>
      </w:pPr>
      <w:r w:rsidRPr="00673D52">
        <w:t xml:space="preserve">Disability status or age </w:t>
      </w:r>
      <w:r w:rsidR="00546CE5" w:rsidRPr="00673D52">
        <w:t>must</w:t>
      </w:r>
      <w:r w:rsidRPr="00673D52">
        <w:t xml:space="preserve"> not be used as a simple proxy for health status or capacity to benefit. Screening measures</w:t>
      </w:r>
      <w:r w:rsidR="00F63F3E">
        <w:t>, including the quality-adjusted life year (</w:t>
      </w:r>
      <w:r w:rsidRPr="00673D52">
        <w:t>QALY</w:t>
      </w:r>
      <w:r w:rsidR="00F63F3E">
        <w:t>) measure,</w:t>
      </w:r>
      <w:r w:rsidRPr="00673D52">
        <w:t xml:space="preserve"> must be avoided as </w:t>
      </w:r>
      <w:r w:rsidR="00F63F3E">
        <w:t>they</w:t>
      </w:r>
      <w:r w:rsidR="00F63F3E" w:rsidRPr="00673D52">
        <w:t xml:space="preserve"> </w:t>
      </w:r>
      <w:r w:rsidRPr="00673D52">
        <w:t xml:space="preserve">are inherently biased against </w:t>
      </w:r>
      <w:r w:rsidR="00F63F3E">
        <w:t>people</w:t>
      </w:r>
      <w:r w:rsidR="00F63F3E" w:rsidRPr="00673D52">
        <w:t xml:space="preserve"> </w:t>
      </w:r>
      <w:r w:rsidRPr="00673D52">
        <w:t>with disabilities. Triage decisions should be based on assessment of an individual’s personal medical history (noting the tendency for medical records to be error-prone).</w:t>
      </w:r>
    </w:p>
    <w:p w14:paraId="43AECE23" w14:textId="0A64D87F" w:rsidR="00572256" w:rsidRPr="00F3515B" w:rsidRDefault="00572256" w:rsidP="00B867C6">
      <w:pPr>
        <w:pStyle w:val="Heading3"/>
        <w:rPr>
          <w:sz w:val="8"/>
          <w:shd w:val="clear" w:color="auto" w:fill="FFFFFF"/>
        </w:rPr>
      </w:pPr>
      <w:bookmarkStart w:id="55" w:name="_Toc42062695"/>
      <w:bookmarkStart w:id="56" w:name="_Toc42073349"/>
      <w:r w:rsidRPr="00F3515B">
        <w:rPr>
          <w:shd w:val="clear" w:color="auto" w:fill="FFFFFF"/>
        </w:rPr>
        <w:t>General considerations</w:t>
      </w:r>
      <w:bookmarkEnd w:id="55"/>
      <w:bookmarkEnd w:id="56"/>
    </w:p>
    <w:p w14:paraId="737F2251" w14:textId="77777777" w:rsidR="000C0B83" w:rsidRDefault="00307D63" w:rsidP="00B867C6">
      <w:pPr>
        <w:pStyle w:val="NEACNormal"/>
      </w:pPr>
      <w:r>
        <w:t xml:space="preserve">The following considerations have been adapted from </w:t>
      </w:r>
      <w:proofErr w:type="spellStart"/>
      <w:r>
        <w:t>Maves</w:t>
      </w:r>
      <w:proofErr w:type="spellEnd"/>
      <w:r>
        <w:t xml:space="preserve"> et al 2020. </w:t>
      </w:r>
    </w:p>
    <w:p w14:paraId="2426F9F2" w14:textId="16885536" w:rsidR="00572256" w:rsidRPr="00F3515B" w:rsidRDefault="00572256" w:rsidP="00B867C6">
      <w:pPr>
        <w:pStyle w:val="NEACNormal"/>
      </w:pPr>
      <w:r w:rsidRPr="00F3515B">
        <w:t>When implemented, triage guidelines must be applied to all current and new patien</w:t>
      </w:r>
      <w:r w:rsidR="00535D38">
        <w:t>t</w:t>
      </w:r>
      <w:r w:rsidRPr="00F3515B">
        <w:t xml:space="preserve">s presenting with critical illness, regardless of the diagnosis of </w:t>
      </w:r>
      <w:r w:rsidR="00D800D8">
        <w:t>COVID-19</w:t>
      </w:r>
      <w:r w:rsidRPr="00F3515B">
        <w:t xml:space="preserve"> or other illness.</w:t>
      </w:r>
    </w:p>
    <w:p w14:paraId="064F7B9B" w14:textId="234C3FA4" w:rsidR="00572256" w:rsidRPr="00F3515B" w:rsidRDefault="00572256" w:rsidP="00B867C6">
      <w:pPr>
        <w:pStyle w:val="NEACNormal"/>
      </w:pPr>
      <w:r w:rsidRPr="00F3515B">
        <w:t>NEAC recommend</w:t>
      </w:r>
      <w:r w:rsidR="007F313E">
        <w:t>s</w:t>
      </w:r>
      <w:r w:rsidRPr="00F3515B">
        <w:t xml:space="preserve"> an independent decision-making group </w:t>
      </w:r>
      <w:r w:rsidR="007F313E">
        <w:t>be</w:t>
      </w:r>
      <w:r w:rsidR="007F313E" w:rsidRPr="00F3515B">
        <w:t xml:space="preserve"> </w:t>
      </w:r>
      <w:r w:rsidRPr="00F3515B">
        <w:t>established</w:t>
      </w:r>
      <w:r w:rsidR="007F313E">
        <w:t xml:space="preserve"> t</w:t>
      </w:r>
      <w:r w:rsidR="007F313E" w:rsidRPr="00F3515B">
        <w:t>o enact a triage plan</w:t>
      </w:r>
      <w:r w:rsidR="008545E6">
        <w:t>.</w:t>
      </w:r>
      <w:r w:rsidRPr="00F3515B">
        <w:t xml:space="preserve">  </w:t>
      </w:r>
    </w:p>
    <w:p w14:paraId="32458FBF" w14:textId="674A9986" w:rsidR="00572256" w:rsidRPr="00F3515B" w:rsidRDefault="00307D63" w:rsidP="00B867C6">
      <w:pPr>
        <w:pStyle w:val="NEACNormal"/>
      </w:pPr>
      <w:r>
        <w:t>It is important</w:t>
      </w:r>
      <w:r w:rsidR="00572256" w:rsidRPr="00F3515B">
        <w:t xml:space="preserve"> to ensure that patients who do not initially receive critical care resources are still provided </w:t>
      </w:r>
      <w:r>
        <w:t xml:space="preserve">with </w:t>
      </w:r>
      <w:r w:rsidR="00572256" w:rsidRPr="00F3515B">
        <w:t xml:space="preserve">the best supportive care possible and are re-evaluated </w:t>
      </w:r>
      <w:r w:rsidRPr="00F3515B">
        <w:t xml:space="preserve">regularly </w:t>
      </w:r>
      <w:r w:rsidR="00572256" w:rsidRPr="00F3515B">
        <w:t>for consideration of resource allocation as supplies become available. </w:t>
      </w:r>
    </w:p>
    <w:p w14:paraId="31A87332" w14:textId="33F088EA" w:rsidR="00572256" w:rsidRPr="00F3515B" w:rsidRDefault="00572256" w:rsidP="00B867C6">
      <w:pPr>
        <w:pStyle w:val="NEACNormal"/>
        <w:rPr>
          <w:color w:val="000000"/>
        </w:rPr>
      </w:pPr>
      <w:r w:rsidRPr="00F3515B">
        <w:rPr>
          <w:shd w:val="clear" w:color="auto" w:fill="FFFFFF"/>
        </w:rPr>
        <w:lastRenderedPageBreak/>
        <w:t xml:space="preserve">Patients </w:t>
      </w:r>
      <w:r w:rsidR="00307D63">
        <w:rPr>
          <w:shd w:val="clear" w:color="auto" w:fill="FFFFFF"/>
        </w:rPr>
        <w:t xml:space="preserve">who are </w:t>
      </w:r>
      <w:r w:rsidRPr="00F3515B">
        <w:rPr>
          <w:shd w:val="clear" w:color="auto" w:fill="FFFFFF"/>
        </w:rPr>
        <w:t xml:space="preserve">unable to receive invasive mechanical ventilation may be able to receive supplemental oxygen through a non-invasive route as resources permit. </w:t>
      </w:r>
    </w:p>
    <w:p w14:paraId="018BCB98" w14:textId="19C43466" w:rsidR="00572256" w:rsidRPr="00F3515B" w:rsidRDefault="00572256" w:rsidP="00B867C6">
      <w:pPr>
        <w:pStyle w:val="NEACNormal"/>
        <w:rPr>
          <w:color w:val="000000"/>
        </w:rPr>
      </w:pPr>
      <w:r w:rsidRPr="00F3515B">
        <w:rPr>
          <w:shd w:val="clear" w:color="auto" w:fill="FFFFFF"/>
        </w:rPr>
        <w:t>The implementation of early palliative care interventions can provide a better quality of life, less treatment intensity, and no consistent impact on mortality</w:t>
      </w:r>
      <w:r w:rsidR="00307D63">
        <w:rPr>
          <w:shd w:val="clear" w:color="auto" w:fill="FFFFFF"/>
        </w:rPr>
        <w:t xml:space="preserve"> (</w:t>
      </w:r>
      <w:proofErr w:type="spellStart"/>
      <w:r w:rsidR="00307D63">
        <w:rPr>
          <w:shd w:val="clear" w:color="auto" w:fill="FFFFFF"/>
        </w:rPr>
        <w:t>Maves</w:t>
      </w:r>
      <w:proofErr w:type="spellEnd"/>
      <w:r w:rsidR="00307D63">
        <w:rPr>
          <w:shd w:val="clear" w:color="auto" w:fill="FFFFFF"/>
        </w:rPr>
        <w:t xml:space="preserve"> et al 2020)</w:t>
      </w:r>
      <w:r w:rsidRPr="00F3515B">
        <w:rPr>
          <w:shd w:val="clear" w:color="auto" w:fill="FFFFFF"/>
        </w:rPr>
        <w:t>. This offers a strong rationale for careful</w:t>
      </w:r>
      <w:r w:rsidR="00307D63">
        <w:rPr>
          <w:shd w:val="clear" w:color="auto" w:fill="FFFFFF"/>
        </w:rPr>
        <w:t>ly</w:t>
      </w:r>
      <w:r w:rsidRPr="00F3515B">
        <w:rPr>
          <w:shd w:val="clear" w:color="auto" w:fill="FFFFFF"/>
        </w:rPr>
        <w:t xml:space="preserve"> integrati</w:t>
      </w:r>
      <w:r w:rsidR="00307D63">
        <w:rPr>
          <w:shd w:val="clear" w:color="auto" w:fill="FFFFFF"/>
        </w:rPr>
        <w:t>ng</w:t>
      </w:r>
      <w:r w:rsidRPr="00F3515B">
        <w:rPr>
          <w:shd w:val="clear" w:color="auto" w:fill="FFFFFF"/>
        </w:rPr>
        <w:t xml:space="preserve"> symptom management</w:t>
      </w:r>
      <w:r w:rsidR="00307D63">
        <w:rPr>
          <w:shd w:val="clear" w:color="auto" w:fill="FFFFFF"/>
        </w:rPr>
        <w:t xml:space="preserve"> alongside</w:t>
      </w:r>
      <w:r w:rsidRPr="00F3515B">
        <w:rPr>
          <w:shd w:val="clear" w:color="auto" w:fill="FFFFFF"/>
        </w:rPr>
        <w:t xml:space="preserve"> palliative care principles for all patients </w:t>
      </w:r>
      <w:r w:rsidR="00307D63">
        <w:rPr>
          <w:shd w:val="clear" w:color="auto" w:fill="FFFFFF"/>
        </w:rPr>
        <w:t xml:space="preserve">who are </w:t>
      </w:r>
      <w:r w:rsidRPr="00F3515B">
        <w:rPr>
          <w:shd w:val="clear" w:color="auto" w:fill="FFFFFF"/>
        </w:rPr>
        <w:t xml:space="preserve">impacted by crisis care. </w:t>
      </w:r>
    </w:p>
    <w:p w14:paraId="6B0E3D5D" w14:textId="0129A4C9" w:rsidR="00572256" w:rsidRPr="00F3515B" w:rsidRDefault="00572256" w:rsidP="00B867C6">
      <w:pPr>
        <w:pStyle w:val="NEACNormal"/>
      </w:pPr>
      <w:r w:rsidRPr="00F3515B">
        <w:t xml:space="preserve">There is no ethically significant difference between withholding and withdrawing life-sustaining treatment; but </w:t>
      </w:r>
      <w:r w:rsidR="00C96E2B">
        <w:t>health care</w:t>
      </w:r>
      <w:r w:rsidRPr="00F3515B">
        <w:t xml:space="preserve"> providers, patients and families often find decisions to withdraw treatment more emotionally and psychologically challenging.</w:t>
      </w:r>
    </w:p>
    <w:p w14:paraId="1C550D01" w14:textId="35A35483" w:rsidR="00572256" w:rsidRPr="00F3515B" w:rsidRDefault="00572256" w:rsidP="00B867C6">
      <w:pPr>
        <w:pStyle w:val="NEACNormal"/>
      </w:pPr>
      <w:r w:rsidRPr="00F3515B">
        <w:t>Time trials of ICU may be necessary to manage patients and families’ expectations and avoiding prolonged stays in ICU with minimal and decreasing prospect</w:t>
      </w:r>
      <w:r w:rsidR="00307D63">
        <w:t>s</w:t>
      </w:r>
      <w:r w:rsidRPr="00F3515B">
        <w:t xml:space="preserve"> of benefit. Clear criteria and schedules for re-assess</w:t>
      </w:r>
      <w:r w:rsidR="00307D63">
        <w:t>ing</w:t>
      </w:r>
      <w:r w:rsidRPr="00F3515B">
        <w:t xml:space="preserve"> patients on time trials will be necessary.  </w:t>
      </w:r>
    </w:p>
    <w:p w14:paraId="05E093E4" w14:textId="634B0FA1" w:rsidR="00572256" w:rsidRPr="00F3515B" w:rsidRDefault="00572256" w:rsidP="00B867C6">
      <w:pPr>
        <w:pStyle w:val="NEACNormal"/>
      </w:pPr>
      <w:r w:rsidRPr="00F3515B">
        <w:t>ICU care may be ethically withdrawn when it is no</w:t>
      </w:r>
      <w:r w:rsidR="00307D63">
        <w:t xml:space="preserve"> </w:t>
      </w:r>
      <w:r w:rsidRPr="00F3515B">
        <w:t>longer in the patient’s best interests (harm of treatment now outweighs</w:t>
      </w:r>
      <w:r w:rsidR="00307D63">
        <w:t xml:space="preserve"> the</w:t>
      </w:r>
      <w:r w:rsidRPr="00F3515B">
        <w:t xml:space="preserve"> prospect of </w:t>
      </w:r>
      <w:r w:rsidR="00307D63">
        <w:t xml:space="preserve">any </w:t>
      </w:r>
      <w:r w:rsidRPr="00F3515B">
        <w:t xml:space="preserve">benefit). Decisions about the patients’ best interests must follow the </w:t>
      </w:r>
      <w:r w:rsidRPr="00F3515B">
        <w:t xml:space="preserve">process and principles of </w:t>
      </w:r>
      <w:r w:rsidR="00C16215">
        <w:t>r</w:t>
      </w:r>
      <w:r w:rsidRPr="00F3515B">
        <w:t xml:space="preserve">ight 7(4) in the </w:t>
      </w:r>
      <w:r w:rsidR="00C16215">
        <w:t>Health and Disability Commissioner</w:t>
      </w:r>
      <w:r w:rsidR="00C16215" w:rsidRPr="00AB3259">
        <w:t xml:space="preserve"> </w:t>
      </w:r>
      <w:r w:rsidR="00C16215">
        <w:t>(</w:t>
      </w:r>
      <w:r w:rsidR="00C16215" w:rsidRPr="00AB3259">
        <w:t>Code of Health and Disability Services Consumers' Rights</w:t>
      </w:r>
      <w:r w:rsidR="00C16215">
        <w:t>)</w:t>
      </w:r>
      <w:r w:rsidR="00C16215" w:rsidRPr="00AB3259">
        <w:t xml:space="preserve"> </w:t>
      </w:r>
      <w:r w:rsidR="00C16215">
        <w:t>Regulations 1996.</w:t>
      </w:r>
      <w:r w:rsidR="00C16215">
        <w:rPr>
          <w:rStyle w:val="FootnoteReference"/>
        </w:rPr>
        <w:footnoteReference w:id="8"/>
      </w:r>
      <w:r w:rsidR="00C16215" w:rsidRPr="00AB3259">
        <w:t xml:space="preserve"> </w:t>
      </w:r>
      <w:r w:rsidRPr="00F3515B">
        <w:t xml:space="preserve">Care may also be ethically withdrawn if it is judged to be medically inappropriate because the prospect of benefit falls below a predetermined threshold. </w:t>
      </w:r>
    </w:p>
    <w:p w14:paraId="139651F8" w14:textId="29E4A5F7" w:rsidR="00572256" w:rsidRPr="00F3515B" w:rsidRDefault="00572256" w:rsidP="00B867C6">
      <w:pPr>
        <w:pStyle w:val="NEACNormal"/>
      </w:pPr>
      <w:r w:rsidRPr="00F3515B">
        <w:t xml:space="preserve">Depending on the demand for care within ICU, estimated length of stay per patient and epidemiological surge projections, </w:t>
      </w:r>
      <w:r w:rsidR="00C16215">
        <w:t>hospitals</w:t>
      </w:r>
      <w:r w:rsidR="00C16215" w:rsidRPr="00F3515B">
        <w:t xml:space="preserve"> </w:t>
      </w:r>
      <w:r w:rsidRPr="00F3515B">
        <w:t xml:space="preserve">may be justified </w:t>
      </w:r>
      <w:r w:rsidR="00C16215">
        <w:t>in</w:t>
      </w:r>
      <w:r w:rsidR="00C16215" w:rsidRPr="00F3515B">
        <w:t xml:space="preserve"> </w:t>
      </w:r>
      <w:r w:rsidRPr="00F3515B">
        <w:t>keep</w:t>
      </w:r>
      <w:r w:rsidR="00C16215">
        <w:t>ing</w:t>
      </w:r>
      <w:r w:rsidRPr="00F3515B">
        <w:t xml:space="preserve"> some ICU beds empty in order to be </w:t>
      </w:r>
      <w:r w:rsidR="00C16215">
        <w:t>prepared</w:t>
      </w:r>
      <w:r w:rsidRPr="00F3515B">
        <w:t xml:space="preserve"> to care for subsequent high-priority patients.</w:t>
      </w:r>
    </w:p>
    <w:p w14:paraId="08D35D28" w14:textId="43BFCA73" w:rsidR="00572256" w:rsidRPr="00F3515B" w:rsidRDefault="00572256" w:rsidP="00B867C6">
      <w:pPr>
        <w:pStyle w:val="NEACNormal"/>
      </w:pPr>
      <w:r w:rsidRPr="00F3515B">
        <w:t>Health care should not be denied or limited based on quality of life judgements</w:t>
      </w:r>
      <w:r w:rsidR="00F63F3E">
        <w:t xml:space="preserve"> (</w:t>
      </w:r>
      <w:proofErr w:type="spellStart"/>
      <w:r w:rsidR="00F63F3E">
        <w:t>Maves</w:t>
      </w:r>
      <w:proofErr w:type="spellEnd"/>
      <w:r w:rsidR="00F63F3E">
        <w:t xml:space="preserve"> et al 2020).</w:t>
      </w:r>
    </w:p>
    <w:p w14:paraId="479CB04A" w14:textId="6123DA47" w:rsidR="0059398C" w:rsidRPr="00F3515B" w:rsidRDefault="0059398C" w:rsidP="005948B9">
      <w:pPr>
        <w:spacing w:before="0" w:after="0" w:line="240" w:lineRule="auto"/>
        <w:rPr>
          <w:rFonts w:ascii="Helv" w:hAnsi="Helv"/>
          <w:color w:val="000000"/>
          <w:sz w:val="24"/>
          <w:szCs w:val="24"/>
          <w:lang w:eastAsia="en-NZ"/>
        </w:rPr>
      </w:pPr>
    </w:p>
    <w:p w14:paraId="304AEE53" w14:textId="452355CB" w:rsidR="0059398C" w:rsidRPr="00F3515B" w:rsidRDefault="0059398C" w:rsidP="005948B9">
      <w:pPr>
        <w:spacing w:before="0" w:after="0" w:line="240" w:lineRule="auto"/>
        <w:rPr>
          <w:rFonts w:ascii="Helv" w:hAnsi="Helv"/>
          <w:color w:val="000000"/>
          <w:sz w:val="24"/>
          <w:szCs w:val="24"/>
          <w:lang w:eastAsia="en-NZ"/>
        </w:rPr>
        <w:sectPr w:rsidR="0059398C" w:rsidRPr="00F3515B" w:rsidSect="002D2D17">
          <w:pgSz w:w="16838" w:h="11906" w:orient="landscape"/>
          <w:pgMar w:top="1814" w:right="2041" w:bottom="1588" w:left="1361" w:header="709" w:footer="709" w:gutter="0"/>
          <w:cols w:num="2" w:space="708"/>
          <w:docGrid w:linePitch="360"/>
        </w:sectPr>
      </w:pPr>
    </w:p>
    <w:p w14:paraId="55BD1C8D" w14:textId="30DA27BD" w:rsidR="001B2595" w:rsidRPr="00F3515B" w:rsidRDefault="00B867C6" w:rsidP="00B867C6">
      <w:pPr>
        <w:pStyle w:val="Figure"/>
        <w:rPr>
          <w:rFonts w:eastAsiaTheme="minorHAnsi"/>
        </w:rPr>
      </w:pPr>
      <w:r>
        <w:lastRenderedPageBreak/>
        <w:t xml:space="preserve">Table </w:t>
      </w:r>
      <w:fldSimple w:instr=" SEQ Table \* ARABIC ">
        <w:r w:rsidR="00A770D0">
          <w:rPr>
            <w:noProof/>
          </w:rPr>
          <w:t>3</w:t>
        </w:r>
      </w:fldSimple>
      <w:r>
        <w:t xml:space="preserve">: </w:t>
      </w:r>
      <w:r w:rsidR="00F923B7">
        <w:rPr>
          <w:rFonts w:eastAsiaTheme="minorHAnsi"/>
        </w:rPr>
        <w:t xml:space="preserve">Assessment of </w:t>
      </w:r>
      <w:r w:rsidR="001A5176" w:rsidRPr="00F3515B">
        <w:rPr>
          <w:rFonts w:eastAsiaTheme="minorHAnsi"/>
        </w:rPr>
        <w:t xml:space="preserve">the impact of mechanisms </w:t>
      </w:r>
      <w:r w:rsidR="00854962" w:rsidRPr="00F3515B">
        <w:rPr>
          <w:rFonts w:eastAsiaTheme="minorHAnsi"/>
        </w:rPr>
        <w:t xml:space="preserve">suggested </w:t>
      </w:r>
      <w:r w:rsidR="00F923B7">
        <w:rPr>
          <w:rFonts w:eastAsiaTheme="minorHAnsi"/>
        </w:rPr>
        <w:t xml:space="preserve">in literature </w:t>
      </w:r>
      <w:r w:rsidR="00854962" w:rsidRPr="00F3515B">
        <w:rPr>
          <w:rFonts w:eastAsiaTheme="minorHAnsi"/>
        </w:rPr>
        <w:t xml:space="preserve">to prioritise </w:t>
      </w:r>
      <w:r w:rsidR="00C16215">
        <w:rPr>
          <w:rFonts w:eastAsiaTheme="minorHAnsi"/>
        </w:rPr>
        <w:t xml:space="preserve">scarce </w:t>
      </w:r>
      <w:r w:rsidR="00854962" w:rsidRPr="00F3515B">
        <w:rPr>
          <w:rFonts w:eastAsiaTheme="minorHAnsi"/>
        </w:rPr>
        <w:t xml:space="preserve">resources </w:t>
      </w:r>
      <w:r w:rsidR="00195C2D" w:rsidRPr="00F3515B">
        <w:rPr>
          <w:rFonts w:eastAsiaTheme="minorHAnsi"/>
        </w:rPr>
        <w:t xml:space="preserve">against the </w:t>
      </w:r>
      <w:r w:rsidR="00212177">
        <w:rPr>
          <w:rFonts w:eastAsiaTheme="minorHAnsi"/>
        </w:rPr>
        <w:t xml:space="preserve">resource </w:t>
      </w:r>
      <w:r w:rsidR="00195C2D" w:rsidRPr="00F3515B">
        <w:rPr>
          <w:rFonts w:eastAsiaTheme="minorHAnsi"/>
        </w:rPr>
        <w:t>allocation principles</w:t>
      </w:r>
    </w:p>
    <w:tbl>
      <w:tblPr>
        <w:tblStyle w:val="2table"/>
        <w:tblW w:w="5000" w:type="pct"/>
        <w:tblBorders>
          <w:top w:val="single" w:sz="4" w:space="0" w:color="003F5F" w:themeColor="accent1"/>
          <w:left w:val="single" w:sz="4" w:space="0" w:color="003F5F" w:themeColor="accent1"/>
          <w:right w:val="single" w:sz="4" w:space="0" w:color="003F5F" w:themeColor="accent1"/>
          <w:insideH w:val="single" w:sz="4" w:space="0" w:color="003F5F" w:themeColor="accent1"/>
          <w:insideV w:val="single" w:sz="4" w:space="0" w:color="003F5F" w:themeColor="accent1"/>
        </w:tblBorders>
        <w:tblLayout w:type="fixed"/>
        <w:tblCellMar>
          <w:top w:w="28" w:type="dxa"/>
          <w:bottom w:w="28" w:type="dxa"/>
        </w:tblCellMar>
        <w:tblLook w:val="04A0" w:firstRow="1" w:lastRow="0" w:firstColumn="1" w:lastColumn="0" w:noHBand="0" w:noVBand="1"/>
      </w:tblPr>
      <w:tblGrid>
        <w:gridCol w:w="1907"/>
        <w:gridCol w:w="2481"/>
        <w:gridCol w:w="2838"/>
        <w:gridCol w:w="3233"/>
        <w:gridCol w:w="2967"/>
      </w:tblGrid>
      <w:tr w:rsidR="00857442" w:rsidRPr="00F3515B" w14:paraId="7AC0992C" w14:textId="77777777" w:rsidTr="00525500">
        <w:trPr>
          <w:cnfStyle w:val="100000000000" w:firstRow="1" w:lastRow="0" w:firstColumn="0" w:lastColumn="0" w:oddVBand="0" w:evenVBand="0" w:oddHBand="0" w:evenHBand="0" w:firstRowFirstColumn="0" w:firstRowLastColumn="0" w:lastRowFirstColumn="0" w:lastRowLastColumn="0"/>
          <w:tblHeader/>
        </w:trPr>
        <w:tc>
          <w:tcPr>
            <w:tcW w:w="71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1D82F" w:themeFill="accent2"/>
            <w:vAlign w:val="center"/>
          </w:tcPr>
          <w:p w14:paraId="20CBD886" w14:textId="298E9D97" w:rsidR="00857442" w:rsidRPr="00F3515B" w:rsidRDefault="00F51487" w:rsidP="00A770D0">
            <w:pPr>
              <w:pStyle w:val="NEACTableHeading"/>
              <w:rPr>
                <w:b/>
              </w:rPr>
            </w:pPr>
            <w:r w:rsidRPr="00F3515B">
              <w:rPr>
                <w:b/>
              </w:rPr>
              <w:t>Mechanisms</w:t>
            </w:r>
          </w:p>
        </w:tc>
        <w:tc>
          <w:tcPr>
            <w:tcW w:w="92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1D82F" w:themeFill="accent2"/>
            <w:vAlign w:val="center"/>
          </w:tcPr>
          <w:p w14:paraId="7B36F5EA" w14:textId="72504D2A" w:rsidR="00857442" w:rsidRPr="00541500" w:rsidRDefault="00857442" w:rsidP="00A770D0">
            <w:pPr>
              <w:pStyle w:val="NEACTableHeading"/>
              <w:rPr>
                <w:b/>
              </w:rPr>
            </w:pPr>
            <w:r w:rsidRPr="00541500">
              <w:rPr>
                <w:b/>
              </w:rPr>
              <w:t xml:space="preserve">All people </w:t>
            </w:r>
            <w:r w:rsidR="00C16215" w:rsidRPr="00541500">
              <w:rPr>
                <w:b/>
              </w:rPr>
              <w:t xml:space="preserve">are </w:t>
            </w:r>
            <w:r w:rsidRPr="00541500">
              <w:rPr>
                <w:b/>
              </w:rPr>
              <w:t xml:space="preserve">equally </w:t>
            </w:r>
            <w:r w:rsidR="00432983" w:rsidRPr="00541500">
              <w:rPr>
                <w:b/>
              </w:rPr>
              <w:t>deserving of care</w:t>
            </w:r>
          </w:p>
        </w:tc>
        <w:tc>
          <w:tcPr>
            <w:tcW w:w="105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1D82F" w:themeFill="accent2"/>
            <w:vAlign w:val="center"/>
          </w:tcPr>
          <w:p w14:paraId="473E427A" w14:textId="6F02090F" w:rsidR="00857442" w:rsidRPr="00F3515B" w:rsidRDefault="00857442" w:rsidP="00A770D0">
            <w:pPr>
              <w:pStyle w:val="NEACTableHeading"/>
              <w:rPr>
                <w:b/>
              </w:rPr>
            </w:pPr>
            <w:r w:rsidRPr="00F3515B">
              <w:rPr>
                <w:b/>
              </w:rPr>
              <w:t>Get</w:t>
            </w:r>
            <w:r w:rsidR="00C16215">
              <w:rPr>
                <w:b/>
              </w:rPr>
              <w:t>ting</w:t>
            </w:r>
            <w:r w:rsidRPr="00F3515B">
              <w:rPr>
                <w:b/>
              </w:rPr>
              <w:t xml:space="preserve"> the most from the resources</w:t>
            </w:r>
            <w:r w:rsidR="00331F82" w:rsidRPr="00F3515B">
              <w:rPr>
                <w:b/>
              </w:rPr>
              <w:t xml:space="preserve"> (population health)</w:t>
            </w:r>
          </w:p>
        </w:tc>
        <w:tc>
          <w:tcPr>
            <w:tcW w:w="120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1D82F" w:themeFill="accent2"/>
            <w:vAlign w:val="center"/>
          </w:tcPr>
          <w:p w14:paraId="3B7146E4" w14:textId="59C98C15" w:rsidR="00857442" w:rsidRPr="00F3515B" w:rsidRDefault="00C16215" w:rsidP="00A770D0">
            <w:pPr>
              <w:pStyle w:val="NEACTableHeading"/>
              <w:rPr>
                <w:b/>
              </w:rPr>
            </w:pPr>
            <w:r>
              <w:rPr>
                <w:b/>
              </w:rPr>
              <w:t>Achieving e</w:t>
            </w:r>
            <w:r w:rsidR="00857442" w:rsidRPr="00F3515B">
              <w:rPr>
                <w:b/>
              </w:rPr>
              <w:t>quity (achieve ‘more’ equal outcomes)</w:t>
            </w:r>
          </w:p>
        </w:tc>
        <w:tc>
          <w:tcPr>
            <w:tcW w:w="1105"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1D82F" w:themeFill="accent2"/>
            <w:vAlign w:val="center"/>
          </w:tcPr>
          <w:p w14:paraId="03B972AC" w14:textId="240FE67C" w:rsidR="00857442" w:rsidRPr="00F3515B" w:rsidRDefault="00857442" w:rsidP="00A770D0">
            <w:pPr>
              <w:pStyle w:val="NEACTableHeading"/>
              <w:rPr>
                <w:b/>
              </w:rPr>
            </w:pPr>
            <w:r w:rsidRPr="00F3515B">
              <w:rPr>
                <w:b/>
              </w:rPr>
              <w:t>Prioritis</w:t>
            </w:r>
            <w:r w:rsidR="00C16215">
              <w:rPr>
                <w:b/>
              </w:rPr>
              <w:t>ing</w:t>
            </w:r>
            <w:r w:rsidRPr="00F3515B">
              <w:rPr>
                <w:b/>
              </w:rPr>
              <w:t xml:space="preserve"> the people most in need</w:t>
            </w:r>
          </w:p>
        </w:tc>
      </w:tr>
      <w:tr w:rsidR="00857442" w:rsidRPr="00F3515B" w14:paraId="681D54F3" w14:textId="77777777" w:rsidTr="00525500">
        <w:tc>
          <w:tcPr>
            <w:tcW w:w="710" w:type="pct"/>
          </w:tcPr>
          <w:p w14:paraId="49C11B34" w14:textId="44464405" w:rsidR="00857442" w:rsidRPr="00F3515B" w:rsidRDefault="00857442" w:rsidP="00A770D0">
            <w:pPr>
              <w:pStyle w:val="NEACTableTextBold"/>
            </w:pPr>
            <w:r w:rsidRPr="00F3515B">
              <w:t>Clinical scoring + prognosis (</w:t>
            </w:r>
            <w:proofErr w:type="spellStart"/>
            <w:r w:rsidR="00FD675C">
              <w:t>eg</w:t>
            </w:r>
            <w:proofErr w:type="spellEnd"/>
            <w:r w:rsidR="00FD675C">
              <w:t>,</w:t>
            </w:r>
            <w:r w:rsidRPr="00F3515B">
              <w:t xml:space="preserve"> SOFA</w:t>
            </w:r>
            <w:r w:rsidR="00FD675C">
              <w:t xml:space="preserve"> score</w:t>
            </w:r>
            <w:r w:rsidRPr="00F3515B">
              <w:t xml:space="preserve">, clinical frailty, </w:t>
            </w:r>
            <w:r w:rsidR="00FD675C">
              <w:t>c</w:t>
            </w:r>
            <w:r w:rsidRPr="00F3515B">
              <w:t>o-morbidities)</w:t>
            </w:r>
          </w:p>
        </w:tc>
        <w:tc>
          <w:tcPr>
            <w:tcW w:w="924" w:type="pct"/>
          </w:tcPr>
          <w:p w14:paraId="2279A994" w14:textId="77777777" w:rsidR="00FD675C" w:rsidRDefault="00331F82" w:rsidP="00C510BA">
            <w:pPr>
              <w:pStyle w:val="NEACTableText"/>
            </w:pPr>
            <w:r w:rsidRPr="00F3515B">
              <w:t xml:space="preserve">Assesses all </w:t>
            </w:r>
            <w:r w:rsidR="0081577D" w:rsidRPr="00F3515B">
              <w:t>patients</w:t>
            </w:r>
            <w:r w:rsidRPr="00F3515B">
              <w:t xml:space="preserve"> by the same standard and therefore ensures consistency. </w:t>
            </w:r>
          </w:p>
          <w:p w14:paraId="39A5788A" w14:textId="306B4DA9" w:rsidR="00857442" w:rsidRPr="00F3515B" w:rsidRDefault="00331F82" w:rsidP="00C510BA">
            <w:pPr>
              <w:pStyle w:val="NEACTableText"/>
            </w:pPr>
            <w:r w:rsidRPr="00F3515B">
              <w:t>Need to ensure that disability status and age are not used as proxies for capacity to benefit and that QALY assessments are excluded.</w:t>
            </w:r>
          </w:p>
        </w:tc>
        <w:tc>
          <w:tcPr>
            <w:tcW w:w="1057" w:type="pct"/>
          </w:tcPr>
          <w:p w14:paraId="103D7B3A" w14:textId="2BEF6EE9" w:rsidR="00857442" w:rsidRPr="00F3515B" w:rsidRDefault="00FD675C" w:rsidP="00C510BA">
            <w:pPr>
              <w:pStyle w:val="NEACTableText"/>
            </w:pPr>
            <w:r>
              <w:t>W</w:t>
            </w:r>
            <w:r w:rsidR="00331F82" w:rsidRPr="00F3515B">
              <w:t>ill successful</w:t>
            </w:r>
            <w:r w:rsidR="00CA3FF9" w:rsidRPr="00F3515B">
              <w:t>ly</w:t>
            </w:r>
            <w:r w:rsidR="00331F82" w:rsidRPr="00F3515B">
              <w:t xml:space="preserve"> maximise the most efficient use of resources to minimise population mortality and morbidity.</w:t>
            </w:r>
          </w:p>
        </w:tc>
        <w:tc>
          <w:tcPr>
            <w:tcW w:w="1204" w:type="pct"/>
          </w:tcPr>
          <w:p w14:paraId="078BD6C5" w14:textId="1B7EAE59" w:rsidR="00857442" w:rsidRPr="00F3515B" w:rsidRDefault="00331F82" w:rsidP="00C510BA">
            <w:pPr>
              <w:pStyle w:val="NEACTableText"/>
            </w:pPr>
            <w:r w:rsidRPr="00F3515B">
              <w:t>Will not achieve equitable outcomes between groups because of the unequal distribution of health status amongst the population, including disparities according to ethnicity</w:t>
            </w:r>
            <w:r w:rsidR="00487FB5" w:rsidRPr="00F3515B">
              <w:t>, disability</w:t>
            </w:r>
            <w:r w:rsidRPr="00F3515B">
              <w:t xml:space="preserve"> and socioeconomic status.</w:t>
            </w:r>
          </w:p>
        </w:tc>
        <w:tc>
          <w:tcPr>
            <w:tcW w:w="1105" w:type="pct"/>
          </w:tcPr>
          <w:p w14:paraId="1ABAEA88" w14:textId="0B8A2829" w:rsidR="00857442" w:rsidRPr="00F3515B" w:rsidRDefault="00331F82" w:rsidP="00C510BA">
            <w:pPr>
              <w:pStyle w:val="NEACTableText"/>
            </w:pPr>
            <w:r w:rsidRPr="00F3515B">
              <w:t xml:space="preserve">In many cases, will result in high priority for the sickest patients; but will exclude the very sickest patients who fall below a threshold where there is minimal chance of survival to ICU discharge (or </w:t>
            </w:r>
            <w:r w:rsidR="00FD675C">
              <w:t xml:space="preserve">one </w:t>
            </w:r>
            <w:r w:rsidR="00FA2050" w:rsidRPr="00F3515B">
              <w:t>year</w:t>
            </w:r>
            <w:r w:rsidRPr="00F3515B">
              <w:t xml:space="preserve"> </w:t>
            </w:r>
            <w:r w:rsidR="00FD675C">
              <w:t xml:space="preserve">after </w:t>
            </w:r>
            <w:r w:rsidRPr="00F3515B">
              <w:t>discharge).</w:t>
            </w:r>
          </w:p>
        </w:tc>
      </w:tr>
      <w:tr w:rsidR="00857442" w:rsidRPr="00F3515B" w14:paraId="56A7EE07" w14:textId="77777777" w:rsidTr="00525500">
        <w:trPr>
          <w:cnfStyle w:val="000000010000" w:firstRow="0" w:lastRow="0" w:firstColumn="0" w:lastColumn="0" w:oddVBand="0" w:evenVBand="0" w:oddHBand="0" w:evenHBand="1" w:firstRowFirstColumn="0" w:firstRowLastColumn="0" w:lastRowFirstColumn="0" w:lastRowLastColumn="0"/>
        </w:trPr>
        <w:tc>
          <w:tcPr>
            <w:tcW w:w="710" w:type="pct"/>
            <w:shd w:val="clear" w:color="auto" w:fill="auto"/>
          </w:tcPr>
          <w:p w14:paraId="4850ED21" w14:textId="77777777" w:rsidR="00857442" w:rsidRPr="00F3515B" w:rsidRDefault="00857442" w:rsidP="00A770D0">
            <w:pPr>
              <w:pStyle w:val="NEACTableTextBold"/>
            </w:pPr>
            <w:r w:rsidRPr="00F3515B">
              <w:t>Randomisation / lottery</w:t>
            </w:r>
          </w:p>
        </w:tc>
        <w:tc>
          <w:tcPr>
            <w:tcW w:w="924" w:type="pct"/>
            <w:shd w:val="clear" w:color="auto" w:fill="auto"/>
          </w:tcPr>
          <w:p w14:paraId="61DCA86F" w14:textId="22026556" w:rsidR="00857442" w:rsidRPr="00F3515B" w:rsidRDefault="00FD675C" w:rsidP="00C510BA">
            <w:pPr>
              <w:pStyle w:val="NEACTableText"/>
              <w:rPr>
                <w:rStyle w:val="CommentReference"/>
                <w:rFonts w:eastAsiaTheme="majorEastAsia" w:cs="Arial"/>
                <w:color w:val="auto"/>
                <w:sz w:val="20"/>
                <w:szCs w:val="20"/>
              </w:rPr>
            </w:pPr>
            <w:r>
              <w:t>Gives e</w:t>
            </w:r>
            <w:r w:rsidRPr="00F3515B">
              <w:t xml:space="preserve">veryone </w:t>
            </w:r>
            <w:r w:rsidR="00331F82" w:rsidRPr="00F3515B">
              <w:t>an equal chance.</w:t>
            </w:r>
          </w:p>
        </w:tc>
        <w:tc>
          <w:tcPr>
            <w:tcW w:w="1057" w:type="pct"/>
            <w:shd w:val="clear" w:color="auto" w:fill="auto"/>
          </w:tcPr>
          <w:p w14:paraId="7142286A" w14:textId="511BA7C2" w:rsidR="00857442" w:rsidRPr="00F3515B" w:rsidRDefault="00331F82" w:rsidP="00C510BA">
            <w:pPr>
              <w:pStyle w:val="NEACTableText"/>
            </w:pPr>
            <w:r w:rsidRPr="00F3515B">
              <w:t>Does not ensure the efficient use of resources to maximise benefit</w:t>
            </w:r>
            <w:r w:rsidR="00FD675C">
              <w:t>.</w:t>
            </w:r>
          </w:p>
        </w:tc>
        <w:tc>
          <w:tcPr>
            <w:tcW w:w="1204" w:type="pct"/>
            <w:shd w:val="clear" w:color="auto" w:fill="auto"/>
          </w:tcPr>
          <w:p w14:paraId="57EB599F" w14:textId="50F65009" w:rsidR="00857442" w:rsidRPr="00F3515B" w:rsidRDefault="00331F82" w:rsidP="00C510BA">
            <w:pPr>
              <w:pStyle w:val="NEACTableText"/>
            </w:pPr>
            <w:r w:rsidRPr="00F3515B">
              <w:t xml:space="preserve">Should achieve relatively equitable outcomes between </w:t>
            </w:r>
            <w:r w:rsidR="00CA3FF9" w:rsidRPr="00F3515B">
              <w:t>patients/groups, at least amongst those</w:t>
            </w:r>
            <w:r w:rsidRPr="00F3515B">
              <w:t xml:space="preserve"> who have access to </w:t>
            </w:r>
            <w:r w:rsidR="00C96E2B">
              <w:t>health care</w:t>
            </w:r>
            <w:r w:rsidRPr="00F3515B">
              <w:t xml:space="preserve"> and present for triage assessment.</w:t>
            </w:r>
          </w:p>
        </w:tc>
        <w:tc>
          <w:tcPr>
            <w:tcW w:w="1105" w:type="pct"/>
            <w:shd w:val="clear" w:color="auto" w:fill="auto"/>
          </w:tcPr>
          <w:p w14:paraId="7ADA1C4C" w14:textId="5D937EE4" w:rsidR="00857442" w:rsidRPr="00F3515B" w:rsidRDefault="00331F82" w:rsidP="00C510BA">
            <w:pPr>
              <w:pStyle w:val="NEACTableText"/>
            </w:pPr>
            <w:r w:rsidRPr="00F3515B">
              <w:t xml:space="preserve">Does not prioritise those </w:t>
            </w:r>
            <w:r w:rsidR="00CA3FF9" w:rsidRPr="00F3515B">
              <w:t>with the most</w:t>
            </w:r>
            <w:r w:rsidRPr="00F3515B">
              <w:t xml:space="preserve"> need.</w:t>
            </w:r>
          </w:p>
        </w:tc>
      </w:tr>
      <w:tr w:rsidR="00857442" w:rsidRPr="00F3515B" w14:paraId="185DDBCA" w14:textId="77777777" w:rsidTr="00525500">
        <w:tc>
          <w:tcPr>
            <w:tcW w:w="710" w:type="pct"/>
          </w:tcPr>
          <w:p w14:paraId="3FF4D044" w14:textId="42FD45E0" w:rsidR="00857442" w:rsidRPr="00F3515B" w:rsidRDefault="00857442" w:rsidP="00A770D0">
            <w:pPr>
              <w:pStyle w:val="NEACTableTextBold"/>
            </w:pPr>
            <w:r w:rsidRPr="00F3515B">
              <w:lastRenderedPageBreak/>
              <w:t xml:space="preserve">Priority for </w:t>
            </w:r>
            <w:r w:rsidR="00C96E2B">
              <w:t>health care</w:t>
            </w:r>
            <w:r w:rsidRPr="00F3515B">
              <w:t xml:space="preserve"> and frontline workers (</w:t>
            </w:r>
            <w:proofErr w:type="spellStart"/>
            <w:r w:rsidR="00331F82" w:rsidRPr="00F3515B">
              <w:t>eg</w:t>
            </w:r>
            <w:proofErr w:type="spellEnd"/>
            <w:r w:rsidR="002462E6">
              <w:t>,</w:t>
            </w:r>
            <w:r w:rsidR="00331F82" w:rsidRPr="00F3515B">
              <w:t xml:space="preserve"> </w:t>
            </w:r>
            <w:r w:rsidRPr="00F3515B">
              <w:t>cleaners)</w:t>
            </w:r>
          </w:p>
        </w:tc>
        <w:tc>
          <w:tcPr>
            <w:tcW w:w="924" w:type="pct"/>
          </w:tcPr>
          <w:p w14:paraId="314EEF8D" w14:textId="77CBC4F8" w:rsidR="00857442" w:rsidRPr="00F3515B" w:rsidRDefault="00331F82" w:rsidP="00C510BA">
            <w:pPr>
              <w:pStyle w:val="NEACTableText"/>
            </w:pPr>
            <w:r w:rsidRPr="00F3515B">
              <w:t xml:space="preserve">Does not treat all patients’ equally because it gives priority to some classes of </w:t>
            </w:r>
            <w:r w:rsidR="00212177" w:rsidRPr="00F3515B">
              <w:t>patients</w:t>
            </w:r>
            <w:r w:rsidRPr="00F3515B">
              <w:t xml:space="preserve"> based on their employment status and perceived social utility.</w:t>
            </w:r>
          </w:p>
        </w:tc>
        <w:tc>
          <w:tcPr>
            <w:tcW w:w="1057" w:type="pct"/>
          </w:tcPr>
          <w:p w14:paraId="2DE6A050" w14:textId="7350E4B0" w:rsidR="00857442" w:rsidRPr="00F3515B" w:rsidRDefault="00331F82" w:rsidP="00C510BA">
            <w:pPr>
              <w:pStyle w:val="NEACTableText"/>
            </w:pPr>
            <w:r w:rsidRPr="00F3515B">
              <w:t>Supports population health if</w:t>
            </w:r>
            <w:r w:rsidR="00CA3FF9" w:rsidRPr="00F3515B">
              <w:t>:</w:t>
            </w:r>
            <w:r w:rsidRPr="00F3515B">
              <w:t xml:space="preserve"> (1) priority access to treatment acts as an incentive for essential frontline workers to continue to work </w:t>
            </w:r>
            <w:r w:rsidR="00FD675C">
              <w:t>before</w:t>
            </w:r>
            <w:r w:rsidRPr="00F3515B">
              <w:t xml:space="preserve"> infection and/or (2) means essential frontline workers recover from critical </w:t>
            </w:r>
            <w:r w:rsidR="00FD675C">
              <w:t>infection</w:t>
            </w:r>
            <w:r w:rsidRPr="00F3515B">
              <w:t xml:space="preserve"> and can resume work. </w:t>
            </w:r>
            <w:r w:rsidR="00CA3FF9" w:rsidRPr="00F3515B">
              <w:t>(T</w:t>
            </w:r>
            <w:r w:rsidRPr="00F3515B">
              <w:t>hese assumptions would need to be tested with empirical evidence</w:t>
            </w:r>
            <w:r w:rsidR="00FD675C">
              <w:t>.</w:t>
            </w:r>
            <w:r w:rsidRPr="00F3515B">
              <w:t>)</w:t>
            </w:r>
          </w:p>
        </w:tc>
        <w:tc>
          <w:tcPr>
            <w:tcW w:w="1204" w:type="pct"/>
          </w:tcPr>
          <w:p w14:paraId="4FDF5C97" w14:textId="4130F25D" w:rsidR="00857442" w:rsidRPr="00F3515B" w:rsidRDefault="00CA3FF9" w:rsidP="00C510BA">
            <w:pPr>
              <w:pStyle w:val="NEACTableText"/>
            </w:pPr>
            <w:r w:rsidRPr="00F3515B">
              <w:t>May support equitable outcomes if we believe that</w:t>
            </w:r>
            <w:r w:rsidR="00FD675C">
              <w:t xml:space="preserve"> primary</w:t>
            </w:r>
            <w:r w:rsidRPr="00F3515B">
              <w:t xml:space="preserve"> health </w:t>
            </w:r>
            <w:r w:rsidR="00FD675C">
              <w:t xml:space="preserve">care </w:t>
            </w:r>
            <w:r w:rsidRPr="00F3515B">
              <w:t>and frontline workers are fairly entitled to priority access due to the special burdens they have carried on behalf of society.</w:t>
            </w:r>
          </w:p>
        </w:tc>
        <w:tc>
          <w:tcPr>
            <w:tcW w:w="1105" w:type="pct"/>
          </w:tcPr>
          <w:p w14:paraId="46EFF7EE" w14:textId="6BE1BC63" w:rsidR="00857442" w:rsidRPr="00F3515B" w:rsidRDefault="00CA3FF9" w:rsidP="00C510BA">
            <w:pPr>
              <w:pStyle w:val="NEACTableText"/>
            </w:pPr>
            <w:r w:rsidRPr="00F3515B">
              <w:t>May prioritise those in greatest need if we interpreted need as those at greatest risk of harm; evidence suggest</w:t>
            </w:r>
            <w:r w:rsidR="00FD675C">
              <w:t>s</w:t>
            </w:r>
            <w:r w:rsidRPr="00F3515B">
              <w:t xml:space="preserve"> that health workers </w:t>
            </w:r>
            <w:r w:rsidR="00FA2050" w:rsidRPr="00F3515B">
              <w:t>and, in some case,</w:t>
            </w:r>
            <w:r w:rsidRPr="00F3515B">
              <w:t xml:space="preserve"> frontline workers are at significantly increased risk of </w:t>
            </w:r>
            <w:r w:rsidR="00212177">
              <w:t>contracting</w:t>
            </w:r>
            <w:r w:rsidR="00FD675C">
              <w:t xml:space="preserve"> a pandemic infection, such as</w:t>
            </w:r>
            <w:r w:rsidRPr="00F3515B">
              <w:t xml:space="preserve"> </w:t>
            </w:r>
            <w:r w:rsidR="00262191">
              <w:t>COVID-19</w:t>
            </w:r>
            <w:r w:rsidRPr="00F3515B">
              <w:t>.</w:t>
            </w:r>
          </w:p>
        </w:tc>
      </w:tr>
    </w:tbl>
    <w:p w14:paraId="5C49261B" w14:textId="77777777" w:rsidR="002D2D17" w:rsidRPr="00F3515B" w:rsidRDefault="002D2D17" w:rsidP="00453294">
      <w:pPr>
        <w:spacing w:before="0" w:after="160" w:line="259" w:lineRule="auto"/>
        <w:rPr>
          <w:rFonts w:ascii="Helv" w:eastAsiaTheme="minorHAnsi" w:hAnsi="Helv" w:cs="ClassicalGaramondBT-Roman"/>
          <w:color w:val="auto"/>
          <w:szCs w:val="18"/>
        </w:rPr>
        <w:sectPr w:rsidR="002D2D17" w:rsidRPr="00F3515B" w:rsidSect="003A33B5">
          <w:pgSz w:w="16838" w:h="11906" w:orient="landscape"/>
          <w:pgMar w:top="1814" w:right="2041" w:bottom="1588" w:left="1361" w:header="709" w:footer="709" w:gutter="0"/>
          <w:cols w:space="708"/>
          <w:docGrid w:linePitch="360"/>
        </w:sectPr>
      </w:pPr>
    </w:p>
    <w:p w14:paraId="0F7F5A74" w14:textId="77777777" w:rsidR="00525500" w:rsidRDefault="00525500" w:rsidP="00C63699">
      <w:pPr>
        <w:spacing w:before="0" w:after="160" w:line="259" w:lineRule="auto"/>
        <w:rPr>
          <w:rFonts w:ascii="Helv" w:hAnsi="Helv"/>
          <w:color w:val="003F5F" w:themeColor="accent1"/>
          <w:sz w:val="52"/>
        </w:rPr>
        <w:sectPr w:rsidR="00525500" w:rsidSect="00C63699">
          <w:type w:val="continuous"/>
          <w:pgSz w:w="16838" w:h="11906" w:orient="landscape"/>
          <w:pgMar w:top="1814" w:right="2041" w:bottom="1588" w:left="1361" w:header="709" w:footer="709" w:gutter="0"/>
          <w:cols w:num="2" w:space="708"/>
          <w:docGrid w:linePitch="360"/>
        </w:sectPr>
      </w:pPr>
    </w:p>
    <w:p w14:paraId="41E9307A" w14:textId="2F7DFDD3" w:rsidR="00C63699" w:rsidRPr="00F3515B" w:rsidRDefault="00212004" w:rsidP="00C44415">
      <w:pPr>
        <w:pStyle w:val="Heading1"/>
      </w:pPr>
      <w:bookmarkStart w:id="57" w:name="_Toc42062696"/>
      <w:bookmarkStart w:id="58" w:name="_Toc42073350"/>
      <w:r w:rsidRPr="00F3515B">
        <w:lastRenderedPageBreak/>
        <w:t>Example</w:t>
      </w:r>
      <w:r w:rsidR="008C454A">
        <w:t xml:space="preserve"> 2</w:t>
      </w:r>
      <w:r w:rsidRPr="00F3515B">
        <w:t xml:space="preserve">: </w:t>
      </w:r>
      <w:r w:rsidR="00C63699" w:rsidRPr="00F3515B">
        <w:t xml:space="preserve">Personal </w:t>
      </w:r>
      <w:r w:rsidR="008C454A">
        <w:t>p</w:t>
      </w:r>
      <w:r w:rsidR="00C63699" w:rsidRPr="00F3515B">
        <w:t xml:space="preserve">rotective </w:t>
      </w:r>
      <w:r w:rsidR="008C454A">
        <w:t>e</w:t>
      </w:r>
      <w:r w:rsidR="00C63699" w:rsidRPr="00F3515B">
        <w:t xml:space="preserve">quipment </w:t>
      </w:r>
      <w:r w:rsidR="008C454A">
        <w:t>a</w:t>
      </w:r>
      <w:r w:rsidRPr="00F3515B">
        <w:t>llocation</w:t>
      </w:r>
      <w:bookmarkEnd w:id="57"/>
      <w:bookmarkEnd w:id="58"/>
    </w:p>
    <w:p w14:paraId="6EE9992A" w14:textId="77777777" w:rsidR="00C63699" w:rsidRPr="00F3515B" w:rsidRDefault="00C63699" w:rsidP="00B867C6">
      <w:pPr>
        <w:pStyle w:val="Heading2"/>
        <w:rPr>
          <w:shd w:val="clear" w:color="auto" w:fill="FFFFFF"/>
        </w:rPr>
      </w:pPr>
      <w:bookmarkStart w:id="59" w:name="_Toc42062697"/>
      <w:bookmarkStart w:id="60" w:name="_Toc42073351"/>
      <w:r w:rsidRPr="00F3515B">
        <w:rPr>
          <w:shd w:val="clear" w:color="auto" w:fill="FFFFFF"/>
        </w:rPr>
        <w:t>Introduction</w:t>
      </w:r>
      <w:bookmarkEnd w:id="59"/>
      <w:bookmarkEnd w:id="60"/>
    </w:p>
    <w:p w14:paraId="583D9C8B" w14:textId="0D846032" w:rsidR="00701E2C" w:rsidRDefault="00D800D8" w:rsidP="00B867C6">
      <w:pPr>
        <w:pStyle w:val="NEACNormal"/>
        <w:rPr>
          <w:shd w:val="clear" w:color="auto" w:fill="FFFFFF"/>
        </w:rPr>
      </w:pPr>
      <w:r>
        <w:rPr>
          <w:shd w:val="clear" w:color="auto" w:fill="FFFFFF"/>
        </w:rPr>
        <w:t>COVID-19</w:t>
      </w:r>
      <w:r w:rsidR="00D236A9" w:rsidRPr="00F3515B">
        <w:rPr>
          <w:shd w:val="clear" w:color="auto" w:fill="FFFFFF"/>
        </w:rPr>
        <w:t xml:space="preserve"> is an easily transmissible infectious disease</w:t>
      </w:r>
      <w:r w:rsidR="0059019A">
        <w:rPr>
          <w:shd w:val="clear" w:color="auto" w:fill="FFFFFF"/>
        </w:rPr>
        <w:t xml:space="preserve">. </w:t>
      </w:r>
      <w:r w:rsidR="0059019A" w:rsidRPr="0059019A">
        <w:rPr>
          <w:shd w:val="clear" w:color="auto" w:fill="FFFFFF"/>
        </w:rPr>
        <w:t xml:space="preserve">Personal protective equipment </w:t>
      </w:r>
      <w:r w:rsidR="008C454A">
        <w:rPr>
          <w:shd w:val="clear" w:color="auto" w:fill="FFFFFF"/>
        </w:rPr>
        <w:t xml:space="preserve">(PPE) </w:t>
      </w:r>
      <w:r w:rsidR="0059019A" w:rsidRPr="0059019A">
        <w:rPr>
          <w:shd w:val="clear" w:color="auto" w:fill="FFFFFF"/>
        </w:rPr>
        <w:t>is an important component, but only one part, of a system protecting staff and other patients from</w:t>
      </w:r>
      <w:r w:rsidR="0059019A">
        <w:rPr>
          <w:shd w:val="clear" w:color="auto" w:fill="FFFFFF"/>
        </w:rPr>
        <w:t xml:space="preserve"> </w:t>
      </w:r>
      <w:r w:rsidR="0059019A" w:rsidRPr="0059019A">
        <w:rPr>
          <w:shd w:val="clear" w:color="auto" w:fill="FFFFFF"/>
        </w:rPr>
        <w:t>cross</w:t>
      </w:r>
      <w:r w:rsidR="0059019A" w:rsidRPr="0059019A">
        <w:rPr>
          <w:rFonts w:ascii="Cambria Math" w:hAnsi="Cambria Math" w:cs="Cambria Math"/>
          <w:shd w:val="clear" w:color="auto" w:fill="FFFFFF"/>
        </w:rPr>
        <w:t>‐</w:t>
      </w:r>
      <w:r w:rsidR="0059019A" w:rsidRPr="0059019A">
        <w:rPr>
          <w:shd w:val="clear" w:color="auto" w:fill="FFFFFF"/>
        </w:rPr>
        <w:t>infection</w:t>
      </w:r>
      <w:r w:rsidR="0059019A">
        <w:rPr>
          <w:shd w:val="clear" w:color="auto" w:fill="FFFFFF"/>
        </w:rPr>
        <w:t xml:space="preserve"> </w:t>
      </w:r>
      <w:r w:rsidR="00701E2C">
        <w:rPr>
          <w:shd w:val="clear" w:color="auto" w:fill="FFFFFF"/>
        </w:rPr>
        <w:t xml:space="preserve">of </w:t>
      </w:r>
      <w:r w:rsidR="00701E2C" w:rsidRPr="00F3515B">
        <w:rPr>
          <w:shd w:val="clear" w:color="auto" w:fill="FFFFFF"/>
        </w:rPr>
        <w:t>easily transmissible infectious disease</w:t>
      </w:r>
      <w:r w:rsidR="00701E2C">
        <w:rPr>
          <w:shd w:val="clear" w:color="auto" w:fill="FFFFFF"/>
        </w:rPr>
        <w:t xml:space="preserve">s </w:t>
      </w:r>
      <w:r w:rsidR="0059019A">
        <w:rPr>
          <w:shd w:val="clear" w:color="auto" w:fill="FFFFFF"/>
        </w:rPr>
        <w:t xml:space="preserve">and can be considered </w:t>
      </w:r>
      <w:r w:rsidR="00212177">
        <w:rPr>
          <w:shd w:val="clear" w:color="auto" w:fill="FFFFFF"/>
        </w:rPr>
        <w:t xml:space="preserve">a </w:t>
      </w:r>
      <w:r w:rsidR="0059019A">
        <w:rPr>
          <w:shd w:val="clear" w:color="auto" w:fill="FFFFFF"/>
        </w:rPr>
        <w:t>harm reduction resource</w:t>
      </w:r>
      <w:r w:rsidR="00665FFA">
        <w:rPr>
          <w:shd w:val="clear" w:color="auto" w:fill="FFFFFF"/>
        </w:rPr>
        <w:t xml:space="preserve"> </w:t>
      </w:r>
      <w:r w:rsidR="00701E2C">
        <w:rPr>
          <w:shd w:val="clear" w:color="auto" w:fill="FFFFFF"/>
        </w:rPr>
        <w:t xml:space="preserve">since </w:t>
      </w:r>
      <w:r w:rsidR="00665FFA">
        <w:rPr>
          <w:shd w:val="clear" w:color="auto" w:fill="FFFFFF"/>
        </w:rPr>
        <w:t>ap</w:t>
      </w:r>
      <w:r w:rsidR="0059019A" w:rsidRPr="0059019A">
        <w:rPr>
          <w:shd w:val="clear" w:color="auto" w:fill="FFFFFF"/>
        </w:rPr>
        <w:t>propriate use significantly reduces risk of viral transmission.</w:t>
      </w:r>
      <w:r w:rsidR="0059019A">
        <w:rPr>
          <w:shd w:val="clear" w:color="auto" w:fill="FFFFFF"/>
        </w:rPr>
        <w:t xml:space="preserve"> </w:t>
      </w:r>
    </w:p>
    <w:p w14:paraId="3EA356C5" w14:textId="4EAB5DEE" w:rsidR="00C63699" w:rsidRPr="00F3515B" w:rsidRDefault="00701E2C" w:rsidP="00B867C6">
      <w:pPr>
        <w:pStyle w:val="NEACNormal"/>
        <w:rPr>
          <w:shd w:val="clear" w:color="auto" w:fill="FFFFFF"/>
        </w:rPr>
      </w:pPr>
      <w:r>
        <w:rPr>
          <w:shd w:val="clear" w:color="auto" w:fill="FFFFFF"/>
        </w:rPr>
        <w:t xml:space="preserve">During a pandemic, </w:t>
      </w:r>
      <w:r w:rsidR="0059019A">
        <w:rPr>
          <w:shd w:val="clear" w:color="auto" w:fill="FFFFFF"/>
        </w:rPr>
        <w:t xml:space="preserve">PPE must be prioritised and allocated based on proportionate and reasoned guidelines. </w:t>
      </w:r>
      <w:r w:rsidR="0059019A" w:rsidRPr="0059019A">
        <w:rPr>
          <w:shd w:val="clear" w:color="auto" w:fill="FFFFFF"/>
        </w:rPr>
        <w:t>Overuse of PPE is a form of misuse</w:t>
      </w:r>
      <w:r w:rsidR="00665FFA">
        <w:rPr>
          <w:shd w:val="clear" w:color="auto" w:fill="FFFFFF"/>
        </w:rPr>
        <w:t xml:space="preserve"> and should be avoided</w:t>
      </w:r>
      <w:r w:rsidR="0059019A" w:rsidRPr="0059019A">
        <w:rPr>
          <w:shd w:val="clear" w:color="auto" w:fill="FFFFFF"/>
        </w:rPr>
        <w:t>.</w:t>
      </w:r>
      <w:r w:rsidR="0059019A">
        <w:rPr>
          <w:shd w:val="clear" w:color="auto" w:fill="FFFFFF"/>
        </w:rPr>
        <w:t xml:space="preserve"> </w:t>
      </w:r>
    </w:p>
    <w:p w14:paraId="4989662A" w14:textId="2A6B079A" w:rsidR="00DF075C" w:rsidRPr="00F3515B" w:rsidRDefault="00DF075C" w:rsidP="00B867C6">
      <w:pPr>
        <w:pStyle w:val="Heading2"/>
        <w:rPr>
          <w:shd w:val="clear" w:color="auto" w:fill="FFFFFF"/>
        </w:rPr>
      </w:pPr>
      <w:bookmarkStart w:id="61" w:name="_Toc42062698"/>
      <w:bookmarkStart w:id="62" w:name="_Toc42073352"/>
      <w:r w:rsidRPr="00F3515B">
        <w:rPr>
          <w:shd w:val="clear" w:color="auto" w:fill="FFFFFF"/>
        </w:rPr>
        <w:t>Applying the principles</w:t>
      </w:r>
      <w:bookmarkEnd w:id="61"/>
      <w:bookmarkEnd w:id="62"/>
    </w:p>
    <w:p w14:paraId="58F7C34F" w14:textId="7057E5BA" w:rsidR="00A92E74" w:rsidRPr="00F3515B" w:rsidRDefault="00A92E74" w:rsidP="00B867C6">
      <w:pPr>
        <w:pStyle w:val="Heading3"/>
        <w:rPr>
          <w:lang w:eastAsia="en-NZ"/>
        </w:rPr>
      </w:pPr>
      <w:bookmarkStart w:id="63" w:name="_Toc42062699"/>
      <w:bookmarkStart w:id="64" w:name="_Toc42073353"/>
      <w:r w:rsidRPr="00F3515B">
        <w:rPr>
          <w:lang w:eastAsia="en-NZ"/>
        </w:rPr>
        <w:t>Prioritising the</w:t>
      </w:r>
      <w:r w:rsidR="006D06E5">
        <w:rPr>
          <w:lang w:eastAsia="en-NZ"/>
        </w:rPr>
        <w:t xml:space="preserve"> people</w:t>
      </w:r>
      <w:r w:rsidRPr="00F3515B">
        <w:rPr>
          <w:lang w:eastAsia="en-NZ"/>
        </w:rPr>
        <w:t xml:space="preserve"> most in need</w:t>
      </w:r>
      <w:bookmarkEnd w:id="63"/>
      <w:bookmarkEnd w:id="64"/>
    </w:p>
    <w:p w14:paraId="21490370" w14:textId="2124B3F1" w:rsidR="00F3515B" w:rsidRPr="00673D52" w:rsidRDefault="00F3515B" w:rsidP="00B867C6">
      <w:pPr>
        <w:pStyle w:val="NEACNormal"/>
      </w:pPr>
      <w:r w:rsidRPr="00673D52">
        <w:t xml:space="preserve">Because </w:t>
      </w:r>
      <w:r w:rsidR="00701E2C">
        <w:t>the principle getting</w:t>
      </w:r>
      <w:r w:rsidR="00701E2C" w:rsidRPr="00673D52">
        <w:t xml:space="preserve"> </w:t>
      </w:r>
      <w:r w:rsidRPr="00673D52">
        <w:t xml:space="preserve">the </w:t>
      </w:r>
      <w:r w:rsidR="00701E2C">
        <w:t>most from</w:t>
      </w:r>
      <w:r w:rsidR="000C0B83">
        <w:t xml:space="preserve"> the</w:t>
      </w:r>
      <w:r w:rsidRPr="00673D52">
        <w:t xml:space="preserve"> resources in </w:t>
      </w:r>
      <w:r w:rsidR="0059019A" w:rsidRPr="00673D52">
        <w:t>this case</w:t>
      </w:r>
      <w:r w:rsidRPr="00673D52">
        <w:t xml:space="preserve"> is defined in terms of harm minimi</w:t>
      </w:r>
      <w:r w:rsidR="00212177">
        <w:t>s</w:t>
      </w:r>
      <w:r w:rsidRPr="00673D52">
        <w:t xml:space="preserve">ation, this will for the most part align with prioritising </w:t>
      </w:r>
      <w:r w:rsidR="00701E2C">
        <w:t>the people</w:t>
      </w:r>
      <w:r w:rsidRPr="00673D52">
        <w:t xml:space="preserve"> </w:t>
      </w:r>
      <w:r w:rsidR="00701E2C">
        <w:t xml:space="preserve">most </w:t>
      </w:r>
      <w:r w:rsidRPr="00673D52">
        <w:t xml:space="preserve">in need. </w:t>
      </w:r>
      <w:r w:rsidR="00701E2C">
        <w:t>For</w:t>
      </w:r>
      <w:r w:rsidR="00701E2C" w:rsidRPr="00673D52">
        <w:t xml:space="preserve"> </w:t>
      </w:r>
      <w:r w:rsidRPr="00673D52">
        <w:t>both principles</w:t>
      </w:r>
      <w:r w:rsidR="00701E2C">
        <w:t>,</w:t>
      </w:r>
      <w:r w:rsidRPr="00673D52">
        <w:t xml:space="preserve"> we should prioritise those at greatest risk (</w:t>
      </w:r>
      <w:r w:rsidR="00665FFA" w:rsidRPr="00673D52">
        <w:t xml:space="preserve">both </w:t>
      </w:r>
      <w:r w:rsidRPr="00673D52">
        <w:t xml:space="preserve">of infection </w:t>
      </w:r>
      <w:r w:rsidR="00665FFA" w:rsidRPr="00673D52">
        <w:t>and</w:t>
      </w:r>
      <w:r w:rsidRPr="00673D52">
        <w:t xml:space="preserve"> risk of serve </w:t>
      </w:r>
      <w:r w:rsidR="00764EDA" w:rsidRPr="00673D52">
        <w:t>COVID-19</w:t>
      </w:r>
      <w:r w:rsidR="00665FFA" w:rsidRPr="00673D52">
        <w:t xml:space="preserve"> mortality</w:t>
      </w:r>
      <w:r w:rsidRPr="00673D52">
        <w:t>)</w:t>
      </w:r>
      <w:r w:rsidR="00701E2C">
        <w:t>.</w:t>
      </w:r>
    </w:p>
    <w:p w14:paraId="306BD6EE" w14:textId="396DB9CC" w:rsidR="00DA63A9" w:rsidRPr="00673D52" w:rsidRDefault="00701E2C" w:rsidP="00B867C6">
      <w:pPr>
        <w:pStyle w:val="NEACNormal"/>
      </w:pPr>
      <w:r>
        <w:t>‘</w:t>
      </w:r>
      <w:r w:rsidR="00DA63A9" w:rsidRPr="00673D52">
        <w:t>Need</w:t>
      </w:r>
      <w:r>
        <w:t>’</w:t>
      </w:r>
      <w:r w:rsidR="00595F2C" w:rsidRPr="00673D52">
        <w:t xml:space="preserve"> can relate to </w:t>
      </w:r>
      <w:r w:rsidR="00DA63A9" w:rsidRPr="00673D52">
        <w:t>several</w:t>
      </w:r>
      <w:r w:rsidR="00595F2C" w:rsidRPr="00673D52">
        <w:t xml:space="preserve"> distinct criteria. In the case of PPE</w:t>
      </w:r>
      <w:r>
        <w:t>,</w:t>
      </w:r>
      <w:r w:rsidR="00595F2C" w:rsidRPr="00673D52">
        <w:t xml:space="preserve"> these include</w:t>
      </w:r>
      <w:r>
        <w:t>:</w:t>
      </w:r>
      <w:r w:rsidR="00DA63A9" w:rsidRPr="00673D52">
        <w:t xml:space="preserve"> the</w:t>
      </w:r>
      <w:r w:rsidR="00595F2C" w:rsidRPr="00673D52">
        <w:t xml:space="preserve"> need to reduce the chance of contracting </w:t>
      </w:r>
      <w:r>
        <w:t>infection</w:t>
      </w:r>
      <w:r w:rsidRPr="00673D52">
        <w:t xml:space="preserve"> </w:t>
      </w:r>
      <w:r w:rsidR="00595F2C" w:rsidRPr="00673D52">
        <w:t xml:space="preserve">by those who take greater risks because of their health care or other roles; the need to protect those who are most likely to contract </w:t>
      </w:r>
      <w:r w:rsidR="00764EDA" w:rsidRPr="00673D52">
        <w:t>COVID-19</w:t>
      </w:r>
      <w:r w:rsidR="00595F2C" w:rsidRPr="00673D52">
        <w:t xml:space="preserve"> through contact with carers; the need to preserve the welfare of those who are most affected by </w:t>
      </w:r>
      <w:r w:rsidR="00D800D8" w:rsidRPr="00673D52">
        <w:t>COVID-19</w:t>
      </w:r>
      <w:r w:rsidR="00595F2C" w:rsidRPr="00673D52">
        <w:t xml:space="preserve"> (</w:t>
      </w:r>
      <w:proofErr w:type="spellStart"/>
      <w:r w:rsidR="00595F2C" w:rsidRPr="00673D52">
        <w:t>eg</w:t>
      </w:r>
      <w:proofErr w:type="spellEnd"/>
      <w:r w:rsidR="002462E6">
        <w:t>,</w:t>
      </w:r>
      <w:r w:rsidR="00595F2C" w:rsidRPr="00673D52">
        <w:t xml:space="preserve"> those who are dying and their families)</w:t>
      </w:r>
      <w:r w:rsidR="00DA63A9" w:rsidRPr="00673D52">
        <w:t xml:space="preserve">. </w:t>
      </w:r>
    </w:p>
    <w:p w14:paraId="60428498" w14:textId="417DA1FF" w:rsidR="00A92E74" w:rsidRPr="00673D52" w:rsidRDefault="00E013F8" w:rsidP="00B867C6">
      <w:pPr>
        <w:pStyle w:val="NEACNormal"/>
      </w:pPr>
      <w:r w:rsidRPr="00673D52">
        <w:t xml:space="preserve">Another </w:t>
      </w:r>
      <w:r w:rsidR="00212177">
        <w:t xml:space="preserve">option </w:t>
      </w:r>
      <w:r w:rsidRPr="00673D52">
        <w:t>is to prioritise populations that are particularly impacted by</w:t>
      </w:r>
      <w:r w:rsidR="00DA63A9" w:rsidRPr="00673D52">
        <w:t xml:space="preserve"> </w:t>
      </w:r>
      <w:r w:rsidR="00D800D8" w:rsidRPr="00673D52">
        <w:t>COVID-19</w:t>
      </w:r>
      <w:r w:rsidR="00DA63A9" w:rsidRPr="00673D52">
        <w:t xml:space="preserve">. </w:t>
      </w:r>
    </w:p>
    <w:p w14:paraId="72E5B4F9" w14:textId="5D721D22" w:rsidR="00A92E74" w:rsidRPr="00673D52" w:rsidRDefault="00A92E74" w:rsidP="00B867C6">
      <w:pPr>
        <w:pStyle w:val="Heading3"/>
        <w:rPr>
          <w:lang w:eastAsia="en-NZ"/>
        </w:rPr>
      </w:pPr>
      <w:bookmarkStart w:id="65" w:name="_Toc42062700"/>
      <w:bookmarkStart w:id="66" w:name="_Toc42073354"/>
      <w:r w:rsidRPr="00673D52">
        <w:rPr>
          <w:lang w:eastAsia="en-NZ"/>
        </w:rPr>
        <w:t xml:space="preserve">Getting the most </w:t>
      </w:r>
      <w:r w:rsidR="006D06E5">
        <w:rPr>
          <w:lang w:eastAsia="en-NZ"/>
        </w:rPr>
        <w:t>from the</w:t>
      </w:r>
      <w:r w:rsidRPr="00673D52">
        <w:rPr>
          <w:lang w:eastAsia="en-NZ"/>
        </w:rPr>
        <w:t xml:space="preserve"> resources</w:t>
      </w:r>
      <w:bookmarkEnd w:id="65"/>
      <w:bookmarkEnd w:id="66"/>
    </w:p>
    <w:p w14:paraId="39B68A02" w14:textId="7DD49B2E" w:rsidR="00195C2D" w:rsidRPr="00673D52" w:rsidRDefault="00195C2D" w:rsidP="00B867C6">
      <w:pPr>
        <w:pStyle w:val="NEACNormal"/>
      </w:pPr>
      <w:r w:rsidRPr="00673D52">
        <w:t>Distribution of PPE should minimi</w:t>
      </w:r>
      <w:r w:rsidR="00212177">
        <w:t>s</w:t>
      </w:r>
      <w:r w:rsidRPr="00673D52">
        <w:t xml:space="preserve">e infection rates of </w:t>
      </w:r>
      <w:r w:rsidR="00464D31" w:rsidRPr="00673D52">
        <w:t xml:space="preserve">COVID-19 </w:t>
      </w:r>
      <w:r w:rsidRPr="00673D52">
        <w:t xml:space="preserve">(and other pathogens) in order to reduce mortality and morbidity from </w:t>
      </w:r>
      <w:r w:rsidR="00D800D8" w:rsidRPr="00673D52">
        <w:t>COVID-19</w:t>
      </w:r>
      <w:r w:rsidRPr="00673D52">
        <w:t xml:space="preserve"> (and other diseases) across the population.  </w:t>
      </w:r>
    </w:p>
    <w:p w14:paraId="2AD92F17" w14:textId="21419203" w:rsidR="00195C2D" w:rsidRPr="00673D52" w:rsidRDefault="00DA63A9" w:rsidP="00B867C6">
      <w:pPr>
        <w:pStyle w:val="NEACNormal"/>
      </w:pPr>
      <w:r w:rsidRPr="00673D52">
        <w:lastRenderedPageBreak/>
        <w:t xml:space="preserve">This </w:t>
      </w:r>
      <w:r w:rsidR="00195C2D" w:rsidRPr="00673D52">
        <w:t>take</w:t>
      </w:r>
      <w:r w:rsidR="00464D31">
        <w:t>s</w:t>
      </w:r>
      <w:r w:rsidR="00195C2D" w:rsidRPr="00673D52">
        <w:t xml:space="preserve"> account of the risk of exposure and the risk of infection resulting in severe </w:t>
      </w:r>
      <w:r w:rsidR="00764EDA" w:rsidRPr="00673D52">
        <w:t>COVID-19</w:t>
      </w:r>
      <w:r w:rsidR="00195C2D" w:rsidRPr="00673D52">
        <w:t xml:space="preserve"> morbidity or mortality. Some groups may be at high risk of exposure but low risk of sever</w:t>
      </w:r>
      <w:r w:rsidRPr="00673D52">
        <w:t>e</w:t>
      </w:r>
      <w:r w:rsidR="00195C2D" w:rsidRPr="00673D52">
        <w:t xml:space="preserve"> </w:t>
      </w:r>
      <w:r w:rsidR="00764EDA" w:rsidRPr="00673D52">
        <w:t>COVID-19</w:t>
      </w:r>
      <w:r w:rsidR="00195C2D" w:rsidRPr="00673D52">
        <w:t xml:space="preserve"> or vice versa. </w:t>
      </w:r>
    </w:p>
    <w:p w14:paraId="68F06051" w14:textId="2E6F56ED" w:rsidR="00195C2D" w:rsidRPr="00673D52" w:rsidRDefault="00195C2D" w:rsidP="00B867C6">
      <w:pPr>
        <w:pStyle w:val="NEACNormal"/>
      </w:pPr>
      <w:r w:rsidRPr="00673D52">
        <w:t xml:space="preserve">Risk of harm to providers contracting </w:t>
      </w:r>
      <w:r w:rsidR="00541500">
        <w:t>COVID-</w:t>
      </w:r>
      <w:proofErr w:type="gramStart"/>
      <w:r w:rsidR="00541500">
        <w:t xml:space="preserve">19 </w:t>
      </w:r>
      <w:r w:rsidRPr="00673D52">
        <w:t xml:space="preserve"> within</w:t>
      </w:r>
      <w:proofErr w:type="gramEnd"/>
      <w:r w:rsidRPr="00673D52">
        <w:t xml:space="preserve"> the </w:t>
      </w:r>
      <w:r w:rsidR="00C96E2B">
        <w:t>health care</w:t>
      </w:r>
      <w:r w:rsidRPr="00673D52">
        <w:t xml:space="preserve"> system will vary according to:</w:t>
      </w:r>
    </w:p>
    <w:p w14:paraId="68ABF0E5" w14:textId="7B70783E" w:rsidR="00195C2D" w:rsidRPr="004F0E79" w:rsidRDefault="00701E2C" w:rsidP="005B604C">
      <w:pPr>
        <w:pStyle w:val="NEACBullet"/>
      </w:pPr>
      <w:r>
        <w:t xml:space="preserve">the </w:t>
      </w:r>
      <w:r w:rsidR="00212177">
        <w:t>n</w:t>
      </w:r>
      <w:r w:rsidR="00195C2D" w:rsidRPr="004F0E79">
        <w:t xml:space="preserve">ature of the </w:t>
      </w:r>
      <w:r w:rsidR="00DA63A9" w:rsidRPr="004F0E79">
        <w:t>clinical</w:t>
      </w:r>
      <w:r w:rsidR="00195C2D" w:rsidRPr="004F0E79">
        <w:t xml:space="preserve"> encounter</w:t>
      </w:r>
      <w:r>
        <w:t>, that is,</w:t>
      </w:r>
      <w:r w:rsidR="00DA63A9" w:rsidRPr="004F0E79">
        <w:t xml:space="preserve"> </w:t>
      </w:r>
      <w:r w:rsidR="00195C2D" w:rsidRPr="004F0E79">
        <w:t xml:space="preserve">intubation </w:t>
      </w:r>
      <w:r w:rsidR="00464D31">
        <w:t xml:space="preserve">is </w:t>
      </w:r>
      <w:r w:rsidR="00195C2D" w:rsidRPr="004F0E79">
        <w:t xml:space="preserve">more dangerous that transporting patients </w:t>
      </w:r>
    </w:p>
    <w:p w14:paraId="2745697E" w14:textId="481BB118" w:rsidR="00195C2D" w:rsidRPr="004F0E79" w:rsidRDefault="00302385" w:rsidP="005B604C">
      <w:pPr>
        <w:pStyle w:val="NEACBullet"/>
      </w:pPr>
      <w:r>
        <w:t xml:space="preserve">the </w:t>
      </w:r>
      <w:r w:rsidR="00212177">
        <w:t>i</w:t>
      </w:r>
      <w:r w:rsidR="00195C2D" w:rsidRPr="004F0E79">
        <w:t>nfectious status of the patient</w:t>
      </w:r>
      <w:r>
        <w:t xml:space="preserve">, that is, </w:t>
      </w:r>
      <w:r w:rsidR="00195C2D" w:rsidRPr="004F0E79">
        <w:t xml:space="preserve">the patient has confirmed, suspected or does not have </w:t>
      </w:r>
      <w:r w:rsidR="00764EDA">
        <w:t>COVID-19</w:t>
      </w:r>
    </w:p>
    <w:p w14:paraId="2CECDA9F" w14:textId="6A9CC8DB" w:rsidR="00195C2D" w:rsidRPr="004F0E79" w:rsidRDefault="00212177" w:rsidP="005B604C">
      <w:pPr>
        <w:pStyle w:val="NEACBullet"/>
      </w:pPr>
      <w:r>
        <w:t>o</w:t>
      </w:r>
      <w:r w:rsidR="00195C2D" w:rsidRPr="004F0E79">
        <w:t>ther patient characteristics</w:t>
      </w:r>
      <w:r w:rsidR="000C0B83">
        <w:t>, for example,</w:t>
      </w:r>
      <w:r w:rsidR="00195C2D" w:rsidRPr="004F0E79">
        <w:t xml:space="preserve"> </w:t>
      </w:r>
      <w:r w:rsidR="000C0B83">
        <w:t xml:space="preserve">they are </w:t>
      </w:r>
      <w:r w:rsidR="00195C2D" w:rsidRPr="004F0E79">
        <w:t xml:space="preserve">agitated or violent </w:t>
      </w:r>
    </w:p>
    <w:p w14:paraId="158BC30E" w14:textId="197D4972" w:rsidR="00195C2D" w:rsidRPr="004F0E79" w:rsidRDefault="00212177" w:rsidP="005B604C">
      <w:pPr>
        <w:pStyle w:val="NEACBullet"/>
      </w:pPr>
      <w:r>
        <w:t>o</w:t>
      </w:r>
      <w:r w:rsidR="00195C2D" w:rsidRPr="004F0E79">
        <w:t>ther health provider characteristics</w:t>
      </w:r>
      <w:r w:rsidR="000C0B83">
        <w:t>, for example</w:t>
      </w:r>
      <w:r w:rsidR="002462E6">
        <w:t>,</w:t>
      </w:r>
      <w:r w:rsidR="00195C2D" w:rsidRPr="004F0E79">
        <w:t xml:space="preserve"> comorbidities or age. </w:t>
      </w:r>
    </w:p>
    <w:p w14:paraId="0E529966" w14:textId="2634B1EC" w:rsidR="0080533A" w:rsidRPr="00673D52" w:rsidRDefault="0080533A" w:rsidP="00B867C6">
      <w:pPr>
        <w:pStyle w:val="NEACNormal"/>
      </w:pPr>
      <w:r w:rsidRPr="00673D52">
        <w:t>When distributing limited PPE to clinicians during a pandemic</w:t>
      </w:r>
      <w:r w:rsidR="00212177">
        <w:t>,</w:t>
      </w:r>
      <w:r w:rsidRPr="00673D52">
        <w:t xml:space="preserve"> an egalitarian approach that treats all clinical roles as equal may not serve the </w:t>
      </w:r>
      <w:r w:rsidR="00D9529B" w:rsidRPr="00673D52">
        <w:t xml:space="preserve">principle </w:t>
      </w:r>
      <w:r w:rsidRPr="00673D52">
        <w:t xml:space="preserve">of getting the most from </w:t>
      </w:r>
      <w:r w:rsidR="000C0B83">
        <w:t xml:space="preserve">the </w:t>
      </w:r>
      <w:r w:rsidRPr="00673D52">
        <w:t xml:space="preserve">resources. </w:t>
      </w:r>
    </w:p>
    <w:p w14:paraId="76E9C6C3" w14:textId="77777777" w:rsidR="000C0B83" w:rsidRDefault="0080533A" w:rsidP="00B867C6">
      <w:pPr>
        <w:pStyle w:val="NEACNormal"/>
      </w:pPr>
      <w:r w:rsidRPr="00673D52">
        <w:t xml:space="preserve">‘Social worth’ is an interpretation of this principle that may be ethically justified in the unique setting of a pandemic. </w:t>
      </w:r>
    </w:p>
    <w:p w14:paraId="6CD1FFF3" w14:textId="77777777" w:rsidR="000C0B83" w:rsidRDefault="0080533A" w:rsidP="00B867C6">
      <w:pPr>
        <w:pStyle w:val="NEACNormal"/>
      </w:pPr>
      <w:r w:rsidRPr="00673D52">
        <w:t>This recommendation arose from the recognition that some members of society are critical to</w:t>
      </w:r>
      <w:r w:rsidR="00764EDA" w:rsidRPr="00673D52">
        <w:t xml:space="preserve"> a successful response to a pandemic</w:t>
      </w:r>
      <w:r w:rsidRPr="00673D52">
        <w:t xml:space="preserve">. </w:t>
      </w:r>
    </w:p>
    <w:p w14:paraId="5E60F282" w14:textId="77777777" w:rsidR="000C0B83" w:rsidRDefault="0080533A" w:rsidP="00B867C6">
      <w:pPr>
        <w:pStyle w:val="NEACNormal"/>
      </w:pPr>
      <w:r w:rsidRPr="00673D52">
        <w:t>Applied to PPE, social worth would require assessment not of how many lives a clinician could save, but</w:t>
      </w:r>
      <w:r w:rsidR="000C0B83">
        <w:t xml:space="preserve"> of</w:t>
      </w:r>
      <w:r w:rsidRPr="00673D52">
        <w:t xml:space="preserve"> the instrumental value of that clinician in providing patient care, both during and after the pandemic. </w:t>
      </w:r>
    </w:p>
    <w:p w14:paraId="56B6B66B" w14:textId="767747E4" w:rsidR="00A92E74" w:rsidRPr="00673D52" w:rsidRDefault="0080533A" w:rsidP="00B867C6">
      <w:pPr>
        <w:pStyle w:val="NEACNormal"/>
      </w:pPr>
      <w:r w:rsidRPr="00673D52">
        <w:t xml:space="preserve">Social worth is not typically an acceptable criterion for distributing </w:t>
      </w:r>
      <w:r w:rsidR="00C96E2B">
        <w:t>health care</w:t>
      </w:r>
      <w:r w:rsidR="00D800D8" w:rsidRPr="00673D52">
        <w:t xml:space="preserve"> </w:t>
      </w:r>
      <w:r w:rsidRPr="00673D52">
        <w:t>resources and should be invoked only if absolutely necessary and justified in limited circumstances</w:t>
      </w:r>
      <w:r w:rsidR="000C0B83">
        <w:t>.</w:t>
      </w:r>
    </w:p>
    <w:p w14:paraId="2DE38483" w14:textId="091CF1CA" w:rsidR="00724655" w:rsidRPr="00F3515B" w:rsidRDefault="006D06E5" w:rsidP="00B867C6">
      <w:pPr>
        <w:pStyle w:val="Heading3"/>
        <w:rPr>
          <w:lang w:eastAsia="en-NZ"/>
        </w:rPr>
      </w:pPr>
      <w:bookmarkStart w:id="67" w:name="_Toc42062701"/>
      <w:bookmarkStart w:id="68" w:name="_Toc42073355"/>
      <w:r>
        <w:rPr>
          <w:lang w:eastAsia="en-NZ"/>
        </w:rPr>
        <w:t>Achieving e</w:t>
      </w:r>
      <w:r w:rsidR="00A92E74" w:rsidRPr="00F3515B">
        <w:rPr>
          <w:lang w:eastAsia="en-NZ"/>
        </w:rPr>
        <w:t>quity</w:t>
      </w:r>
      <w:bookmarkEnd w:id="67"/>
      <w:bookmarkEnd w:id="68"/>
    </w:p>
    <w:p w14:paraId="25264FC9" w14:textId="7706D249" w:rsidR="00F3515B" w:rsidRPr="00724655" w:rsidRDefault="00D800D8" w:rsidP="00B867C6">
      <w:pPr>
        <w:pStyle w:val="NEACNormal"/>
      </w:pPr>
      <w:r w:rsidRPr="00724655">
        <w:t>Equity requires that</w:t>
      </w:r>
      <w:r w:rsidR="00F3515B" w:rsidRPr="00724655">
        <w:t xml:space="preserve"> distribution of PPE</w:t>
      </w:r>
      <w:r w:rsidRPr="00724655">
        <w:t xml:space="preserve"> </w:t>
      </w:r>
      <w:r w:rsidR="000C0B83">
        <w:t>be</w:t>
      </w:r>
      <w:r w:rsidR="000C0B83" w:rsidRPr="00724655">
        <w:t xml:space="preserve"> </w:t>
      </w:r>
      <w:r w:rsidRPr="00724655">
        <w:t>prioritised</w:t>
      </w:r>
      <w:r w:rsidR="00F3515B" w:rsidRPr="00724655">
        <w:t xml:space="preserve"> to protect marginali</w:t>
      </w:r>
      <w:r w:rsidR="00212177">
        <w:t>s</w:t>
      </w:r>
      <w:r w:rsidR="00F3515B" w:rsidRPr="00724655">
        <w:t xml:space="preserve">ed groups and prevent or </w:t>
      </w:r>
      <w:r w:rsidR="000C0B83">
        <w:t>improve</w:t>
      </w:r>
      <w:r w:rsidR="000C0B83" w:rsidRPr="00724655">
        <w:t xml:space="preserve"> </w:t>
      </w:r>
      <w:r w:rsidR="00F3515B" w:rsidRPr="00724655">
        <w:t xml:space="preserve">inequality </w:t>
      </w:r>
      <w:r w:rsidR="000C0B83">
        <w:t>around the</w:t>
      </w:r>
      <w:r w:rsidR="000C0B83" w:rsidRPr="00724655">
        <w:t xml:space="preserve"> </w:t>
      </w:r>
      <w:r w:rsidR="00F3515B" w:rsidRPr="00724655">
        <w:t xml:space="preserve">risk of contracting </w:t>
      </w:r>
      <w:r w:rsidR="008545E6">
        <w:t>COVID-19</w:t>
      </w:r>
      <w:r w:rsidR="00F3515B" w:rsidRPr="00724655">
        <w:t xml:space="preserve"> or of suffering from </w:t>
      </w:r>
      <w:r w:rsidR="00541500">
        <w:t xml:space="preserve">a </w:t>
      </w:r>
      <w:r w:rsidR="00F3515B" w:rsidRPr="00724655">
        <w:t xml:space="preserve">severe </w:t>
      </w:r>
      <w:r w:rsidRPr="00724655">
        <w:t>COVID-19</w:t>
      </w:r>
      <w:r w:rsidR="00541500">
        <w:t xml:space="preserve"> infection</w:t>
      </w:r>
      <w:r w:rsidR="00F3515B" w:rsidRPr="00724655">
        <w:t xml:space="preserve">. </w:t>
      </w:r>
      <w:r w:rsidRPr="00724655">
        <w:t xml:space="preserve">This can be achieved by recognising epistemic authority, </w:t>
      </w:r>
      <w:r w:rsidR="000C0B83">
        <w:t>that is,</w:t>
      </w:r>
      <w:r w:rsidRPr="00724655">
        <w:t xml:space="preserve"> listening to marginali</w:t>
      </w:r>
      <w:r w:rsidR="00212177">
        <w:t>s</w:t>
      </w:r>
      <w:r w:rsidRPr="00724655">
        <w:t xml:space="preserve">ed groups regarding what they need and how best to distribute resources – they have valuable and specialist knowledge about their own needs. </w:t>
      </w:r>
    </w:p>
    <w:p w14:paraId="49CFA14B" w14:textId="3D30AC23" w:rsidR="00F3515B" w:rsidRPr="00724655" w:rsidRDefault="00FC6027" w:rsidP="00B867C6">
      <w:pPr>
        <w:pStyle w:val="NEACNormal"/>
      </w:pPr>
      <w:r>
        <w:t>Examples include</w:t>
      </w:r>
      <w:r w:rsidR="00D800D8" w:rsidRPr="00724655">
        <w:t>, w</w:t>
      </w:r>
      <w:r w:rsidR="00F3515B" w:rsidRPr="00724655">
        <w:t>ork</w:t>
      </w:r>
      <w:r w:rsidR="00D800D8" w:rsidRPr="00724655">
        <w:t>ing</w:t>
      </w:r>
      <w:r w:rsidR="00F3515B" w:rsidRPr="00724655">
        <w:t xml:space="preserve"> with </w:t>
      </w:r>
      <w:r w:rsidR="000C0B83">
        <w:t>i</w:t>
      </w:r>
      <w:r w:rsidR="00F3515B" w:rsidRPr="00724655">
        <w:t xml:space="preserve">wi and </w:t>
      </w:r>
      <w:r w:rsidR="00A273BF">
        <w:t>Māori</w:t>
      </w:r>
      <w:r w:rsidR="00F3515B" w:rsidRPr="00724655">
        <w:t xml:space="preserve"> health groups to ensure </w:t>
      </w:r>
      <w:r w:rsidR="000C0B83">
        <w:t>the</w:t>
      </w:r>
      <w:r w:rsidR="000C0B83" w:rsidRPr="00724655">
        <w:t xml:space="preserve"> </w:t>
      </w:r>
      <w:r w:rsidR="00F3515B" w:rsidRPr="00724655">
        <w:t xml:space="preserve">needs </w:t>
      </w:r>
      <w:r w:rsidR="000C0B83">
        <w:t>of M</w:t>
      </w:r>
      <w:r w:rsidR="000C0B83">
        <w:rPr>
          <w:rFonts w:cs="Arial"/>
        </w:rPr>
        <w:t>ā</w:t>
      </w:r>
      <w:r w:rsidR="000C0B83">
        <w:t xml:space="preserve">ori </w:t>
      </w:r>
      <w:r w:rsidR="00F3515B" w:rsidRPr="00724655">
        <w:t xml:space="preserve">are met and </w:t>
      </w:r>
      <w:r w:rsidR="000C0B83">
        <w:t>M</w:t>
      </w:r>
      <w:r w:rsidR="000C0B83">
        <w:rPr>
          <w:rFonts w:cs="Arial"/>
        </w:rPr>
        <w:t>ā</w:t>
      </w:r>
      <w:r w:rsidR="000C0B83">
        <w:t>ori</w:t>
      </w:r>
      <w:r w:rsidR="000C0B83" w:rsidRPr="00724655">
        <w:t xml:space="preserve"> </w:t>
      </w:r>
      <w:r w:rsidR="00F3515B" w:rsidRPr="00724655">
        <w:t>are involved</w:t>
      </w:r>
      <w:r w:rsidR="00D800D8" w:rsidRPr="00724655">
        <w:t xml:space="preserve"> </w:t>
      </w:r>
      <w:r>
        <w:t xml:space="preserve">in </w:t>
      </w:r>
      <w:r w:rsidR="00D800D8" w:rsidRPr="00724655">
        <w:t xml:space="preserve">or control </w:t>
      </w:r>
      <w:r w:rsidR="00F3515B" w:rsidRPr="00724655">
        <w:t xml:space="preserve">distribution within their communities. </w:t>
      </w:r>
    </w:p>
    <w:p w14:paraId="445DDFB2" w14:textId="34DBE8CF" w:rsidR="00D07658" w:rsidRPr="00724655" w:rsidRDefault="00D800D8" w:rsidP="00B867C6">
      <w:pPr>
        <w:pStyle w:val="NEACNormal"/>
      </w:pPr>
      <w:r w:rsidRPr="00724655">
        <w:t>Similarly, it is important to w</w:t>
      </w:r>
      <w:r w:rsidR="00D07658" w:rsidRPr="00724655">
        <w:t xml:space="preserve">ork with </w:t>
      </w:r>
      <w:r w:rsidR="002B0D5E" w:rsidRPr="00724655">
        <w:t xml:space="preserve">consumer and interest groups, for example the Disabled Persons Assembly </w:t>
      </w:r>
      <w:r w:rsidR="000C0B83">
        <w:t xml:space="preserve">NZ </w:t>
      </w:r>
      <w:r w:rsidR="002B0D5E" w:rsidRPr="00724655">
        <w:t xml:space="preserve">(DPA), to ensure </w:t>
      </w:r>
      <w:r w:rsidRPr="00724655">
        <w:t>disabled people are not left behind.</w:t>
      </w:r>
    </w:p>
    <w:p w14:paraId="30B4D991" w14:textId="6D2A6C42" w:rsidR="00E013F8" w:rsidRPr="00FD675C" w:rsidRDefault="00B34D1C" w:rsidP="00B867C6">
      <w:pPr>
        <w:pStyle w:val="NEACNormal"/>
      </w:pPr>
      <w:r w:rsidRPr="00724655">
        <w:t xml:space="preserve">Equity may also require additional provision of PPE to </w:t>
      </w:r>
      <w:r w:rsidR="00A273BF">
        <w:t>Māori</w:t>
      </w:r>
      <w:r w:rsidRPr="00724655">
        <w:t xml:space="preserve"> health providers and PPE provision to groups in which </w:t>
      </w:r>
      <w:r w:rsidR="00A273BF">
        <w:t>Māori</w:t>
      </w:r>
      <w:r w:rsidRPr="00724655">
        <w:t xml:space="preserve"> and Pacific</w:t>
      </w:r>
      <w:r w:rsidR="0020061B">
        <w:t xml:space="preserve"> peoples</w:t>
      </w:r>
      <w:r w:rsidRPr="00724655">
        <w:t xml:space="preserve"> are more highly represented, for example care home workers.</w:t>
      </w:r>
    </w:p>
    <w:p w14:paraId="5D01B813" w14:textId="66B086DB" w:rsidR="00A92E74" w:rsidRPr="00F3515B" w:rsidRDefault="00A92E74" w:rsidP="00B867C6">
      <w:pPr>
        <w:pStyle w:val="Heading3"/>
        <w:rPr>
          <w:lang w:eastAsia="en-NZ"/>
        </w:rPr>
      </w:pPr>
      <w:bookmarkStart w:id="69" w:name="_Toc42062702"/>
      <w:bookmarkStart w:id="70" w:name="_Toc42073356"/>
      <w:r w:rsidRPr="00F3515B">
        <w:rPr>
          <w:lang w:eastAsia="en-NZ"/>
        </w:rPr>
        <w:lastRenderedPageBreak/>
        <w:t>All people are equally deserving of care</w:t>
      </w:r>
      <w:bookmarkEnd w:id="69"/>
      <w:bookmarkEnd w:id="70"/>
      <w:r w:rsidRPr="00F3515B">
        <w:rPr>
          <w:lang w:eastAsia="en-NZ"/>
        </w:rPr>
        <w:t xml:space="preserve"> </w:t>
      </w:r>
    </w:p>
    <w:p w14:paraId="6B9BBAF3" w14:textId="0C37F6E9" w:rsidR="00F3515B" w:rsidRPr="00724655" w:rsidRDefault="00F3515B" w:rsidP="00B867C6">
      <w:pPr>
        <w:pStyle w:val="NEACNormal"/>
      </w:pPr>
      <w:r w:rsidRPr="00724655">
        <w:t>Seniority within the health system or organisational hierarchy is irrelevant to PPE distribution. The only exception would be staff with critical expertise whose absence would disproportionally impact the system’s ability to provide adequate treatment. Where this justification is used</w:t>
      </w:r>
      <w:r w:rsidR="007C02C2">
        <w:t>,</w:t>
      </w:r>
      <w:r w:rsidRPr="00724655">
        <w:t xml:space="preserve"> the reasoning must be transparent. </w:t>
      </w:r>
    </w:p>
    <w:p w14:paraId="1D327E91" w14:textId="7719DD35" w:rsidR="0080533A" w:rsidRPr="00724655" w:rsidRDefault="00F3515B" w:rsidP="00B867C6">
      <w:pPr>
        <w:pStyle w:val="NEACNormal"/>
      </w:pPr>
      <w:r w:rsidRPr="00724655">
        <w:t>PPE should not be diverted from standard clinical use in the treatment of other diseases or conditions (</w:t>
      </w:r>
      <w:proofErr w:type="spellStart"/>
      <w:r w:rsidRPr="00724655">
        <w:t>eg</w:t>
      </w:r>
      <w:proofErr w:type="spellEnd"/>
      <w:r w:rsidR="002462E6">
        <w:t>,</w:t>
      </w:r>
      <w:r w:rsidRPr="00724655">
        <w:t xml:space="preserve"> surgery); expect </w:t>
      </w:r>
      <w:r w:rsidR="007C02C2">
        <w:t>when</w:t>
      </w:r>
      <w:r w:rsidRPr="00724655">
        <w:t xml:space="preserve"> the risk of exposure and harm from </w:t>
      </w:r>
      <w:r w:rsidR="00D800D8" w:rsidRPr="00724655">
        <w:t>COVID-19</w:t>
      </w:r>
      <w:r w:rsidRPr="00724655">
        <w:t xml:space="preserve"> exceeds the risks related to those other applications. </w:t>
      </w:r>
    </w:p>
    <w:p w14:paraId="0B57C58B" w14:textId="6E2763D0" w:rsidR="00C63699" w:rsidRPr="00F3515B" w:rsidRDefault="00C63699" w:rsidP="00B867C6">
      <w:pPr>
        <w:pStyle w:val="Heading3"/>
        <w:rPr>
          <w:shd w:val="clear" w:color="auto" w:fill="FFFFFF"/>
        </w:rPr>
      </w:pPr>
      <w:bookmarkStart w:id="71" w:name="_Toc42062703"/>
      <w:bookmarkStart w:id="72" w:name="_Toc42073357"/>
      <w:r w:rsidRPr="00F3515B">
        <w:rPr>
          <w:shd w:val="clear" w:color="auto" w:fill="FFFFFF"/>
        </w:rPr>
        <w:t>General considerations</w:t>
      </w:r>
      <w:bookmarkEnd w:id="71"/>
      <w:bookmarkEnd w:id="72"/>
    </w:p>
    <w:p w14:paraId="36CC7D61" w14:textId="42F9D610" w:rsidR="000C0B83" w:rsidRDefault="000C0B83" w:rsidP="00B867C6">
      <w:pPr>
        <w:pStyle w:val="NEACNormal"/>
      </w:pPr>
      <w:r>
        <w:t xml:space="preserve">The following considerations have been adapted from Bean et al 2020. </w:t>
      </w:r>
    </w:p>
    <w:p w14:paraId="5B26CACA" w14:textId="18D573AF" w:rsidR="00F3515B" w:rsidRPr="00FF0184" w:rsidRDefault="00F3515B" w:rsidP="00B867C6">
      <w:pPr>
        <w:pStyle w:val="NEACNormal"/>
      </w:pPr>
      <w:r w:rsidRPr="00FF0184">
        <w:t>If staff are not provided with adequate PPE</w:t>
      </w:r>
      <w:r w:rsidR="007C02C2">
        <w:t>,</w:t>
      </w:r>
      <w:r w:rsidRPr="00FF0184">
        <w:t xml:space="preserve"> their ethical and legal obligations to work in such environments may be weake</w:t>
      </w:r>
      <w:r w:rsidR="007C02C2">
        <w:t>ned</w:t>
      </w:r>
      <w:r w:rsidR="000C0B83">
        <w:rPr>
          <w:rStyle w:val="FootnoteReference"/>
          <w:rFonts w:cs="Arial"/>
          <w:bCs/>
          <w:szCs w:val="24"/>
        </w:rPr>
        <w:t xml:space="preserve"> </w:t>
      </w:r>
      <w:r w:rsidR="000C0B83">
        <w:rPr>
          <w:rFonts w:cs="Arial"/>
          <w:bCs/>
          <w:szCs w:val="24"/>
        </w:rPr>
        <w:t>(</w:t>
      </w:r>
      <w:proofErr w:type="spellStart"/>
      <w:r w:rsidR="000C0B83">
        <w:rPr>
          <w:rFonts w:cs="Arial"/>
          <w:bCs/>
          <w:szCs w:val="24"/>
        </w:rPr>
        <w:t>Schuklenk</w:t>
      </w:r>
      <w:proofErr w:type="spellEnd"/>
      <w:r w:rsidR="000C0B83">
        <w:rPr>
          <w:rFonts w:cs="Arial"/>
          <w:bCs/>
          <w:szCs w:val="24"/>
        </w:rPr>
        <w:t xml:space="preserve"> 2020)</w:t>
      </w:r>
      <w:r w:rsidR="000C0B83" w:rsidRPr="00FF0184">
        <w:t xml:space="preserve">.  </w:t>
      </w:r>
    </w:p>
    <w:p w14:paraId="7A3E84BE" w14:textId="4FC3BC97" w:rsidR="00F3515B" w:rsidRPr="00FF0184" w:rsidRDefault="00F3515B" w:rsidP="00B867C6">
      <w:pPr>
        <w:pStyle w:val="NEACNormal"/>
      </w:pPr>
      <w:r w:rsidRPr="00FF0184">
        <w:t>Staff have an ethical obligation</w:t>
      </w:r>
      <w:r w:rsidR="007F2525" w:rsidRPr="00FF0184">
        <w:t>,</w:t>
      </w:r>
      <w:r w:rsidRPr="00FF0184">
        <w:t xml:space="preserve"> based on their obligation to patients and colleagues</w:t>
      </w:r>
      <w:r w:rsidR="007F2525" w:rsidRPr="00FF0184">
        <w:t>,</w:t>
      </w:r>
      <w:r w:rsidRPr="00FF0184">
        <w:t xml:space="preserve"> to contribute to a safe working environment. This includes the obligation to raise concerns about inadequate PPE. Managers must </w:t>
      </w:r>
      <w:r w:rsidRPr="00FF0184">
        <w:t xml:space="preserve">ensure clear and safe communication channels are available. Staff should not be censured or reprimanded for raising reasonable concerns about PPE supply. </w:t>
      </w:r>
    </w:p>
    <w:p w14:paraId="4B77534D" w14:textId="0C888E6B" w:rsidR="00F3515B" w:rsidRPr="00FF0184" w:rsidRDefault="00262191" w:rsidP="00B867C6">
      <w:pPr>
        <w:pStyle w:val="NEACNormal"/>
      </w:pPr>
      <w:r>
        <w:t>Organisations should implement</w:t>
      </w:r>
      <w:r w:rsidR="00F3515B" w:rsidRPr="00FF0184">
        <w:t xml:space="preserve"> clear </w:t>
      </w:r>
      <w:r w:rsidRPr="00FF0184">
        <w:t>decision-making</w:t>
      </w:r>
      <w:r>
        <w:t xml:space="preserve"> plans, with regular</w:t>
      </w:r>
      <w:r w:rsidR="00F3515B" w:rsidRPr="00FF0184">
        <w:t xml:space="preserve"> communication</w:t>
      </w:r>
      <w:r>
        <w:t xml:space="preserve"> and </w:t>
      </w:r>
      <w:r w:rsidR="00F3515B" w:rsidRPr="00FF0184">
        <w:t xml:space="preserve">centralised and coordinated </w:t>
      </w:r>
      <w:r w:rsidR="00D800D8" w:rsidRPr="00FF0184">
        <w:t>distribution.</w:t>
      </w:r>
      <w:r w:rsidR="00F3515B" w:rsidRPr="00FF0184">
        <w:t xml:space="preserve"> </w:t>
      </w:r>
    </w:p>
    <w:p w14:paraId="3BC38890" w14:textId="5922FC5F" w:rsidR="00F3515B" w:rsidRPr="00FF0184" w:rsidRDefault="00F3515B" w:rsidP="00B867C6">
      <w:pPr>
        <w:pStyle w:val="NEACNormal"/>
      </w:pPr>
      <w:r w:rsidRPr="00FF0184">
        <w:t>As with vaccines</w:t>
      </w:r>
      <w:r w:rsidR="007C02C2">
        <w:t>,</w:t>
      </w:r>
      <w:r w:rsidRPr="00FF0184">
        <w:t xml:space="preserve"> prioritisation of health care workers can be justified on several grounds: because </w:t>
      </w:r>
      <w:r w:rsidR="00806EB3">
        <w:t xml:space="preserve">of </w:t>
      </w:r>
      <w:r w:rsidRPr="00FF0184">
        <w:t>the</w:t>
      </w:r>
      <w:r w:rsidR="00806EB3">
        <w:t>i</w:t>
      </w:r>
      <w:r w:rsidR="007C02C2">
        <w:t>r</w:t>
      </w:r>
      <w:r w:rsidRPr="00FF0184">
        <w:t xml:space="preserve"> increased risk (protect the vulnerable)</w:t>
      </w:r>
      <w:r w:rsidR="007C02C2">
        <w:t xml:space="preserve"> and</w:t>
      </w:r>
      <w:r w:rsidRPr="00FF0184">
        <w:t xml:space="preserve"> their instrumental role in maintaining essential social services (best use of resources) and in recognition of the greater burdens they are carrying on behalf of society </w:t>
      </w:r>
      <w:r w:rsidR="007C02C2">
        <w:t>before the development of any</w:t>
      </w:r>
      <w:r w:rsidRPr="00FF0184">
        <w:t xml:space="preserve"> vaccine (reciprocity).</w:t>
      </w:r>
    </w:p>
    <w:p w14:paraId="256B283F" w14:textId="5741EE3C" w:rsidR="00195C2D" w:rsidRPr="00FF0184" w:rsidRDefault="00195C2D" w:rsidP="00B867C6">
      <w:pPr>
        <w:pStyle w:val="NEACNormal"/>
      </w:pPr>
      <w:r w:rsidRPr="00FF0184">
        <w:t>In order to optimi</w:t>
      </w:r>
      <w:r w:rsidR="00806EB3">
        <w:t>s</w:t>
      </w:r>
      <w:r w:rsidRPr="00FF0184">
        <w:t>e PPE availability, health systems must coordinate and cooperate to minimi</w:t>
      </w:r>
      <w:r w:rsidR="00806EB3">
        <w:t>s</w:t>
      </w:r>
      <w:r w:rsidRPr="00FF0184">
        <w:t>e the need for PPE, coordinate supply chain and distribution, and use PPE effectively and appropriately</w:t>
      </w:r>
      <w:r w:rsidR="007C02C2">
        <w:t>.</w:t>
      </w:r>
      <w:r w:rsidR="007F2525" w:rsidRPr="008545E6">
        <w:rPr>
          <w:rStyle w:val="FootnoteReference"/>
          <w:rFonts w:cs="Arial"/>
          <w:bCs/>
          <w:szCs w:val="24"/>
        </w:rPr>
        <w:footnoteReference w:id="9"/>
      </w:r>
      <w:r w:rsidRPr="00FF0184">
        <w:t xml:space="preserve"> This is supported by the ethical value of solidarity.  </w:t>
      </w:r>
    </w:p>
    <w:p w14:paraId="1AF3B069" w14:textId="77777777" w:rsidR="00195C2D" w:rsidRPr="00D800D8" w:rsidRDefault="00195C2D" w:rsidP="00B867C6">
      <w:pPr>
        <w:pStyle w:val="NEACNormal"/>
      </w:pPr>
      <w:r w:rsidRPr="00D800D8">
        <w:t>Ensuring effective use of PPE requires appropriate training in infection prevention and control (IPC) to be rolled out in conjunction with PPE.</w:t>
      </w:r>
    </w:p>
    <w:p w14:paraId="11C3767A" w14:textId="6B75EC62" w:rsidR="00195C2D" w:rsidRPr="00D800D8" w:rsidRDefault="00195C2D" w:rsidP="00B867C6">
      <w:pPr>
        <w:pStyle w:val="NEACNormal"/>
      </w:pPr>
      <w:r w:rsidRPr="00D800D8">
        <w:t xml:space="preserve">In order to conserve PPE, visitors should be restricted. Equity requires that exceptions </w:t>
      </w:r>
      <w:r w:rsidR="007C02C2">
        <w:t>be</w:t>
      </w:r>
      <w:r w:rsidR="007C02C2" w:rsidRPr="00D800D8">
        <w:t xml:space="preserve"> </w:t>
      </w:r>
      <w:r w:rsidRPr="00D800D8">
        <w:t xml:space="preserve">made for minors or disabled patients who need access </w:t>
      </w:r>
      <w:r w:rsidRPr="00D800D8">
        <w:lastRenderedPageBreak/>
        <w:t>to careers and</w:t>
      </w:r>
      <w:r w:rsidR="007C02C2">
        <w:t>,</w:t>
      </w:r>
      <w:r w:rsidRPr="00D800D8">
        <w:t xml:space="preserve"> </w:t>
      </w:r>
      <w:r w:rsidR="007C02C2">
        <w:t xml:space="preserve">in some cases, </w:t>
      </w:r>
      <w:r w:rsidRPr="00D800D8">
        <w:t xml:space="preserve">for patients at the end of life. Where visitors are </w:t>
      </w:r>
      <w:r w:rsidR="00D800D8" w:rsidRPr="00D800D8">
        <w:t>permitted,</w:t>
      </w:r>
      <w:r w:rsidRPr="00D800D8">
        <w:t xml:space="preserve"> they should be provided with clear instructions about how to put on and remove PPE and about performing hand hygiene before putting on and after removing PPE</w:t>
      </w:r>
      <w:r w:rsidR="007C02C2">
        <w:t>. The instructions</w:t>
      </w:r>
      <w:r w:rsidRPr="00D800D8">
        <w:t xml:space="preserve"> should be </w:t>
      </w:r>
      <w:r w:rsidR="007C02C2">
        <w:t>provided under the supervision of</w:t>
      </w:r>
      <w:r w:rsidRPr="00D800D8">
        <w:t xml:space="preserve"> a </w:t>
      </w:r>
      <w:r w:rsidR="007C02C2">
        <w:t xml:space="preserve">dedicated </w:t>
      </w:r>
      <w:r w:rsidR="00C96E2B">
        <w:t>health care</w:t>
      </w:r>
      <w:r w:rsidRPr="00D800D8">
        <w:t xml:space="preserve"> worker. </w:t>
      </w:r>
    </w:p>
    <w:p w14:paraId="12A4E0FE" w14:textId="77777777" w:rsidR="00195C2D" w:rsidRPr="00D800D8" w:rsidRDefault="00195C2D" w:rsidP="00B867C6">
      <w:pPr>
        <w:pStyle w:val="NEACNormal"/>
      </w:pPr>
      <w:r w:rsidRPr="00D800D8">
        <w:t xml:space="preserve">Telehealth services can also help conserve PPE. </w:t>
      </w:r>
    </w:p>
    <w:p w14:paraId="427CFEBB" w14:textId="433B104A" w:rsidR="0050577D" w:rsidRPr="00D800D8" w:rsidRDefault="00AE714C" w:rsidP="00B867C6">
      <w:pPr>
        <w:pStyle w:val="NEACNormal"/>
      </w:pPr>
      <w:r>
        <w:t>As described above, c</w:t>
      </w:r>
      <w:r w:rsidR="00195C2D" w:rsidRPr="00D800D8">
        <w:t>ancelling non-urgent or elective procedures that require use of PPE</w:t>
      </w:r>
      <w:r>
        <w:t xml:space="preserve"> can assist in responding to </w:t>
      </w:r>
      <w:r w:rsidR="007C02C2">
        <w:t>pandemic outbreaks. However, s</w:t>
      </w:r>
      <w:r w:rsidRPr="00AE714C">
        <w:t xml:space="preserve">uch </w:t>
      </w:r>
      <w:r w:rsidR="007C02C2">
        <w:t>restrictions</w:t>
      </w:r>
      <w:r w:rsidR="007C02C2" w:rsidRPr="00AE714C">
        <w:t xml:space="preserve"> </w:t>
      </w:r>
      <w:r w:rsidRPr="00AE714C">
        <w:t xml:space="preserve">should be continually reassessed. </w:t>
      </w:r>
    </w:p>
    <w:p w14:paraId="765D4320" w14:textId="77777777" w:rsidR="0050577D" w:rsidRPr="00F3515B" w:rsidRDefault="0050577D" w:rsidP="0050577D">
      <w:pPr>
        <w:pStyle w:val="BulletsNES"/>
        <w:numPr>
          <w:ilvl w:val="0"/>
          <w:numId w:val="0"/>
        </w:numPr>
        <w:rPr>
          <w:rFonts w:ascii="Helv" w:hAnsi="Helv"/>
        </w:rPr>
      </w:pPr>
    </w:p>
    <w:p w14:paraId="5E8EAD85" w14:textId="7DEAA678" w:rsidR="002D2D17" w:rsidRPr="00F3515B" w:rsidRDefault="002D2D17" w:rsidP="00453294">
      <w:pPr>
        <w:spacing w:before="0" w:after="160" w:line="259" w:lineRule="auto"/>
        <w:rPr>
          <w:rFonts w:ascii="Helv" w:eastAsiaTheme="minorHAnsi" w:hAnsi="Helv" w:cs="ClassicalGaramondBT-Roman"/>
          <w:color w:val="auto"/>
          <w:szCs w:val="18"/>
        </w:rPr>
        <w:sectPr w:rsidR="002D2D17" w:rsidRPr="00F3515B" w:rsidSect="00525500">
          <w:pgSz w:w="16838" w:h="11906" w:orient="landscape"/>
          <w:pgMar w:top="1814" w:right="2041" w:bottom="1588" w:left="1361" w:header="709" w:footer="709" w:gutter="0"/>
          <w:cols w:num="2" w:space="708"/>
          <w:docGrid w:linePitch="360"/>
        </w:sectPr>
      </w:pPr>
    </w:p>
    <w:p w14:paraId="024CE762" w14:textId="4BECB3AF" w:rsidR="00FB086A" w:rsidRPr="00F3515B" w:rsidRDefault="00212004" w:rsidP="00C44415">
      <w:pPr>
        <w:pStyle w:val="Heading1"/>
      </w:pPr>
      <w:bookmarkStart w:id="73" w:name="_Toc42062704"/>
      <w:bookmarkStart w:id="74" w:name="_Toc42073358"/>
      <w:r w:rsidRPr="00F3515B">
        <w:lastRenderedPageBreak/>
        <w:t>Example</w:t>
      </w:r>
      <w:r w:rsidR="008C454A">
        <w:t xml:space="preserve"> 3</w:t>
      </w:r>
      <w:r w:rsidRPr="00F3515B">
        <w:t>:</w:t>
      </w:r>
      <w:r w:rsidR="00FB086A" w:rsidRPr="00F3515B">
        <w:t xml:space="preserve"> Vaccine</w:t>
      </w:r>
      <w:r w:rsidRPr="00F3515B">
        <w:t xml:space="preserve"> </w:t>
      </w:r>
      <w:r w:rsidR="008C454A">
        <w:t>a</w:t>
      </w:r>
      <w:r w:rsidRPr="00F3515B">
        <w:t>llocation</w:t>
      </w:r>
      <w:bookmarkEnd w:id="73"/>
      <w:bookmarkEnd w:id="74"/>
    </w:p>
    <w:p w14:paraId="60EB4815" w14:textId="77777777" w:rsidR="001950B8" w:rsidRPr="00F3515B" w:rsidRDefault="001950B8" w:rsidP="00B867C6">
      <w:pPr>
        <w:pStyle w:val="Heading2"/>
        <w:rPr>
          <w:shd w:val="clear" w:color="auto" w:fill="FFFFFF"/>
        </w:rPr>
      </w:pPr>
      <w:bookmarkStart w:id="75" w:name="_Toc42062705"/>
      <w:bookmarkStart w:id="76" w:name="_Toc42073359"/>
      <w:r w:rsidRPr="00F3515B">
        <w:rPr>
          <w:shd w:val="clear" w:color="auto" w:fill="FFFFFF"/>
        </w:rPr>
        <w:t>Introduction</w:t>
      </w:r>
      <w:bookmarkEnd w:id="75"/>
      <w:bookmarkEnd w:id="76"/>
    </w:p>
    <w:p w14:paraId="55E0D124" w14:textId="67E3D09B" w:rsidR="00E52F9C" w:rsidRDefault="000042DD" w:rsidP="00B867C6">
      <w:pPr>
        <w:pStyle w:val="NEACNormal"/>
        <w:rPr>
          <w:shd w:val="clear" w:color="auto" w:fill="FFFFFF"/>
        </w:rPr>
      </w:pPr>
      <w:r w:rsidRPr="005A3EDB">
        <w:rPr>
          <w:shd w:val="clear" w:color="auto" w:fill="FFFFFF"/>
        </w:rPr>
        <w:t xml:space="preserve">Safe and effective vaccines are the straightest route to controlling the </w:t>
      </w:r>
      <w:r w:rsidR="00764EDA">
        <w:rPr>
          <w:shd w:val="clear" w:color="auto" w:fill="FFFFFF"/>
        </w:rPr>
        <w:t>COVID-19</w:t>
      </w:r>
      <w:r w:rsidRPr="005A3EDB">
        <w:rPr>
          <w:shd w:val="clear" w:color="auto" w:fill="FFFFFF"/>
        </w:rPr>
        <w:t xml:space="preserve"> pandemic. When a vaccine is developed, demand will likely </w:t>
      </w:r>
      <w:r w:rsidR="00D236A9" w:rsidRPr="005A3EDB">
        <w:rPr>
          <w:shd w:val="clear" w:color="auto" w:fill="FFFFFF"/>
        </w:rPr>
        <w:t>exceed</w:t>
      </w:r>
      <w:r w:rsidRPr="005A3EDB">
        <w:rPr>
          <w:shd w:val="clear" w:color="auto" w:fill="FFFFFF"/>
        </w:rPr>
        <w:t xml:space="preserve"> immediate supply and decisions regarding prioriti</w:t>
      </w:r>
      <w:r w:rsidR="00806EB3">
        <w:rPr>
          <w:shd w:val="clear" w:color="auto" w:fill="FFFFFF"/>
        </w:rPr>
        <w:t>s</w:t>
      </w:r>
      <w:r w:rsidRPr="005A3EDB">
        <w:rPr>
          <w:shd w:val="clear" w:color="auto" w:fill="FFFFFF"/>
        </w:rPr>
        <w:t xml:space="preserve">ation will be necessary. </w:t>
      </w:r>
    </w:p>
    <w:p w14:paraId="066063C8" w14:textId="29C6C4F8" w:rsidR="00D5381A" w:rsidRDefault="00E52F9C" w:rsidP="00B867C6">
      <w:pPr>
        <w:pStyle w:val="NEACNormal"/>
        <w:rPr>
          <w:shd w:val="clear" w:color="auto" w:fill="FFFFFF"/>
        </w:rPr>
      </w:pPr>
      <w:r>
        <w:rPr>
          <w:shd w:val="clear" w:color="auto" w:fill="FFFFFF"/>
        </w:rPr>
        <w:t>In the case of the COVID-19 p</w:t>
      </w:r>
      <w:r w:rsidR="004C6968">
        <w:rPr>
          <w:shd w:val="clear" w:color="auto" w:fill="FFFFFF"/>
        </w:rPr>
        <w:t>andemic, a</w:t>
      </w:r>
      <w:r w:rsidR="00806EB3">
        <w:rPr>
          <w:shd w:val="clear" w:color="auto" w:fill="FFFFFF"/>
        </w:rPr>
        <w:t>s t</w:t>
      </w:r>
      <w:r w:rsidR="000042DD" w:rsidRPr="005A3EDB">
        <w:rPr>
          <w:shd w:val="clear" w:color="auto" w:fill="FFFFFF"/>
        </w:rPr>
        <w:t>here is currently no approved vaccine</w:t>
      </w:r>
      <w:r w:rsidR="00806EB3">
        <w:rPr>
          <w:shd w:val="clear" w:color="auto" w:fill="FFFFFF"/>
        </w:rPr>
        <w:t xml:space="preserve">, this section </w:t>
      </w:r>
      <w:r w:rsidR="000042DD" w:rsidRPr="005A3EDB">
        <w:rPr>
          <w:shd w:val="clear" w:color="auto" w:fill="FFFFFF"/>
        </w:rPr>
        <w:t>comment</w:t>
      </w:r>
      <w:r w:rsidR="00806EB3">
        <w:rPr>
          <w:shd w:val="clear" w:color="auto" w:fill="FFFFFF"/>
        </w:rPr>
        <w:t>s</w:t>
      </w:r>
      <w:r w:rsidR="000042DD" w:rsidRPr="005A3EDB">
        <w:rPr>
          <w:shd w:val="clear" w:color="auto" w:fill="FFFFFF"/>
        </w:rPr>
        <w:t xml:space="preserve"> on general ethical principles and priorities for a </w:t>
      </w:r>
      <w:r w:rsidR="00F130E0">
        <w:t>COVID-19</w:t>
      </w:r>
      <w:r w:rsidR="00F130E0" w:rsidRPr="005A3EDB">
        <w:t xml:space="preserve"> </w:t>
      </w:r>
      <w:r w:rsidR="000042DD" w:rsidRPr="005A3EDB">
        <w:rPr>
          <w:shd w:val="clear" w:color="auto" w:fill="FFFFFF"/>
        </w:rPr>
        <w:t>immuni</w:t>
      </w:r>
      <w:r w:rsidR="00806EB3">
        <w:rPr>
          <w:shd w:val="clear" w:color="auto" w:fill="FFFFFF"/>
        </w:rPr>
        <w:t>s</w:t>
      </w:r>
      <w:r w:rsidR="000042DD" w:rsidRPr="005A3EDB">
        <w:rPr>
          <w:shd w:val="clear" w:color="auto" w:fill="FFFFFF"/>
        </w:rPr>
        <w:t>ation program</w:t>
      </w:r>
      <w:r w:rsidR="004C6968">
        <w:rPr>
          <w:shd w:val="clear" w:color="auto" w:fill="FFFFFF"/>
        </w:rPr>
        <w:t>me</w:t>
      </w:r>
      <w:r w:rsidR="000042DD" w:rsidRPr="005A3EDB">
        <w:rPr>
          <w:shd w:val="clear" w:color="auto" w:fill="FFFFFF"/>
        </w:rPr>
        <w:t xml:space="preserve">. </w:t>
      </w:r>
    </w:p>
    <w:p w14:paraId="3BE019F6" w14:textId="2AE34F91" w:rsidR="00143C5B" w:rsidRPr="005A3EDB" w:rsidRDefault="000042DD" w:rsidP="00B867C6">
      <w:pPr>
        <w:pStyle w:val="NEACNormal"/>
        <w:rPr>
          <w:sz w:val="24"/>
          <w:shd w:val="clear" w:color="auto" w:fill="FFFFFF"/>
        </w:rPr>
      </w:pPr>
      <w:r w:rsidRPr="005A3EDB">
        <w:rPr>
          <w:shd w:val="clear" w:color="auto" w:fill="FFFFFF"/>
        </w:rPr>
        <w:t>Such a program</w:t>
      </w:r>
      <w:r w:rsidR="004C6968">
        <w:rPr>
          <w:shd w:val="clear" w:color="auto" w:fill="FFFFFF"/>
        </w:rPr>
        <w:t>me</w:t>
      </w:r>
      <w:r w:rsidRPr="005A3EDB">
        <w:rPr>
          <w:shd w:val="clear" w:color="auto" w:fill="FFFFFF"/>
        </w:rPr>
        <w:t xml:space="preserve"> must be driven by the science of the vaccine</w:t>
      </w:r>
      <w:r w:rsidR="00D5381A">
        <w:rPr>
          <w:shd w:val="clear" w:color="auto" w:fill="FFFFFF"/>
        </w:rPr>
        <w:t>,</w:t>
      </w:r>
      <w:r w:rsidRPr="005A3EDB">
        <w:rPr>
          <w:shd w:val="clear" w:color="auto" w:fill="FFFFFF"/>
        </w:rPr>
        <w:t xml:space="preserve"> including vaccine efficacy using </w:t>
      </w:r>
      <w:r w:rsidR="00D5381A">
        <w:rPr>
          <w:shd w:val="clear" w:color="auto" w:fill="FFFFFF"/>
        </w:rPr>
        <w:t xml:space="preserve">both </w:t>
      </w:r>
      <w:r w:rsidRPr="005A3EDB">
        <w:rPr>
          <w:shd w:val="clear" w:color="auto" w:fill="FFFFFF"/>
        </w:rPr>
        <w:t>the recommended full schedule and less than the full schedule</w:t>
      </w:r>
      <w:r w:rsidR="00D5381A">
        <w:rPr>
          <w:shd w:val="clear" w:color="auto" w:fill="FFFFFF"/>
        </w:rPr>
        <w:t>,</w:t>
      </w:r>
      <w:r w:rsidRPr="005A3EDB">
        <w:rPr>
          <w:shd w:val="clear" w:color="auto" w:fill="FFFFFF"/>
        </w:rPr>
        <w:t xml:space="preserve"> course of vaccine administration</w:t>
      </w:r>
      <w:r w:rsidR="00D5381A">
        <w:rPr>
          <w:shd w:val="clear" w:color="auto" w:fill="FFFFFF"/>
        </w:rPr>
        <w:t>,</w:t>
      </w:r>
      <w:r w:rsidRPr="005A3EDB">
        <w:rPr>
          <w:shd w:val="clear" w:color="auto" w:fill="FFFFFF"/>
        </w:rPr>
        <w:t xml:space="preserve"> contraindication and vaccine safety considerations</w:t>
      </w:r>
      <w:r w:rsidR="00D5381A">
        <w:rPr>
          <w:shd w:val="clear" w:color="auto" w:fill="FFFFFF"/>
        </w:rPr>
        <w:t>,</w:t>
      </w:r>
      <w:r w:rsidRPr="005A3EDB">
        <w:rPr>
          <w:shd w:val="clear" w:color="auto" w:fill="FFFFFF"/>
        </w:rPr>
        <w:t xml:space="preserve"> vaccine presentation (</w:t>
      </w:r>
      <w:proofErr w:type="spellStart"/>
      <w:r w:rsidRPr="005A3EDB">
        <w:rPr>
          <w:shd w:val="clear" w:color="auto" w:fill="FFFFFF"/>
        </w:rPr>
        <w:t>eg</w:t>
      </w:r>
      <w:proofErr w:type="spellEnd"/>
      <w:r w:rsidR="002462E6">
        <w:rPr>
          <w:shd w:val="clear" w:color="auto" w:fill="FFFFFF"/>
        </w:rPr>
        <w:t>,</w:t>
      </w:r>
      <w:r w:rsidRPr="005A3EDB">
        <w:rPr>
          <w:shd w:val="clear" w:color="auto" w:fill="FFFFFF"/>
        </w:rPr>
        <w:t xml:space="preserve"> multi-dose presentation)</w:t>
      </w:r>
      <w:r w:rsidR="00D5381A">
        <w:rPr>
          <w:shd w:val="clear" w:color="auto" w:fill="FFFFFF"/>
        </w:rPr>
        <w:t>,</w:t>
      </w:r>
      <w:r w:rsidRPr="005A3EDB">
        <w:rPr>
          <w:shd w:val="clear" w:color="auto" w:fill="FFFFFF"/>
        </w:rPr>
        <w:t xml:space="preserve"> cost of the vac</w:t>
      </w:r>
      <w:r w:rsidR="00D5381A">
        <w:rPr>
          <w:shd w:val="clear" w:color="auto" w:fill="FFFFFF"/>
        </w:rPr>
        <w:t>c</w:t>
      </w:r>
      <w:r w:rsidRPr="005A3EDB">
        <w:rPr>
          <w:shd w:val="clear" w:color="auto" w:fill="FFFFFF"/>
        </w:rPr>
        <w:t>ine and vaccine supply (whether sufficient quantities can be purchased or produced locally). Immuni</w:t>
      </w:r>
      <w:r w:rsidR="00806EB3">
        <w:rPr>
          <w:shd w:val="clear" w:color="auto" w:fill="FFFFFF"/>
        </w:rPr>
        <w:t>s</w:t>
      </w:r>
      <w:r w:rsidRPr="005A3EDB">
        <w:rPr>
          <w:shd w:val="clear" w:color="auto" w:fill="FFFFFF"/>
        </w:rPr>
        <w:t xml:space="preserve">ation must be based on sound infection control principles </w:t>
      </w:r>
      <w:r w:rsidR="00D5381A">
        <w:rPr>
          <w:shd w:val="clear" w:color="auto" w:fill="FFFFFF"/>
        </w:rPr>
        <w:t xml:space="preserve">developed from </w:t>
      </w:r>
      <w:r w:rsidRPr="005A3EDB">
        <w:rPr>
          <w:shd w:val="clear" w:color="auto" w:fill="FFFFFF"/>
        </w:rPr>
        <w:t xml:space="preserve">the best available immunological, epidemiological and clinical evidence. Pharmacovigilance and surveillance to monitor for </w:t>
      </w:r>
      <w:r w:rsidRPr="005A3EDB">
        <w:rPr>
          <w:shd w:val="clear" w:color="auto" w:fill="FFFFFF"/>
        </w:rPr>
        <w:t xml:space="preserve">adverse events and effectiveness will be especially important given the anticipated lack of </w:t>
      </w:r>
      <w:r w:rsidR="00D96DB4" w:rsidRPr="005A3EDB">
        <w:rPr>
          <w:shd w:val="clear" w:color="auto" w:fill="FFFFFF"/>
        </w:rPr>
        <w:t>long-term</w:t>
      </w:r>
      <w:r w:rsidRPr="005A3EDB">
        <w:rPr>
          <w:shd w:val="clear" w:color="auto" w:fill="FFFFFF"/>
        </w:rPr>
        <w:t xml:space="preserve"> safety and efficacy data.</w:t>
      </w:r>
    </w:p>
    <w:p w14:paraId="54F7750A" w14:textId="77777777" w:rsidR="000042DD" w:rsidRPr="00F3515B" w:rsidRDefault="000042DD" w:rsidP="00B867C6">
      <w:pPr>
        <w:pStyle w:val="Heading2"/>
        <w:rPr>
          <w:shd w:val="clear" w:color="auto" w:fill="FFFFFF"/>
        </w:rPr>
      </w:pPr>
      <w:bookmarkStart w:id="77" w:name="_Toc42062706"/>
      <w:bookmarkStart w:id="78" w:name="_Toc42073360"/>
      <w:r w:rsidRPr="00F3515B">
        <w:rPr>
          <w:shd w:val="clear" w:color="auto" w:fill="FFFFFF"/>
        </w:rPr>
        <w:t>Applying the principles</w:t>
      </w:r>
      <w:bookmarkEnd w:id="77"/>
      <w:bookmarkEnd w:id="78"/>
    </w:p>
    <w:p w14:paraId="3451F0BA" w14:textId="07B3A1C9" w:rsidR="000042DD" w:rsidRPr="00360785" w:rsidRDefault="006D06E5" w:rsidP="00B867C6">
      <w:pPr>
        <w:pStyle w:val="Heading3"/>
        <w:rPr>
          <w:lang w:eastAsia="en-NZ"/>
        </w:rPr>
      </w:pPr>
      <w:bookmarkStart w:id="79" w:name="_Toc42062707"/>
      <w:bookmarkStart w:id="80" w:name="_Toc42073361"/>
      <w:r>
        <w:rPr>
          <w:lang w:eastAsia="en-NZ"/>
        </w:rPr>
        <w:t>Getting the most from the</w:t>
      </w:r>
      <w:r w:rsidR="000042DD" w:rsidRPr="00360785">
        <w:rPr>
          <w:lang w:eastAsia="en-NZ"/>
        </w:rPr>
        <w:t xml:space="preserve"> resources</w:t>
      </w:r>
      <w:bookmarkEnd w:id="79"/>
      <w:bookmarkEnd w:id="80"/>
    </w:p>
    <w:p w14:paraId="468CDF38" w14:textId="4C4FB775" w:rsidR="000042DD" w:rsidRPr="00673D52" w:rsidRDefault="000042DD" w:rsidP="00B867C6">
      <w:pPr>
        <w:pStyle w:val="NEACNormal"/>
      </w:pPr>
      <w:r w:rsidRPr="00673D52">
        <w:t>An immuni</w:t>
      </w:r>
      <w:r w:rsidR="00806EB3">
        <w:t>s</w:t>
      </w:r>
      <w:r w:rsidRPr="00673D52">
        <w:t>ation program</w:t>
      </w:r>
      <w:r w:rsidR="00D5381A">
        <w:t>me</w:t>
      </w:r>
      <w:r w:rsidRPr="00673D52">
        <w:t xml:space="preserve"> should aim to maximi</w:t>
      </w:r>
      <w:r w:rsidR="00806EB3">
        <w:t>s</w:t>
      </w:r>
      <w:r w:rsidRPr="00673D52">
        <w:t xml:space="preserve">e the benefit of </w:t>
      </w:r>
      <w:r w:rsidR="00D5381A">
        <w:t xml:space="preserve">a </w:t>
      </w:r>
      <w:r w:rsidRPr="00673D52">
        <w:t xml:space="preserve">vaccine in reducing national mortality and morbidity as a result of </w:t>
      </w:r>
      <w:r w:rsidR="00D800D8" w:rsidRPr="00673D52">
        <w:t>COVID-19</w:t>
      </w:r>
      <w:r w:rsidRPr="00673D52">
        <w:t xml:space="preserve"> and enable the functioning of essential social services.  </w:t>
      </w:r>
    </w:p>
    <w:p w14:paraId="1F75B23D" w14:textId="01733D59" w:rsidR="000042DD" w:rsidRPr="00360785" w:rsidRDefault="000042DD" w:rsidP="00B867C6">
      <w:pPr>
        <w:pStyle w:val="Heading3"/>
        <w:rPr>
          <w:lang w:eastAsia="en-NZ"/>
        </w:rPr>
      </w:pPr>
      <w:bookmarkStart w:id="81" w:name="_Toc42062708"/>
      <w:bookmarkStart w:id="82" w:name="_Toc42073362"/>
      <w:r w:rsidRPr="00360785">
        <w:rPr>
          <w:lang w:eastAsia="en-NZ"/>
        </w:rPr>
        <w:t>Prioritis</w:t>
      </w:r>
      <w:r w:rsidR="006D06E5">
        <w:rPr>
          <w:lang w:eastAsia="en-NZ"/>
        </w:rPr>
        <w:t>ing</w:t>
      </w:r>
      <w:r w:rsidRPr="00360785">
        <w:rPr>
          <w:lang w:eastAsia="en-NZ"/>
        </w:rPr>
        <w:t xml:space="preserve"> </w:t>
      </w:r>
      <w:r w:rsidR="006D06E5">
        <w:rPr>
          <w:lang w:eastAsia="en-NZ"/>
        </w:rPr>
        <w:t xml:space="preserve">the people </w:t>
      </w:r>
      <w:r w:rsidR="00701E2C">
        <w:rPr>
          <w:lang w:eastAsia="en-NZ"/>
        </w:rPr>
        <w:t>most</w:t>
      </w:r>
      <w:r w:rsidR="00701E2C" w:rsidRPr="00360785">
        <w:rPr>
          <w:lang w:eastAsia="en-NZ"/>
        </w:rPr>
        <w:t xml:space="preserve"> </w:t>
      </w:r>
      <w:r w:rsidR="006D06E5">
        <w:rPr>
          <w:lang w:eastAsia="en-NZ"/>
        </w:rPr>
        <w:t xml:space="preserve">in </w:t>
      </w:r>
      <w:r w:rsidRPr="00360785">
        <w:rPr>
          <w:lang w:eastAsia="en-NZ"/>
        </w:rPr>
        <w:t>need</w:t>
      </w:r>
      <w:bookmarkEnd w:id="81"/>
      <w:bookmarkEnd w:id="82"/>
      <w:r w:rsidRPr="00360785">
        <w:rPr>
          <w:lang w:eastAsia="en-NZ"/>
        </w:rPr>
        <w:t xml:space="preserve"> </w:t>
      </w:r>
    </w:p>
    <w:p w14:paraId="71DCBC01" w14:textId="7567A312" w:rsidR="00F3515B" w:rsidRPr="00673D52" w:rsidRDefault="00F3515B" w:rsidP="00B867C6">
      <w:pPr>
        <w:pStyle w:val="NEACNormal"/>
      </w:pPr>
      <w:r w:rsidRPr="00673D52">
        <w:t>Vaccine allocation could also prioriti</w:t>
      </w:r>
      <w:r w:rsidR="00D5381A">
        <w:t>s</w:t>
      </w:r>
      <w:r w:rsidRPr="00673D52">
        <w:t xml:space="preserve">e people who are the most vulnerable to contracting </w:t>
      </w:r>
      <w:r w:rsidR="00F130E0">
        <w:t>COVID-19</w:t>
      </w:r>
      <w:r w:rsidR="00F130E0" w:rsidRPr="005A3EDB">
        <w:t xml:space="preserve"> </w:t>
      </w:r>
      <w:r w:rsidRPr="00673D52">
        <w:t>and</w:t>
      </w:r>
      <w:r w:rsidR="00D5381A">
        <w:t>/</w:t>
      </w:r>
      <w:r w:rsidRPr="00673D52">
        <w:t>or developing sever</w:t>
      </w:r>
      <w:r w:rsidR="00BD45D9">
        <w:t>e</w:t>
      </w:r>
      <w:r w:rsidRPr="00673D52">
        <w:t xml:space="preserve"> </w:t>
      </w:r>
      <w:r w:rsidR="00764EDA" w:rsidRPr="00673D52">
        <w:t>COVID-19</w:t>
      </w:r>
      <w:r w:rsidRPr="00673D52">
        <w:t xml:space="preserve"> disease. Vulnerability depends on both biological and social features. </w:t>
      </w:r>
    </w:p>
    <w:p w14:paraId="3E9F0B6C" w14:textId="38316533" w:rsidR="00F3515B" w:rsidRPr="00673D52" w:rsidRDefault="00F3515B" w:rsidP="00B867C6">
      <w:pPr>
        <w:pStyle w:val="NEACNormal"/>
      </w:pPr>
      <w:r w:rsidRPr="00673D52">
        <w:t xml:space="preserve">Priority may be given to individuals with inadequate or limited capacity to respond to the </w:t>
      </w:r>
      <w:r w:rsidR="00764EDA" w:rsidRPr="00673D52">
        <w:t>COVID-19</w:t>
      </w:r>
      <w:r w:rsidRPr="00673D52">
        <w:t xml:space="preserve"> using non-pharmacological public health measures (</w:t>
      </w:r>
      <w:proofErr w:type="spellStart"/>
      <w:r w:rsidRPr="00673D52">
        <w:t>eg</w:t>
      </w:r>
      <w:proofErr w:type="spellEnd"/>
      <w:r w:rsidR="002462E6">
        <w:t>,</w:t>
      </w:r>
      <w:r w:rsidRPr="00673D52">
        <w:t xml:space="preserve"> social distancing, PPE)</w:t>
      </w:r>
      <w:r w:rsidR="00806EB3">
        <w:t>.</w:t>
      </w:r>
    </w:p>
    <w:p w14:paraId="768613E9" w14:textId="6A472119" w:rsidR="00F3515B" w:rsidRPr="00673D52" w:rsidRDefault="00F3515B" w:rsidP="00B867C6">
      <w:pPr>
        <w:pStyle w:val="NEACNormal"/>
      </w:pPr>
      <w:r w:rsidRPr="00673D52">
        <w:t xml:space="preserve">Priority may be given to individuals whose work is essential for maintaining </w:t>
      </w:r>
      <w:r w:rsidR="00C96E2B">
        <w:t>health care</w:t>
      </w:r>
      <w:r w:rsidRPr="00673D52">
        <w:t xml:space="preserve"> systems</w:t>
      </w:r>
      <w:r w:rsidR="00D5381A">
        <w:t xml:space="preserve"> and</w:t>
      </w:r>
      <w:r w:rsidR="00D5381A" w:rsidRPr="00673D52">
        <w:t xml:space="preserve"> </w:t>
      </w:r>
      <w:r w:rsidRPr="00673D52">
        <w:t xml:space="preserve">pandemic response and essential social services.  </w:t>
      </w:r>
    </w:p>
    <w:p w14:paraId="10B6BE25" w14:textId="45CDB40B" w:rsidR="00F3515B" w:rsidRPr="00673D52" w:rsidRDefault="00F3515B" w:rsidP="00B867C6">
      <w:pPr>
        <w:pStyle w:val="NEACNormal"/>
      </w:pPr>
      <w:r w:rsidRPr="00673D52">
        <w:lastRenderedPageBreak/>
        <w:t>In relation to vaccination, protecting the most vulnerable and those at highest risk typically aligns with the principle of maximi</w:t>
      </w:r>
      <w:r w:rsidR="00D5381A">
        <w:t>s</w:t>
      </w:r>
      <w:r w:rsidRPr="00673D52">
        <w:t>ing the population benefit of vaccines.</w:t>
      </w:r>
    </w:p>
    <w:p w14:paraId="19C20E7F" w14:textId="2C4FB039" w:rsidR="000042DD" w:rsidRPr="00F3515B" w:rsidRDefault="000042DD" w:rsidP="00B867C6">
      <w:pPr>
        <w:pStyle w:val="NEACNormal"/>
      </w:pPr>
      <w:r w:rsidRPr="00F3515B">
        <w:t xml:space="preserve">Some people with underlying health conditions or pre-existing co-morbidities will be vulnerable to developing sever or critical </w:t>
      </w:r>
      <w:r w:rsidR="00764EDA">
        <w:t>COVID-19</w:t>
      </w:r>
      <w:r w:rsidR="003F2DA2">
        <w:t xml:space="preserve"> </w:t>
      </w:r>
      <w:r w:rsidR="00D5381A">
        <w:t>infection</w:t>
      </w:r>
      <w:r w:rsidRPr="00F3515B">
        <w:t xml:space="preserve"> and at increased risk of dying or suffering serious and possible long term </w:t>
      </w:r>
      <w:r w:rsidR="00764EDA">
        <w:t>COVID-19</w:t>
      </w:r>
      <w:r w:rsidRPr="00F3515B">
        <w:t xml:space="preserve">related morbidity.  </w:t>
      </w:r>
    </w:p>
    <w:p w14:paraId="44B2DC7A" w14:textId="2EED9532" w:rsidR="000042DD" w:rsidRPr="00F3515B" w:rsidRDefault="000042DD" w:rsidP="00B867C6">
      <w:pPr>
        <w:pStyle w:val="NEACNormal"/>
        <w:rPr>
          <w:color w:val="auto"/>
        </w:rPr>
      </w:pPr>
      <w:r w:rsidRPr="00F3515B">
        <w:t xml:space="preserve">Other people will be vulnerable because of their social situation or role, including frontline health workers at high risk exposure to </w:t>
      </w:r>
      <w:r w:rsidR="00764EDA">
        <w:t>COVID-19</w:t>
      </w:r>
      <w:r w:rsidRPr="00F3515B">
        <w:t xml:space="preserve"> patients</w:t>
      </w:r>
      <w:r w:rsidR="00D5381A">
        <w:t xml:space="preserve"> and</w:t>
      </w:r>
      <w:r w:rsidR="00D5381A" w:rsidRPr="00F3515B">
        <w:t xml:space="preserve"> </w:t>
      </w:r>
      <w:r w:rsidRPr="00F3515B">
        <w:t>people with less capacity to socially isolate (</w:t>
      </w:r>
      <w:proofErr w:type="spellStart"/>
      <w:r w:rsidR="00D5381A">
        <w:t>eg</w:t>
      </w:r>
      <w:proofErr w:type="spellEnd"/>
      <w:r w:rsidR="00D5381A">
        <w:t>,</w:t>
      </w:r>
      <w:r w:rsidRPr="00F3515B">
        <w:t xml:space="preserve"> prisoners or those in residential care facilities). </w:t>
      </w:r>
    </w:p>
    <w:p w14:paraId="1CC11E75" w14:textId="6B8172EE" w:rsidR="000042DD" w:rsidRPr="00360785" w:rsidRDefault="00701E2C" w:rsidP="00B867C6">
      <w:pPr>
        <w:pStyle w:val="Heading3"/>
        <w:rPr>
          <w:lang w:eastAsia="en-NZ"/>
        </w:rPr>
      </w:pPr>
      <w:bookmarkStart w:id="83" w:name="_Toc42062709"/>
      <w:bookmarkStart w:id="84" w:name="_Toc42073363"/>
      <w:r>
        <w:rPr>
          <w:lang w:eastAsia="en-NZ"/>
        </w:rPr>
        <w:t>Achieving e</w:t>
      </w:r>
      <w:r w:rsidR="000042DD" w:rsidRPr="00360785">
        <w:rPr>
          <w:lang w:eastAsia="en-NZ"/>
        </w:rPr>
        <w:t>quity</w:t>
      </w:r>
      <w:bookmarkEnd w:id="83"/>
      <w:bookmarkEnd w:id="84"/>
      <w:r w:rsidR="000042DD" w:rsidRPr="00360785">
        <w:rPr>
          <w:lang w:eastAsia="en-NZ"/>
        </w:rPr>
        <w:t xml:space="preserve"> </w:t>
      </w:r>
    </w:p>
    <w:p w14:paraId="1766789D" w14:textId="3D49CA97" w:rsidR="00F3515B" w:rsidRPr="00673D52" w:rsidRDefault="000042DD" w:rsidP="00B867C6">
      <w:pPr>
        <w:pStyle w:val="NEACNormal"/>
      </w:pPr>
      <w:r w:rsidRPr="00673D52">
        <w:t>Vaccine allocation should avoid remediable differences among groups of people based on social, economic, demographic or geographic factors.</w:t>
      </w:r>
      <w:r w:rsidR="00D5381A">
        <w:t xml:space="preserve"> </w:t>
      </w:r>
      <w:r w:rsidRPr="00673D52">
        <w:t>An equitable immuni</w:t>
      </w:r>
      <w:r w:rsidR="00806EB3">
        <w:t>s</w:t>
      </w:r>
      <w:r w:rsidRPr="00673D52">
        <w:t>ation program</w:t>
      </w:r>
      <w:r w:rsidR="00D5381A">
        <w:t>me</w:t>
      </w:r>
      <w:r w:rsidRPr="00673D52">
        <w:t xml:space="preserve"> </w:t>
      </w:r>
      <w:r w:rsidR="00F3515B" w:rsidRPr="00673D52">
        <w:t>will require</w:t>
      </w:r>
      <w:r w:rsidR="00673D52">
        <w:t>:</w:t>
      </w:r>
    </w:p>
    <w:p w14:paraId="670B7096" w14:textId="1C5DB434" w:rsidR="00F3515B" w:rsidRPr="00FF0184" w:rsidRDefault="000042DD" w:rsidP="005B604C">
      <w:pPr>
        <w:pStyle w:val="NEACBullet"/>
      </w:pPr>
      <w:r w:rsidRPr="00FF0184">
        <w:t>recognition of epistemic authority (</w:t>
      </w:r>
      <w:r w:rsidR="00D5381A">
        <w:t>V</w:t>
      </w:r>
      <w:r w:rsidRPr="00FF0184">
        <w:t>ulnerable and marginali</w:t>
      </w:r>
      <w:r w:rsidR="00D5381A">
        <w:t>s</w:t>
      </w:r>
      <w:r w:rsidRPr="00FF0184">
        <w:t xml:space="preserve">ed communities have valuable </w:t>
      </w:r>
      <w:r w:rsidR="00EC1B6D">
        <w:t>understandings of</w:t>
      </w:r>
      <w:r w:rsidRPr="00FF0184">
        <w:t xml:space="preserve"> their own needs)</w:t>
      </w:r>
    </w:p>
    <w:p w14:paraId="46DA209A" w14:textId="7C3FB821" w:rsidR="005A3EDB" w:rsidRPr="00EE2356" w:rsidRDefault="000042DD" w:rsidP="005B604C">
      <w:pPr>
        <w:pStyle w:val="NEACBullet"/>
      </w:pPr>
      <w:r w:rsidRPr="00FF0184">
        <w:t>allocation of resources to protect and promote the interests of vulnerable or marginali</w:t>
      </w:r>
      <w:r w:rsidR="00806EB3">
        <w:t>s</w:t>
      </w:r>
      <w:r w:rsidRPr="00FF0184">
        <w:t>ed populations</w:t>
      </w:r>
    </w:p>
    <w:p w14:paraId="75B3FD42" w14:textId="30B40E9D" w:rsidR="00EE2356" w:rsidRPr="00673D52" w:rsidRDefault="00806EB3" w:rsidP="005B604C">
      <w:pPr>
        <w:pStyle w:val="NEACBullet"/>
      </w:pPr>
      <w:r>
        <w:t>f</w:t>
      </w:r>
      <w:r w:rsidR="00FC3D02" w:rsidRPr="00EE2356">
        <w:t xml:space="preserve">unding for equitable access to vaccines, including funding for programmes for </w:t>
      </w:r>
      <w:r w:rsidR="00A273BF">
        <w:t>Māori</w:t>
      </w:r>
      <w:r w:rsidR="00FC3D02" w:rsidRPr="00EE2356">
        <w:t xml:space="preserve"> to design and deliver vaccine programmes</w:t>
      </w:r>
      <w:r w:rsidR="00D5381A">
        <w:t xml:space="preserve"> to their </w:t>
      </w:r>
      <w:r w:rsidR="00D5381A">
        <w:t>own communities</w:t>
      </w:r>
      <w:r w:rsidR="00FC3D02" w:rsidRPr="00EE2356">
        <w:t xml:space="preserve">. </w:t>
      </w:r>
      <w:r w:rsidR="000042DD" w:rsidRPr="00EE2356">
        <w:t>Affordability and access must not become barriers to widespread vaccine availability</w:t>
      </w:r>
      <w:r>
        <w:t>.</w:t>
      </w:r>
    </w:p>
    <w:p w14:paraId="13D01D4D" w14:textId="580F2545" w:rsidR="000042DD" w:rsidRPr="00EE2356" w:rsidRDefault="00EC1B6D" w:rsidP="00B867C6">
      <w:pPr>
        <w:pStyle w:val="NEACNormal"/>
      </w:pPr>
      <w:r>
        <w:t>Vaccine a</w:t>
      </w:r>
      <w:r w:rsidR="000042DD" w:rsidRPr="00EE2356">
        <w:t xml:space="preserve">llocation should </w:t>
      </w:r>
      <w:r>
        <w:t>try</w:t>
      </w:r>
      <w:r w:rsidRPr="00EE2356">
        <w:t xml:space="preserve"> </w:t>
      </w:r>
      <w:r w:rsidR="000042DD" w:rsidRPr="00EE2356">
        <w:t>to avoid or minimi</w:t>
      </w:r>
      <w:r w:rsidR="00806EB3">
        <w:t>s</w:t>
      </w:r>
      <w:r w:rsidR="000042DD" w:rsidRPr="00EE2356">
        <w:t xml:space="preserve">e </w:t>
      </w:r>
      <w:r w:rsidR="00F3515B" w:rsidRPr="00EE2356">
        <w:t>compounding disadvantage</w:t>
      </w:r>
      <w:r w:rsidR="000042DD" w:rsidRPr="00EE2356">
        <w:t xml:space="preserve"> by ensuring those who are not prioriti</w:t>
      </w:r>
      <w:r w:rsidR="00806EB3">
        <w:t>s</w:t>
      </w:r>
      <w:r w:rsidR="000042DD" w:rsidRPr="00EE2356">
        <w:t>ed for access to vaccines receive other essential resources</w:t>
      </w:r>
      <w:r w:rsidR="00D5381A">
        <w:t>,</w:t>
      </w:r>
      <w:r w:rsidR="000042DD" w:rsidRPr="00EE2356">
        <w:t xml:space="preserve"> such as PPE or priority access to health care.  </w:t>
      </w:r>
    </w:p>
    <w:p w14:paraId="3200C89F" w14:textId="712FAF39" w:rsidR="000042DD" w:rsidRPr="009661C6" w:rsidRDefault="009661C6" w:rsidP="00B867C6">
      <w:pPr>
        <w:pStyle w:val="Heading3"/>
        <w:rPr>
          <w:lang w:eastAsia="en-NZ"/>
        </w:rPr>
      </w:pPr>
      <w:bookmarkStart w:id="85" w:name="_Toc42062710"/>
      <w:bookmarkStart w:id="86" w:name="_Toc42073364"/>
      <w:r>
        <w:rPr>
          <w:lang w:eastAsia="en-NZ"/>
        </w:rPr>
        <w:t>All people are</w:t>
      </w:r>
      <w:r w:rsidR="000042DD" w:rsidRPr="009661C6">
        <w:rPr>
          <w:lang w:eastAsia="en-NZ"/>
        </w:rPr>
        <w:t xml:space="preserve"> equally deserving of care</w:t>
      </w:r>
      <w:bookmarkEnd w:id="85"/>
      <w:bookmarkEnd w:id="86"/>
    </w:p>
    <w:p w14:paraId="631D57B2" w14:textId="5815B8FB" w:rsidR="000042DD" w:rsidRPr="00673D52" w:rsidRDefault="000042DD" w:rsidP="00B867C6">
      <w:pPr>
        <w:pStyle w:val="NEACNormal"/>
      </w:pPr>
      <w:r w:rsidRPr="00673D52">
        <w:t xml:space="preserve">All individuals’ interests should count equally; and </w:t>
      </w:r>
      <w:r w:rsidR="00D5381A">
        <w:t>all people</w:t>
      </w:r>
      <w:r w:rsidR="00D5381A" w:rsidRPr="00673D52">
        <w:t xml:space="preserve"> </w:t>
      </w:r>
      <w:r w:rsidRPr="00673D52">
        <w:t xml:space="preserve">should be assessed against the same criteria for access to a </w:t>
      </w:r>
      <w:r w:rsidR="005A3EDB" w:rsidRPr="00673D52">
        <w:t>vaccine</w:t>
      </w:r>
      <w:r w:rsidRPr="00673D52">
        <w:t xml:space="preserve">. </w:t>
      </w:r>
    </w:p>
    <w:p w14:paraId="77BA42FE" w14:textId="09EC4838" w:rsidR="000042DD" w:rsidRPr="00673D52" w:rsidRDefault="000042DD" w:rsidP="00B867C6">
      <w:pPr>
        <w:pStyle w:val="NEACNormal"/>
      </w:pPr>
      <w:r w:rsidRPr="00673D52">
        <w:t>From an epidemiological perspective, all individuals living in a geographic area (such as New Zealand) must be considered as part of the immuni</w:t>
      </w:r>
      <w:r w:rsidR="00806EB3">
        <w:t>s</w:t>
      </w:r>
      <w:r w:rsidRPr="00673D52">
        <w:t>ation program</w:t>
      </w:r>
      <w:r w:rsidR="00D5381A">
        <w:t>me</w:t>
      </w:r>
      <w:r w:rsidRPr="00673D52">
        <w:t xml:space="preserve">, regardless if their immigration status. This includes all non-residents currently living in, or unable to leave, New Zealand.  </w:t>
      </w:r>
    </w:p>
    <w:p w14:paraId="35CD2776" w14:textId="77777777" w:rsidR="000042DD" w:rsidRPr="00F3515B" w:rsidRDefault="000042DD" w:rsidP="00B867C6">
      <w:pPr>
        <w:pStyle w:val="Heading3"/>
        <w:rPr>
          <w:shd w:val="clear" w:color="auto" w:fill="FFFFFF"/>
        </w:rPr>
      </w:pPr>
      <w:bookmarkStart w:id="87" w:name="_Toc42062711"/>
      <w:bookmarkStart w:id="88" w:name="_Toc42073365"/>
      <w:r w:rsidRPr="00F3515B">
        <w:rPr>
          <w:shd w:val="clear" w:color="auto" w:fill="FFFFFF"/>
        </w:rPr>
        <w:t>General considerations</w:t>
      </w:r>
      <w:bookmarkEnd w:id="87"/>
      <w:bookmarkEnd w:id="88"/>
    </w:p>
    <w:p w14:paraId="1A6F9F41" w14:textId="77777777" w:rsidR="000042DD" w:rsidRPr="005A3EDB" w:rsidRDefault="000042DD" w:rsidP="00B867C6">
      <w:pPr>
        <w:pStyle w:val="NEACNormal"/>
      </w:pPr>
      <w:r w:rsidRPr="005A3EDB">
        <w:t xml:space="preserve">Vaccines are beneficial to individuals and populations. </w:t>
      </w:r>
    </w:p>
    <w:p w14:paraId="473D3BBB" w14:textId="1F5A04E1" w:rsidR="000042DD" w:rsidRPr="005A3EDB" w:rsidRDefault="000042DD" w:rsidP="00B867C6">
      <w:pPr>
        <w:pStyle w:val="NEACNormal"/>
      </w:pPr>
      <w:r w:rsidRPr="005A3EDB">
        <w:t xml:space="preserve">Efforts to control the </w:t>
      </w:r>
      <w:r w:rsidR="00764EDA">
        <w:t>COVID-19</w:t>
      </w:r>
      <w:r w:rsidRPr="005A3EDB">
        <w:t xml:space="preserve"> pandemic at the national level will only succeed with a coordinated regional and global strategy. New Zealand should participate in and support international conversations about fair vaccine allocation globally. </w:t>
      </w:r>
    </w:p>
    <w:p w14:paraId="13295AD7" w14:textId="3F1F2395" w:rsidR="000042DD" w:rsidRPr="005A3EDB" w:rsidRDefault="000042DD" w:rsidP="00B867C6">
      <w:pPr>
        <w:pStyle w:val="NEACNormal"/>
        <w:rPr>
          <w:rFonts w:eastAsiaTheme="minorHAnsi"/>
        </w:rPr>
      </w:pPr>
      <w:r w:rsidRPr="005A3EDB">
        <w:lastRenderedPageBreak/>
        <w:t>Vaccination must be voluntary unless mandatory vaccination becomes essential to avoid concrete and serious harm. Efforts to maximi</w:t>
      </w:r>
      <w:r w:rsidR="008E4701">
        <w:t>s</w:t>
      </w:r>
      <w:r w:rsidRPr="005A3EDB">
        <w:t xml:space="preserve">e efficient use of resources and save lives may conflict with individual autonomy. Given the enormous economic and social impact of the </w:t>
      </w:r>
      <w:r w:rsidR="00764EDA">
        <w:t>COVID-19</w:t>
      </w:r>
      <w:r w:rsidRPr="005A3EDB">
        <w:t xml:space="preserve"> pandemic and unpresented restriction</w:t>
      </w:r>
      <w:r w:rsidR="00EC1B6D">
        <w:t>s</w:t>
      </w:r>
      <w:r w:rsidRPr="005A3EDB">
        <w:t xml:space="preserve"> on personal liberty, mandatory </w:t>
      </w:r>
      <w:r w:rsidRPr="005A3EDB">
        <w:rPr>
          <w:rFonts w:eastAsiaTheme="minorHAnsi"/>
        </w:rPr>
        <w:t>or incentivi</w:t>
      </w:r>
      <w:r w:rsidR="008E4701">
        <w:rPr>
          <w:rFonts w:eastAsiaTheme="minorHAnsi"/>
        </w:rPr>
        <w:t>s</w:t>
      </w:r>
      <w:r w:rsidRPr="005A3EDB">
        <w:rPr>
          <w:rFonts w:eastAsiaTheme="minorHAnsi"/>
        </w:rPr>
        <w:t xml:space="preserve">ed </w:t>
      </w:r>
      <w:r w:rsidRPr="005A3EDB">
        <w:t xml:space="preserve">vaccination may be considered for </w:t>
      </w:r>
      <w:r w:rsidR="00F130E0">
        <w:t>COVID-19</w:t>
      </w:r>
      <w:r w:rsidRPr="005A3EDB">
        <w:t xml:space="preserve">. </w:t>
      </w:r>
      <w:r w:rsidRPr="005A3EDB">
        <w:rPr>
          <w:rFonts w:eastAsiaTheme="minorHAnsi"/>
        </w:rPr>
        <w:t>For example, vaccination may be considered a requirement for health providers given their potential role as vectors.</w:t>
      </w:r>
      <w:r w:rsidRPr="005A3EDB">
        <w:t xml:space="preserve"> The core public health principles of necessity and least infringement require that any restriction on individual liberty must be necessary to achieve the public health goal.  </w:t>
      </w:r>
    </w:p>
    <w:p w14:paraId="348E9EC8" w14:textId="61545849" w:rsidR="000042DD" w:rsidRPr="005A3EDB" w:rsidRDefault="00AD0C31" w:rsidP="00B867C6">
      <w:pPr>
        <w:pStyle w:val="NEACNormal"/>
      </w:pPr>
      <w:r>
        <w:t>Randomisation or lotteries</w:t>
      </w:r>
      <w:r w:rsidR="000042DD" w:rsidRPr="005A3EDB">
        <w:t xml:space="preserve"> can </w:t>
      </w:r>
      <w:r w:rsidR="00EC1B6D">
        <w:t>help</w:t>
      </w:r>
      <w:r w:rsidR="000042DD" w:rsidRPr="005A3EDB">
        <w:t xml:space="preserve"> determine distribution of vaccines between individuals or groups that could reasonably be expected to derive equal benefit from the vaccine. Randomi</w:t>
      </w:r>
      <w:r w:rsidR="008E4701">
        <w:t>s</w:t>
      </w:r>
      <w:r w:rsidR="000042DD" w:rsidRPr="005A3EDB">
        <w:t xml:space="preserve">ation gives each person </w:t>
      </w:r>
      <w:r w:rsidR="00EC1B6D">
        <w:t xml:space="preserve">an </w:t>
      </w:r>
      <w:r w:rsidR="000042DD" w:rsidRPr="005A3EDB">
        <w:t xml:space="preserve">equal chance to benefit. </w:t>
      </w:r>
      <w:r w:rsidR="008E4701">
        <w:t xml:space="preserve">A </w:t>
      </w:r>
      <w:r w:rsidR="00EC1B6D">
        <w:t>‘</w:t>
      </w:r>
      <w:r w:rsidR="008E4701">
        <w:t>f</w:t>
      </w:r>
      <w:r w:rsidR="000042DD" w:rsidRPr="005A3EDB">
        <w:t>irst-come-first-served</w:t>
      </w:r>
      <w:r w:rsidR="00EC1B6D">
        <w:t>’</w:t>
      </w:r>
      <w:r w:rsidR="000042DD" w:rsidRPr="005A3EDB">
        <w:t xml:space="preserve"> </w:t>
      </w:r>
      <w:r w:rsidR="008E4701">
        <w:t xml:space="preserve">approach </w:t>
      </w:r>
      <w:r w:rsidR="000042DD" w:rsidRPr="005A3EDB">
        <w:t xml:space="preserve">should be avoided because it prioritises those with greater access to health services, information and/or wealth. </w:t>
      </w:r>
    </w:p>
    <w:p w14:paraId="5E6E2CBB" w14:textId="11AF45A6" w:rsidR="000042DD" w:rsidRPr="005A3EDB" w:rsidRDefault="000042DD" w:rsidP="00B867C6">
      <w:pPr>
        <w:pStyle w:val="NEACNormal"/>
      </w:pPr>
      <w:r w:rsidRPr="005A3EDB">
        <w:t>Prioriti</w:t>
      </w:r>
      <w:r w:rsidR="008E4701">
        <w:t>s</w:t>
      </w:r>
      <w:r w:rsidRPr="005A3EDB">
        <w:t xml:space="preserve">ation of specific groups for access to a </w:t>
      </w:r>
      <w:r w:rsidR="00EE2356" w:rsidRPr="005A3EDB">
        <w:t>vaccine</w:t>
      </w:r>
      <w:r w:rsidRPr="005A3EDB">
        <w:t xml:space="preserve"> will require careful public justification and communication to ensure that these groups </w:t>
      </w:r>
      <w:r w:rsidR="00EC1B6D">
        <w:t>d</w:t>
      </w:r>
      <w:r w:rsidRPr="005A3EDB">
        <w:t xml:space="preserve">o not perceive themselves as test subjects or that others perceive them as being unfairly privileged. </w:t>
      </w:r>
    </w:p>
    <w:p w14:paraId="5ECDA2DC" w14:textId="69533AAB" w:rsidR="002D2D17" w:rsidRPr="00F3515B" w:rsidRDefault="00EC1B6D" w:rsidP="00B867C6">
      <w:pPr>
        <w:pStyle w:val="NEACNormal"/>
        <w:rPr>
          <w:rFonts w:eastAsiaTheme="minorHAnsi" w:cs="ClassicalGaramondBT-Roman"/>
          <w:color w:val="auto"/>
          <w:szCs w:val="18"/>
        </w:rPr>
      </w:pPr>
      <w:r>
        <w:t>S</w:t>
      </w:r>
      <w:r w:rsidR="000042DD" w:rsidRPr="005A3EDB">
        <w:t>everal principles can support specific distribution mechanisms. For example, prioritising health</w:t>
      </w:r>
      <w:r>
        <w:t xml:space="preserve"> front</w:t>
      </w:r>
      <w:r w:rsidR="000042DD" w:rsidRPr="005A3EDB">
        <w:t xml:space="preserve">line workers can be justified by their </w:t>
      </w:r>
      <w:r w:rsidR="000042DD" w:rsidRPr="005A3EDB">
        <w:t>greater risk (protect the vulnerable)</w:t>
      </w:r>
      <w:r>
        <w:t xml:space="preserve"> and</w:t>
      </w:r>
      <w:r w:rsidR="000042DD" w:rsidRPr="005A3EDB">
        <w:t xml:space="preserve"> their instrumental role in maintaining essential social services (best use of resources)</w:t>
      </w:r>
      <w:r>
        <w:t>, as well as</w:t>
      </w:r>
      <w:r w:rsidR="000042DD" w:rsidRPr="005A3EDB">
        <w:t xml:space="preserve"> in recognition of the greater burdens they carried on behalf of society </w:t>
      </w:r>
      <w:r>
        <w:t xml:space="preserve">before </w:t>
      </w:r>
      <w:r w:rsidR="000042DD" w:rsidRPr="005A3EDB">
        <w:t>a</w:t>
      </w:r>
      <w:r>
        <w:t>n effective</w:t>
      </w:r>
      <w:r w:rsidR="000042DD" w:rsidRPr="005A3EDB">
        <w:t xml:space="preserve"> vaccine </w:t>
      </w:r>
      <w:r>
        <w:t xml:space="preserve">was developed </w:t>
      </w:r>
      <w:r w:rsidR="000042DD" w:rsidRPr="005A3EDB">
        <w:t>(reciprocity).</w:t>
      </w:r>
    </w:p>
    <w:p w14:paraId="668CC1E1" w14:textId="40F6C787" w:rsidR="002D2D17" w:rsidRPr="00F3515B" w:rsidRDefault="002D2D17" w:rsidP="00453294">
      <w:pPr>
        <w:spacing w:before="0" w:after="160" w:line="259" w:lineRule="auto"/>
        <w:rPr>
          <w:rFonts w:ascii="Helv" w:eastAsiaTheme="minorHAnsi" w:hAnsi="Helv" w:cs="ClassicalGaramondBT-Roman"/>
          <w:color w:val="auto"/>
          <w:szCs w:val="18"/>
        </w:rPr>
      </w:pPr>
    </w:p>
    <w:p w14:paraId="6721D102" w14:textId="4ED9ECCE" w:rsidR="00FB086A" w:rsidRPr="00F3515B" w:rsidRDefault="00FB086A" w:rsidP="00453294">
      <w:pPr>
        <w:spacing w:before="0" w:after="160" w:line="259" w:lineRule="auto"/>
        <w:rPr>
          <w:rFonts w:ascii="Helv" w:eastAsiaTheme="minorHAnsi" w:hAnsi="Helv" w:cs="ClassicalGaramondBT-Roman"/>
          <w:color w:val="auto"/>
          <w:szCs w:val="18"/>
        </w:rPr>
        <w:sectPr w:rsidR="00FB086A" w:rsidRPr="00F3515B" w:rsidSect="002D2D17">
          <w:footerReference w:type="default" r:id="rId28"/>
          <w:pgSz w:w="16838" w:h="11906" w:orient="landscape"/>
          <w:pgMar w:top="1814" w:right="2041" w:bottom="1588" w:left="1361" w:header="709" w:footer="709" w:gutter="0"/>
          <w:cols w:num="2" w:space="708"/>
          <w:docGrid w:linePitch="360"/>
        </w:sectPr>
      </w:pPr>
    </w:p>
    <w:bookmarkStart w:id="89" w:name="_Toc42073366" w:displacedByCustomXml="next"/>
    <w:bookmarkStart w:id="90" w:name="_Toc42062712" w:displacedByCustomXml="next"/>
    <w:sdt>
      <w:sdtPr>
        <w:rPr>
          <w:color w:val="595959"/>
          <w:sz w:val="18"/>
        </w:rPr>
        <w:id w:val="-2074428257"/>
        <w:docPartObj>
          <w:docPartGallery w:val="Bibliographies"/>
          <w:docPartUnique/>
        </w:docPartObj>
      </w:sdtPr>
      <w:sdtContent>
        <w:p w14:paraId="69850469" w14:textId="74230671" w:rsidR="00716889" w:rsidRDefault="00716889">
          <w:pPr>
            <w:pStyle w:val="Heading1"/>
          </w:pPr>
          <w:r>
            <w:t>Bibliography</w:t>
          </w:r>
          <w:bookmarkEnd w:id="90"/>
          <w:bookmarkEnd w:id="89"/>
        </w:p>
        <w:p w14:paraId="79D277B2" w14:textId="206FA34F" w:rsidR="00716889" w:rsidRDefault="00716889" w:rsidP="00525500">
          <w:pPr>
            <w:pStyle w:val="Bibliography"/>
            <w:spacing w:before="120" w:after="120"/>
            <w:rPr>
              <w:noProof/>
              <w:sz w:val="24"/>
              <w:szCs w:val="24"/>
            </w:rPr>
          </w:pPr>
          <w:r>
            <w:rPr>
              <w:noProof/>
            </w:rPr>
            <w:t>A</w:t>
          </w:r>
          <w:r w:rsidR="00C75A5D">
            <w:rPr>
              <w:noProof/>
            </w:rPr>
            <w:t>MA</w:t>
          </w:r>
          <w:r>
            <w:rPr>
              <w:noProof/>
            </w:rPr>
            <w:t xml:space="preserve">. 2020. </w:t>
          </w:r>
          <w:r w:rsidRPr="00EC1B6D">
            <w:rPr>
              <w:iCs/>
              <w:noProof/>
            </w:rPr>
            <w:t>Fair access to limited critical care resources</w:t>
          </w:r>
          <w:r>
            <w:rPr>
              <w:i/>
              <w:iCs/>
              <w:noProof/>
            </w:rPr>
            <w:t>.</w:t>
          </w:r>
          <w:r>
            <w:rPr>
              <w:noProof/>
            </w:rPr>
            <w:t xml:space="preserve"> </w:t>
          </w:r>
          <w:r w:rsidR="00C75A5D">
            <w:rPr>
              <w:noProof/>
            </w:rPr>
            <w:t>Ethics: American Medical Association. URL:</w:t>
          </w:r>
          <w:r>
            <w:rPr>
              <w:noProof/>
            </w:rPr>
            <w:t xml:space="preserve"> www.ama-assn.org/delivering-care/ethics/fair-access-limited-critical-care-resources</w:t>
          </w:r>
          <w:r w:rsidR="00C75A5D">
            <w:rPr>
              <w:noProof/>
            </w:rPr>
            <w:t xml:space="preserve"> (accessed 27 May 2020)</w:t>
          </w:r>
          <w:r>
            <w:rPr>
              <w:noProof/>
            </w:rPr>
            <w:t>.</w:t>
          </w:r>
        </w:p>
        <w:p w14:paraId="1A46D630" w14:textId="2DE567E2" w:rsidR="00716889" w:rsidRDefault="00716889" w:rsidP="00525500">
          <w:pPr>
            <w:pStyle w:val="Bibliography"/>
            <w:spacing w:before="120" w:after="120"/>
            <w:rPr>
              <w:noProof/>
            </w:rPr>
          </w:pPr>
          <w:r>
            <w:rPr>
              <w:noProof/>
            </w:rPr>
            <w:t xml:space="preserve">Australian Government Department of Health. 2020. </w:t>
          </w:r>
          <w:r w:rsidRPr="00EC1B6D">
            <w:rPr>
              <w:iCs/>
              <w:noProof/>
            </w:rPr>
            <w:t>What you need to know about coronavirus (COVID-19)</w:t>
          </w:r>
          <w:r>
            <w:rPr>
              <w:i/>
              <w:iCs/>
              <w:noProof/>
            </w:rPr>
            <w:t>.</w:t>
          </w:r>
          <w:r>
            <w:rPr>
              <w:noProof/>
            </w:rPr>
            <w:t xml:space="preserve"> </w:t>
          </w:r>
          <w:r w:rsidR="00C75A5D">
            <w:rPr>
              <w:noProof/>
            </w:rPr>
            <w:t xml:space="preserve">URL: </w:t>
          </w:r>
          <w:hyperlink r:id="rId29" w:history="1">
            <w:r w:rsidR="00C75A5D" w:rsidRPr="009C467F">
              <w:rPr>
                <w:rStyle w:val="Hyperlink"/>
                <w:noProof/>
              </w:rPr>
              <w:t>www.health.gov.au/news/health-alerts/novel-coronavirus-2019-ncov-health-alert/what-you-need-to-know-about-coronavirus-COVID-19</w:t>
            </w:r>
          </w:hyperlink>
          <w:r w:rsidR="00C75A5D">
            <w:rPr>
              <w:noProof/>
            </w:rPr>
            <w:t xml:space="preserve"> (accessed 27 May 2020)</w:t>
          </w:r>
          <w:r>
            <w:rPr>
              <w:noProof/>
            </w:rPr>
            <w:t>.</w:t>
          </w:r>
        </w:p>
        <w:p w14:paraId="54CF157D" w14:textId="5564EAAF" w:rsidR="00AD0C31" w:rsidRPr="00AD0C31" w:rsidRDefault="00AD0C31" w:rsidP="00525500">
          <w:pPr>
            <w:spacing w:before="120" w:after="120"/>
          </w:pPr>
          <w:r>
            <w:t xml:space="preserve">Ballantyne, Angela, 2020, </w:t>
          </w:r>
          <w:r w:rsidRPr="00AD0C31">
            <w:t>ICU triage: How many lives or whose lives?</w:t>
          </w:r>
          <w:r>
            <w:t xml:space="preserve"> URL:</w:t>
          </w:r>
          <w:hyperlink r:id="rId30" w:history="1">
            <w:r w:rsidRPr="007A339A">
              <w:rPr>
                <w:rStyle w:val="Hyperlink"/>
              </w:rPr>
              <w:t>https://blogs.bmj.com/medical-ethics/2020/04/07/icu-triage-how-many-lives-or-whose-lives/</w:t>
            </w:r>
          </w:hyperlink>
        </w:p>
        <w:p w14:paraId="2A939FEB" w14:textId="0335EC78" w:rsidR="00716889" w:rsidRDefault="00716889" w:rsidP="00525500">
          <w:pPr>
            <w:pStyle w:val="Bibliography"/>
            <w:spacing w:before="120" w:after="120"/>
            <w:rPr>
              <w:noProof/>
            </w:rPr>
          </w:pPr>
          <w:r>
            <w:rPr>
              <w:noProof/>
            </w:rPr>
            <w:t>Bean</w:t>
          </w:r>
          <w:r w:rsidR="00C75A5D">
            <w:rPr>
              <w:noProof/>
            </w:rPr>
            <w:t xml:space="preserve"> S, Reel K, Smith MJ,</w:t>
          </w:r>
          <w:r>
            <w:rPr>
              <w:noProof/>
            </w:rPr>
            <w:t xml:space="preserve"> et al. 2020. </w:t>
          </w:r>
          <w:r w:rsidRPr="00EC1B6D">
            <w:rPr>
              <w:i/>
              <w:noProof/>
            </w:rPr>
            <w:t>Ethical Framework for the Allocation of Personal Protective Equipment (during COVID-19)</w:t>
          </w:r>
          <w:r>
            <w:rPr>
              <w:noProof/>
            </w:rPr>
            <w:t xml:space="preserve">. </w:t>
          </w:r>
          <w:r w:rsidR="00C75A5D">
            <w:rPr>
              <w:noProof/>
            </w:rPr>
            <w:t xml:space="preserve">Toronto: </w:t>
          </w:r>
          <w:r>
            <w:rPr>
              <w:noProof/>
            </w:rPr>
            <w:t xml:space="preserve">University of Toronto. </w:t>
          </w:r>
          <w:hyperlink r:id="rId31" w:history="1">
            <w:r w:rsidR="00C75A5D" w:rsidRPr="009C467F">
              <w:rPr>
                <w:rStyle w:val="Hyperlink"/>
                <w:noProof/>
              </w:rPr>
              <w:t>http://jcb.utoronto.ca/news/documents/Ethical-Framework-for-the-Allocation-of-Personal-Protective-Equipment-2020.pdf</w:t>
            </w:r>
          </w:hyperlink>
          <w:r w:rsidR="00C75A5D">
            <w:rPr>
              <w:noProof/>
            </w:rPr>
            <w:t xml:space="preserve"> (accessed 27 May 2020)</w:t>
          </w:r>
          <w:r>
            <w:rPr>
              <w:noProof/>
            </w:rPr>
            <w:t>.</w:t>
          </w:r>
        </w:p>
        <w:p w14:paraId="7C6AC1D9" w14:textId="24BE771E" w:rsidR="00716889" w:rsidRDefault="00716889" w:rsidP="00525500">
          <w:pPr>
            <w:pStyle w:val="Bibliography"/>
            <w:spacing w:before="120" w:after="120"/>
            <w:rPr>
              <w:noProof/>
            </w:rPr>
          </w:pPr>
          <w:r>
            <w:rPr>
              <w:noProof/>
            </w:rPr>
            <w:t>Biddison</w:t>
          </w:r>
          <w:r w:rsidR="00AA4DE3">
            <w:rPr>
              <w:noProof/>
            </w:rPr>
            <w:t xml:space="preserve"> ELD, Faden R, Gwon HS,</w:t>
          </w:r>
          <w:r>
            <w:rPr>
              <w:noProof/>
            </w:rPr>
            <w:t xml:space="preserve"> et al. 2018. Too </w:t>
          </w:r>
          <w:r w:rsidR="00AA4DE3">
            <w:rPr>
              <w:noProof/>
            </w:rPr>
            <w:t>m</w:t>
          </w:r>
          <w:r>
            <w:rPr>
              <w:noProof/>
            </w:rPr>
            <w:t xml:space="preserve">any </w:t>
          </w:r>
          <w:r w:rsidR="00AA4DE3">
            <w:rPr>
              <w:noProof/>
            </w:rPr>
            <w:t>p</w:t>
          </w:r>
          <w:r>
            <w:rPr>
              <w:noProof/>
            </w:rPr>
            <w:t>atients…</w:t>
          </w:r>
          <w:r w:rsidR="00AA4DE3">
            <w:rPr>
              <w:noProof/>
            </w:rPr>
            <w:t>a</w:t>
          </w:r>
          <w:r>
            <w:rPr>
              <w:noProof/>
            </w:rPr>
            <w:t xml:space="preserve"> </w:t>
          </w:r>
          <w:r w:rsidR="00AA4DE3">
            <w:rPr>
              <w:noProof/>
            </w:rPr>
            <w:t>f</w:t>
          </w:r>
          <w:r>
            <w:rPr>
              <w:noProof/>
            </w:rPr>
            <w:t xml:space="preserve">ramework to </w:t>
          </w:r>
          <w:r w:rsidR="00AA4DE3">
            <w:rPr>
              <w:noProof/>
            </w:rPr>
            <w:t>g</w:t>
          </w:r>
          <w:r>
            <w:rPr>
              <w:noProof/>
            </w:rPr>
            <w:t xml:space="preserve">uide </w:t>
          </w:r>
          <w:r w:rsidR="00AA4DE3">
            <w:rPr>
              <w:noProof/>
            </w:rPr>
            <w:t>s</w:t>
          </w:r>
          <w:r>
            <w:rPr>
              <w:noProof/>
            </w:rPr>
            <w:t xml:space="preserve">tatewide </w:t>
          </w:r>
          <w:r w:rsidR="00AA4DE3">
            <w:rPr>
              <w:noProof/>
            </w:rPr>
            <w:t>a</w:t>
          </w:r>
          <w:r>
            <w:rPr>
              <w:noProof/>
            </w:rPr>
            <w:t xml:space="preserve">llocation of </w:t>
          </w:r>
          <w:r w:rsidR="00AA4DE3">
            <w:rPr>
              <w:noProof/>
            </w:rPr>
            <w:t>s</w:t>
          </w:r>
          <w:r>
            <w:rPr>
              <w:noProof/>
            </w:rPr>
            <w:t xml:space="preserve">carce </w:t>
          </w:r>
          <w:r w:rsidR="00AA4DE3">
            <w:rPr>
              <w:noProof/>
            </w:rPr>
            <w:t>m</w:t>
          </w:r>
          <w:r>
            <w:rPr>
              <w:noProof/>
            </w:rPr>
            <w:t xml:space="preserve">echanical </w:t>
          </w:r>
          <w:r w:rsidR="00AA4DE3">
            <w:rPr>
              <w:noProof/>
            </w:rPr>
            <w:t>v</w:t>
          </w:r>
          <w:r>
            <w:rPr>
              <w:noProof/>
            </w:rPr>
            <w:t xml:space="preserve">entilation </w:t>
          </w:r>
          <w:r w:rsidR="00AA4DE3">
            <w:rPr>
              <w:noProof/>
            </w:rPr>
            <w:t>d</w:t>
          </w:r>
          <w:r>
            <w:rPr>
              <w:noProof/>
            </w:rPr>
            <w:t xml:space="preserve">uring </w:t>
          </w:r>
          <w:r w:rsidR="00AA4DE3">
            <w:rPr>
              <w:noProof/>
            </w:rPr>
            <w:t>d</w:t>
          </w:r>
          <w:r>
            <w:rPr>
              <w:noProof/>
            </w:rPr>
            <w:t xml:space="preserve">isasters.” </w:t>
          </w:r>
          <w:r>
            <w:rPr>
              <w:i/>
              <w:iCs/>
              <w:noProof/>
            </w:rPr>
            <w:t>Chest</w:t>
          </w:r>
          <w:r>
            <w:rPr>
              <w:noProof/>
            </w:rPr>
            <w:t xml:space="preserve"> 155 (4): 848</w:t>
          </w:r>
          <w:r w:rsidR="00C75A5D">
            <w:rPr>
              <w:noProof/>
            </w:rPr>
            <w:t>–</w:t>
          </w:r>
          <w:r>
            <w:rPr>
              <w:noProof/>
            </w:rPr>
            <w:t>54.</w:t>
          </w:r>
          <w:r w:rsidR="00AA4DE3">
            <w:rPr>
              <w:noProof/>
            </w:rPr>
            <w:t xml:space="preserve"> DOI: </w:t>
          </w:r>
          <w:hyperlink r:id="rId32" w:history="1">
            <w:r w:rsidR="00AA4DE3" w:rsidRPr="009C467F">
              <w:rPr>
                <w:rStyle w:val="Hyperlink"/>
                <w:noProof/>
              </w:rPr>
              <w:t>https://doi.org/10.1016/j.chest.2018.09.025</w:t>
            </w:r>
          </w:hyperlink>
          <w:r w:rsidR="00AA4DE3">
            <w:rPr>
              <w:noProof/>
            </w:rPr>
            <w:t xml:space="preserve"> (accessed 27 May 2020).</w:t>
          </w:r>
        </w:p>
        <w:p w14:paraId="269BACFA" w14:textId="1F9275B8" w:rsidR="00716889" w:rsidRDefault="00716889" w:rsidP="00525500">
          <w:pPr>
            <w:pStyle w:val="Bibliography"/>
            <w:spacing w:before="120" w:after="120"/>
            <w:rPr>
              <w:noProof/>
            </w:rPr>
          </w:pPr>
          <w:r>
            <w:rPr>
              <w:noProof/>
            </w:rPr>
            <w:t>DeBruin D, Liaschenko</w:t>
          </w:r>
          <w:r w:rsidR="00150EA3">
            <w:rPr>
              <w:noProof/>
            </w:rPr>
            <w:t xml:space="preserve"> J,</w:t>
          </w:r>
          <w:r>
            <w:rPr>
              <w:noProof/>
            </w:rPr>
            <w:t xml:space="preserve"> Marshall</w:t>
          </w:r>
          <w:r w:rsidR="00150EA3">
            <w:rPr>
              <w:noProof/>
            </w:rPr>
            <w:t xml:space="preserve"> M</w:t>
          </w:r>
          <w:r>
            <w:rPr>
              <w:noProof/>
            </w:rPr>
            <w:t xml:space="preserve">. 2012. Social </w:t>
          </w:r>
          <w:r w:rsidR="00150EA3">
            <w:rPr>
              <w:noProof/>
            </w:rPr>
            <w:t>j</w:t>
          </w:r>
          <w:r>
            <w:rPr>
              <w:noProof/>
            </w:rPr>
            <w:t xml:space="preserve">ustice in </w:t>
          </w:r>
          <w:r w:rsidR="00150EA3">
            <w:rPr>
              <w:noProof/>
            </w:rPr>
            <w:t>p</w:t>
          </w:r>
          <w:r>
            <w:rPr>
              <w:noProof/>
            </w:rPr>
            <w:t xml:space="preserve">andemic </w:t>
          </w:r>
          <w:r w:rsidR="00150EA3">
            <w:rPr>
              <w:noProof/>
            </w:rPr>
            <w:t>p</w:t>
          </w:r>
          <w:r>
            <w:rPr>
              <w:noProof/>
            </w:rPr>
            <w:t xml:space="preserve">reparedness.” </w:t>
          </w:r>
          <w:r>
            <w:rPr>
              <w:i/>
              <w:iCs/>
              <w:noProof/>
            </w:rPr>
            <w:t>American Journal of Public Health</w:t>
          </w:r>
          <w:r>
            <w:rPr>
              <w:noProof/>
            </w:rPr>
            <w:t xml:space="preserve"> 102 (4): 586</w:t>
          </w:r>
          <w:r w:rsidR="00AA4DE3">
            <w:rPr>
              <w:noProof/>
            </w:rPr>
            <w:t>–</w:t>
          </w:r>
          <w:r>
            <w:rPr>
              <w:noProof/>
            </w:rPr>
            <w:t>91.</w:t>
          </w:r>
        </w:p>
        <w:p w14:paraId="3D47B223" w14:textId="573CAE33" w:rsidR="00716889" w:rsidRDefault="00716889" w:rsidP="00525500">
          <w:pPr>
            <w:pStyle w:val="Bibliography"/>
            <w:spacing w:before="120" w:after="120"/>
            <w:rPr>
              <w:noProof/>
            </w:rPr>
          </w:pPr>
          <w:r>
            <w:rPr>
              <w:noProof/>
            </w:rPr>
            <w:t xml:space="preserve">Emanuel </w:t>
          </w:r>
          <w:r w:rsidR="00150EA3">
            <w:rPr>
              <w:noProof/>
            </w:rPr>
            <w:t xml:space="preserve">EJ, Persad G, Upshur R, </w:t>
          </w:r>
          <w:r>
            <w:rPr>
              <w:noProof/>
            </w:rPr>
            <w:t xml:space="preserve">et al. 2020. Fair </w:t>
          </w:r>
          <w:r w:rsidR="00150EA3">
            <w:rPr>
              <w:noProof/>
            </w:rPr>
            <w:t>a</w:t>
          </w:r>
          <w:r>
            <w:rPr>
              <w:noProof/>
            </w:rPr>
            <w:t xml:space="preserve">llocation of </w:t>
          </w:r>
          <w:r w:rsidR="00150EA3">
            <w:rPr>
              <w:noProof/>
            </w:rPr>
            <w:t>s</w:t>
          </w:r>
          <w:r>
            <w:rPr>
              <w:noProof/>
            </w:rPr>
            <w:t xml:space="preserve">carce </w:t>
          </w:r>
          <w:r w:rsidR="00150EA3">
            <w:rPr>
              <w:noProof/>
            </w:rPr>
            <w:t>m</w:t>
          </w:r>
          <w:r>
            <w:rPr>
              <w:noProof/>
            </w:rPr>
            <w:t xml:space="preserve">edical </w:t>
          </w:r>
          <w:r w:rsidR="00150EA3">
            <w:rPr>
              <w:noProof/>
            </w:rPr>
            <w:t>r</w:t>
          </w:r>
          <w:r>
            <w:rPr>
              <w:noProof/>
            </w:rPr>
            <w:t xml:space="preserve">esources in the </w:t>
          </w:r>
          <w:r w:rsidR="00150EA3">
            <w:rPr>
              <w:noProof/>
            </w:rPr>
            <w:t>t</w:t>
          </w:r>
          <w:r>
            <w:rPr>
              <w:noProof/>
            </w:rPr>
            <w:t xml:space="preserve">ime of Covid-19. </w:t>
          </w:r>
          <w:r>
            <w:rPr>
              <w:i/>
              <w:iCs/>
              <w:noProof/>
            </w:rPr>
            <w:t>The New England Journal of Medicine</w:t>
          </w:r>
          <w:r>
            <w:rPr>
              <w:noProof/>
            </w:rPr>
            <w:t xml:space="preserve"> 382: 2049</w:t>
          </w:r>
          <w:r w:rsidR="00150EA3">
            <w:rPr>
              <w:noProof/>
            </w:rPr>
            <w:t>–</w:t>
          </w:r>
          <w:r>
            <w:rPr>
              <w:noProof/>
            </w:rPr>
            <w:t xml:space="preserve">55. </w:t>
          </w:r>
          <w:r w:rsidR="00150EA3">
            <w:rPr>
              <w:noProof/>
            </w:rPr>
            <w:t xml:space="preserve">URL: </w:t>
          </w:r>
          <w:hyperlink r:id="rId33" w:history="1">
            <w:r w:rsidR="00150EA3" w:rsidRPr="00033B76">
              <w:rPr>
                <w:rStyle w:val="Hyperlink"/>
                <w:noProof/>
              </w:rPr>
              <w:t>www.nejm.org/doi/full/10.1056/NEJMsb2005114</w:t>
            </w:r>
          </w:hyperlink>
          <w:r w:rsidR="00150EA3">
            <w:rPr>
              <w:noProof/>
            </w:rPr>
            <w:t xml:space="preserve"> (accessed 27 May 2020)</w:t>
          </w:r>
          <w:r>
            <w:rPr>
              <w:noProof/>
            </w:rPr>
            <w:t>.</w:t>
          </w:r>
        </w:p>
        <w:p w14:paraId="0289AEDA" w14:textId="051EF531" w:rsidR="00716889" w:rsidRDefault="00716889" w:rsidP="00525500">
          <w:pPr>
            <w:pStyle w:val="Bibliography"/>
            <w:spacing w:before="120" w:after="120"/>
            <w:rPr>
              <w:noProof/>
            </w:rPr>
          </w:pPr>
          <w:r>
            <w:rPr>
              <w:noProof/>
            </w:rPr>
            <w:t xml:space="preserve">Fullinwider R. 2018. Affirmative </w:t>
          </w:r>
          <w:r w:rsidR="00150EA3">
            <w:rPr>
              <w:noProof/>
            </w:rPr>
            <w:t>a</w:t>
          </w:r>
          <w:r>
            <w:rPr>
              <w:noProof/>
            </w:rPr>
            <w:t xml:space="preserve">ction. </w:t>
          </w:r>
          <w:r>
            <w:rPr>
              <w:i/>
              <w:iCs/>
              <w:noProof/>
            </w:rPr>
            <w:t>Stanford Encyclopaedia of Philosophy.</w:t>
          </w:r>
          <w:r>
            <w:rPr>
              <w:noProof/>
            </w:rPr>
            <w:t xml:space="preserve"> </w:t>
          </w:r>
          <w:r w:rsidR="00150EA3">
            <w:rPr>
              <w:noProof/>
            </w:rPr>
            <w:t xml:space="preserve">URL: </w:t>
          </w:r>
          <w:r w:rsidR="00150EA3" w:rsidRPr="00150EA3">
            <w:rPr>
              <w:noProof/>
            </w:rPr>
            <w:t>https://plato.stanford.edu/entries/affirmative-action/</w:t>
          </w:r>
          <w:r w:rsidR="00150EA3" w:rsidRPr="00150EA3" w:rsidDel="00150EA3">
            <w:rPr>
              <w:noProof/>
            </w:rPr>
            <w:t xml:space="preserve"> </w:t>
          </w:r>
          <w:r w:rsidR="00150EA3">
            <w:rPr>
              <w:noProof/>
            </w:rPr>
            <w:t>(a</w:t>
          </w:r>
          <w:r>
            <w:rPr>
              <w:noProof/>
            </w:rPr>
            <w:t xml:space="preserve">ccessed </w:t>
          </w:r>
          <w:r w:rsidR="00150EA3">
            <w:rPr>
              <w:noProof/>
            </w:rPr>
            <w:t xml:space="preserve">21 </w:t>
          </w:r>
          <w:r>
            <w:rPr>
              <w:noProof/>
            </w:rPr>
            <w:t>April 21 2020</w:t>
          </w:r>
          <w:r w:rsidR="00150EA3">
            <w:rPr>
              <w:noProof/>
            </w:rPr>
            <w:t>)</w:t>
          </w:r>
          <w:r>
            <w:rPr>
              <w:noProof/>
            </w:rPr>
            <w:t>.</w:t>
          </w:r>
        </w:p>
        <w:p w14:paraId="77059544" w14:textId="1EEE40D8" w:rsidR="00716889" w:rsidRDefault="00716889" w:rsidP="00525500">
          <w:pPr>
            <w:pStyle w:val="Bibliography"/>
            <w:spacing w:before="120" w:after="120"/>
            <w:rPr>
              <w:noProof/>
            </w:rPr>
          </w:pPr>
          <w:r>
            <w:rPr>
              <w:noProof/>
            </w:rPr>
            <w:t xml:space="preserve">Human Rights Commission. 2020. </w:t>
          </w:r>
          <w:r w:rsidRPr="00446FA9">
            <w:rPr>
              <w:i/>
              <w:noProof/>
            </w:rPr>
            <w:t>Human Rights and Te Tiriti o Waitangi: COVID-19 and Alert Level 4 in Aotearoa New Zealand</w:t>
          </w:r>
          <w:r>
            <w:rPr>
              <w:noProof/>
            </w:rPr>
            <w:t>.</w:t>
          </w:r>
          <w:r w:rsidR="00150EA3">
            <w:rPr>
              <w:noProof/>
            </w:rPr>
            <w:t xml:space="preserve"> Wellington: Human Rights Commission. URL: </w:t>
          </w:r>
          <w:hyperlink r:id="rId34" w:history="1">
            <w:r w:rsidR="00150EA3" w:rsidRPr="00977F99">
              <w:rPr>
                <w:rStyle w:val="Hyperlink"/>
                <w:noProof/>
              </w:rPr>
              <w:t>www.hrc.co.nz/files/6615/8819/4763/Human_Rights_and_Te_Tiriti_o_Waitangi-_COVID-19_and_Alert_Level_4_FINAL.pdf</w:t>
            </w:r>
          </w:hyperlink>
          <w:r w:rsidR="00150EA3">
            <w:rPr>
              <w:noProof/>
            </w:rPr>
            <w:t xml:space="preserve"> (accessed 27 May 2020).</w:t>
          </w:r>
        </w:p>
        <w:p w14:paraId="2C3C5B20" w14:textId="7F57681C" w:rsidR="00716889" w:rsidRDefault="00716889" w:rsidP="00525500">
          <w:pPr>
            <w:pStyle w:val="Bibliography"/>
            <w:spacing w:before="120" w:after="120"/>
            <w:rPr>
              <w:noProof/>
            </w:rPr>
          </w:pPr>
          <w:r>
            <w:rPr>
              <w:noProof/>
            </w:rPr>
            <w:t>Klitzman</w:t>
          </w:r>
          <w:r w:rsidR="00150EA3">
            <w:rPr>
              <w:noProof/>
            </w:rPr>
            <w:t xml:space="preserve"> R</w:t>
          </w:r>
          <w:r>
            <w:rPr>
              <w:noProof/>
            </w:rPr>
            <w:t xml:space="preserve">. 2020. </w:t>
          </w:r>
          <w:r>
            <w:rPr>
              <w:i/>
              <w:iCs/>
              <w:noProof/>
            </w:rPr>
            <w:t>How hospitals will decide who lives and who dies in the COVID-19 crisis.</w:t>
          </w:r>
          <w:r>
            <w:rPr>
              <w:noProof/>
            </w:rPr>
            <w:t xml:space="preserve"> 03 March. </w:t>
          </w:r>
          <w:r w:rsidR="00150EA3">
            <w:rPr>
              <w:noProof/>
            </w:rPr>
            <w:t>(a</w:t>
          </w:r>
          <w:r>
            <w:rPr>
              <w:noProof/>
            </w:rPr>
            <w:t xml:space="preserve">ccessed </w:t>
          </w:r>
          <w:r w:rsidR="00150EA3">
            <w:rPr>
              <w:noProof/>
            </w:rPr>
            <w:t xml:space="preserve">20 </w:t>
          </w:r>
          <w:r>
            <w:rPr>
              <w:noProof/>
            </w:rPr>
            <w:t>April 2020</w:t>
          </w:r>
          <w:r w:rsidR="00150EA3">
            <w:rPr>
              <w:noProof/>
            </w:rPr>
            <w:t>)</w:t>
          </w:r>
          <w:r>
            <w:rPr>
              <w:noProof/>
            </w:rPr>
            <w:t>.</w:t>
          </w:r>
          <w:r w:rsidR="00AD0C31">
            <w:rPr>
              <w:noProof/>
            </w:rPr>
            <w:t xml:space="preserve"> URL: </w:t>
          </w:r>
          <w:hyperlink r:id="rId35" w:history="1">
            <w:r w:rsidR="00AD0C31">
              <w:rPr>
                <w:rStyle w:val="Hyperlink"/>
              </w:rPr>
              <w:t>https://thehill.com/opinion/healthcare/490034-how-hospitals-will-decide-who-lives-and-who-dies-in-our-coronavirus-crisis</w:t>
            </w:r>
          </w:hyperlink>
          <w:r w:rsidR="00AD0C31">
            <w:t xml:space="preserve">  </w:t>
          </w:r>
          <w:r w:rsidR="00AD0C31">
            <w:rPr>
              <w:noProof/>
            </w:rPr>
            <w:t>(accessed 21 April 21 2020).</w:t>
          </w:r>
        </w:p>
        <w:p w14:paraId="2280AA20" w14:textId="316400E5" w:rsidR="00716889" w:rsidRDefault="00716889" w:rsidP="00525500">
          <w:pPr>
            <w:pStyle w:val="Bibliography"/>
            <w:spacing w:before="120" w:after="120"/>
            <w:rPr>
              <w:noProof/>
            </w:rPr>
          </w:pPr>
          <w:r>
            <w:rPr>
              <w:noProof/>
            </w:rPr>
            <w:t xml:space="preserve">Mannelli C. 2020. Whose life to save? Scarce resources allocation in the COVID-19 Outbreak. </w:t>
          </w:r>
          <w:r>
            <w:rPr>
              <w:i/>
              <w:iCs/>
              <w:noProof/>
            </w:rPr>
            <w:t>Journal of Medical Ethics.</w:t>
          </w:r>
          <w:r>
            <w:rPr>
              <w:noProof/>
            </w:rPr>
            <w:t xml:space="preserve"> </w:t>
          </w:r>
          <w:r w:rsidR="00A464FA">
            <w:rPr>
              <w:noProof/>
            </w:rPr>
            <w:t xml:space="preserve">URL: </w:t>
          </w:r>
          <w:hyperlink r:id="rId36" w:history="1">
            <w:r w:rsidR="00A464FA" w:rsidRPr="00033B76">
              <w:rPr>
                <w:rStyle w:val="Hyperlink"/>
                <w:noProof/>
              </w:rPr>
              <w:t>https://jme.bmj.com/content/early/2020/05/20/medethics-2020-106227</w:t>
            </w:r>
          </w:hyperlink>
          <w:r w:rsidR="00A464FA">
            <w:rPr>
              <w:noProof/>
            </w:rPr>
            <w:t xml:space="preserve"> (accessed</w:t>
          </w:r>
          <w:r w:rsidR="00A53451">
            <w:rPr>
              <w:noProof/>
            </w:rPr>
            <w:t xml:space="preserve"> 27 May 2020)</w:t>
          </w:r>
          <w:r>
            <w:rPr>
              <w:noProof/>
            </w:rPr>
            <w:t>.</w:t>
          </w:r>
        </w:p>
        <w:p w14:paraId="3D0B5CC0" w14:textId="50CD8F9F" w:rsidR="00716889" w:rsidRPr="00446FA9" w:rsidRDefault="00716889" w:rsidP="00525500">
          <w:pPr>
            <w:pStyle w:val="Bibliography"/>
            <w:spacing w:before="120" w:after="120"/>
            <w:rPr>
              <w:noProof/>
              <w:sz w:val="24"/>
              <w:szCs w:val="24"/>
            </w:rPr>
          </w:pPr>
          <w:proofErr w:type="spellStart"/>
          <w:r w:rsidRPr="00446FA9">
            <w:t>Maves</w:t>
          </w:r>
          <w:proofErr w:type="spellEnd"/>
          <w:r w:rsidRPr="00446FA9">
            <w:t xml:space="preserve"> </w:t>
          </w:r>
          <w:r w:rsidR="00BB3291">
            <w:t xml:space="preserve">R, </w:t>
          </w:r>
          <w:proofErr w:type="spellStart"/>
          <w:r w:rsidR="00BB3291">
            <w:t>Downar</w:t>
          </w:r>
          <w:proofErr w:type="spellEnd"/>
          <w:r w:rsidR="00BB3291">
            <w:t xml:space="preserve"> J, </w:t>
          </w:r>
          <w:proofErr w:type="spellStart"/>
          <w:r w:rsidR="00BB3291">
            <w:t>Dichter</w:t>
          </w:r>
          <w:proofErr w:type="spellEnd"/>
          <w:r w:rsidR="00BB3291">
            <w:t xml:space="preserve"> J, </w:t>
          </w:r>
          <w:r w:rsidRPr="00446FA9">
            <w:t xml:space="preserve">et al. 2020. Triage of </w:t>
          </w:r>
          <w:r w:rsidR="00BB3291" w:rsidRPr="00A53451">
            <w:t xml:space="preserve">scarce critical care resources in covid-19 an implementation guide for regional allocation: an expert panel report of the task force </w:t>
          </w:r>
          <w:r w:rsidR="00BB3291">
            <w:t>for mass critical care and the A</w:t>
          </w:r>
          <w:r w:rsidR="00BB3291" w:rsidRPr="00A53451">
            <w:t>merican college of chest physicians</w:t>
          </w:r>
          <w:r w:rsidR="00A53451" w:rsidRPr="002C77E5">
            <w:rPr>
              <w:noProof/>
              <w:szCs w:val="18"/>
            </w:rPr>
            <w:t xml:space="preserve"> </w:t>
          </w:r>
          <w:r w:rsidRPr="002C77E5">
            <w:rPr>
              <w:i/>
              <w:iCs/>
              <w:noProof/>
              <w:szCs w:val="18"/>
            </w:rPr>
            <w:t>Chest.</w:t>
          </w:r>
          <w:r w:rsidRPr="005D2C26">
            <w:rPr>
              <w:noProof/>
              <w:szCs w:val="18"/>
            </w:rPr>
            <w:t xml:space="preserve"> </w:t>
          </w:r>
          <w:r w:rsidR="00BB3291" w:rsidRPr="00A53451">
            <w:rPr>
              <w:noProof/>
              <w:szCs w:val="18"/>
            </w:rPr>
            <w:t>DOI</w:t>
          </w:r>
          <w:r w:rsidRPr="002C77E5">
            <w:rPr>
              <w:noProof/>
              <w:szCs w:val="18"/>
            </w:rPr>
            <w:t>:https://doi.org/10.1016/j.chest.2020.03.063</w:t>
          </w:r>
          <w:r w:rsidR="00BB3291">
            <w:rPr>
              <w:noProof/>
              <w:szCs w:val="18"/>
            </w:rPr>
            <w:t xml:space="preserve"> (accessed 27 May 2020)</w:t>
          </w:r>
          <w:r w:rsidRPr="00977F99">
            <w:rPr>
              <w:noProof/>
              <w:szCs w:val="18"/>
            </w:rPr>
            <w:t>.</w:t>
          </w:r>
        </w:p>
        <w:p w14:paraId="77F20465" w14:textId="035261AC" w:rsidR="00716889" w:rsidRDefault="00716889" w:rsidP="00525500">
          <w:pPr>
            <w:pStyle w:val="Bibliography"/>
            <w:spacing w:before="120" w:after="120"/>
            <w:rPr>
              <w:noProof/>
            </w:rPr>
          </w:pPr>
          <w:r>
            <w:rPr>
              <w:noProof/>
            </w:rPr>
            <w:t>McDougall R, Sheahan</w:t>
          </w:r>
          <w:r w:rsidR="00BB3291">
            <w:rPr>
              <w:noProof/>
            </w:rPr>
            <w:t xml:space="preserve"> L, Ko D</w:t>
          </w:r>
          <w:r>
            <w:rPr>
              <w:noProof/>
            </w:rPr>
            <w:t xml:space="preserve">. 2020. </w:t>
          </w:r>
          <w:r w:rsidRPr="00446FA9">
            <w:rPr>
              <w:i/>
              <w:noProof/>
            </w:rPr>
            <w:t xml:space="preserve">Planning for and </w:t>
          </w:r>
          <w:r w:rsidR="00977F99" w:rsidRPr="00446FA9">
            <w:rPr>
              <w:i/>
              <w:noProof/>
            </w:rPr>
            <w:t>M</w:t>
          </w:r>
          <w:r w:rsidRPr="00446FA9">
            <w:rPr>
              <w:i/>
              <w:noProof/>
            </w:rPr>
            <w:t xml:space="preserve">anaging COVID-19: Ethical </w:t>
          </w:r>
          <w:r w:rsidR="00977F99" w:rsidRPr="00446FA9">
            <w:rPr>
              <w:i/>
              <w:noProof/>
            </w:rPr>
            <w:t>D</w:t>
          </w:r>
          <w:r w:rsidRPr="00446FA9">
            <w:rPr>
              <w:i/>
              <w:noProof/>
            </w:rPr>
            <w:t xml:space="preserve">ecision-making </w:t>
          </w:r>
          <w:r w:rsidR="00977F99" w:rsidRPr="00446FA9">
            <w:rPr>
              <w:i/>
              <w:noProof/>
            </w:rPr>
            <w:t>T</w:t>
          </w:r>
          <w:r w:rsidRPr="00446FA9">
            <w:rPr>
              <w:i/>
              <w:noProof/>
            </w:rPr>
            <w:t>ool</w:t>
          </w:r>
          <w:r>
            <w:rPr>
              <w:noProof/>
            </w:rPr>
            <w:t xml:space="preserve">. </w:t>
          </w:r>
          <w:r w:rsidR="00977F99">
            <w:rPr>
              <w:noProof/>
            </w:rPr>
            <w:t xml:space="preserve">Melbourne: </w:t>
          </w:r>
          <w:r w:rsidRPr="00446FA9">
            <w:rPr>
              <w:iCs/>
              <w:noProof/>
            </w:rPr>
            <w:t>Melbourne School of Population and Global Health, The University of Melbourne</w:t>
          </w:r>
          <w:r>
            <w:rPr>
              <w:i/>
              <w:iCs/>
              <w:noProof/>
            </w:rPr>
            <w:t>.</w:t>
          </w:r>
          <w:r>
            <w:rPr>
              <w:noProof/>
            </w:rPr>
            <w:t xml:space="preserve"> </w:t>
          </w:r>
          <w:r w:rsidR="00BB3291">
            <w:rPr>
              <w:noProof/>
            </w:rPr>
            <w:t xml:space="preserve">URL: </w:t>
          </w:r>
          <w:hyperlink r:id="rId37" w:history="1">
            <w:r w:rsidR="00977F99" w:rsidRPr="00033B76">
              <w:rPr>
                <w:rStyle w:val="Hyperlink"/>
                <w:noProof/>
              </w:rPr>
              <w:t>https://mspgh.unimelb.edu.au/__data/assets/pdf_file/0015/3330060/COVID-ethical-tool-McDougall-Sheahan-Ko-v3.pdf</w:t>
            </w:r>
          </w:hyperlink>
          <w:r w:rsidR="00977F99">
            <w:rPr>
              <w:noProof/>
            </w:rPr>
            <w:t xml:space="preserve"> (accessed 27 May 2020)</w:t>
          </w:r>
          <w:r>
            <w:rPr>
              <w:noProof/>
            </w:rPr>
            <w:t>.</w:t>
          </w:r>
        </w:p>
        <w:p w14:paraId="1A9F7DF2" w14:textId="5C972735" w:rsidR="00716889" w:rsidRDefault="00716889" w:rsidP="00525500">
          <w:pPr>
            <w:pStyle w:val="Bibliography"/>
            <w:spacing w:before="120" w:after="120"/>
            <w:rPr>
              <w:noProof/>
            </w:rPr>
          </w:pPr>
          <w:r>
            <w:rPr>
              <w:noProof/>
            </w:rPr>
            <w:t>McMillan J, Hope</w:t>
          </w:r>
          <w:r w:rsidR="00977F99">
            <w:rPr>
              <w:noProof/>
            </w:rPr>
            <w:t xml:space="preserve"> T</w:t>
          </w:r>
          <w:r>
            <w:rPr>
              <w:noProof/>
            </w:rPr>
            <w:t>, Wilkinson</w:t>
          </w:r>
          <w:r w:rsidR="00977F99">
            <w:rPr>
              <w:noProof/>
            </w:rPr>
            <w:t xml:space="preserve"> D</w:t>
          </w:r>
          <w:r>
            <w:rPr>
              <w:noProof/>
            </w:rPr>
            <w:t xml:space="preserve">. 2013. Precision and the </w:t>
          </w:r>
          <w:r w:rsidR="00977F99">
            <w:rPr>
              <w:noProof/>
            </w:rPr>
            <w:t>r</w:t>
          </w:r>
          <w:r>
            <w:rPr>
              <w:noProof/>
            </w:rPr>
            <w:t xml:space="preserve">ules of </w:t>
          </w:r>
          <w:r w:rsidR="00977F99">
            <w:rPr>
              <w:noProof/>
            </w:rPr>
            <w:t>p</w:t>
          </w:r>
          <w:r>
            <w:rPr>
              <w:noProof/>
            </w:rPr>
            <w:t xml:space="preserve">rioritization. </w:t>
          </w:r>
          <w:r>
            <w:rPr>
              <w:i/>
              <w:iCs/>
              <w:noProof/>
            </w:rPr>
            <w:t>Cambridge Quarterly of Healthcare Ethics</w:t>
          </w:r>
          <w:r>
            <w:rPr>
              <w:noProof/>
            </w:rPr>
            <w:t xml:space="preserve"> 22 (4): 336</w:t>
          </w:r>
          <w:r w:rsidR="00977F99">
            <w:rPr>
              <w:noProof/>
            </w:rPr>
            <w:t>–</w:t>
          </w:r>
          <w:r>
            <w:rPr>
              <w:noProof/>
            </w:rPr>
            <w:t>45.</w:t>
          </w:r>
        </w:p>
        <w:p w14:paraId="5173AD80" w14:textId="121624A3" w:rsidR="005501A4" w:rsidRDefault="005501A4" w:rsidP="00525500">
          <w:pPr>
            <w:pStyle w:val="Bibliography"/>
            <w:spacing w:before="120" w:after="120"/>
            <w:rPr>
              <w:noProof/>
            </w:rPr>
          </w:pPr>
          <w:r>
            <w:rPr>
              <w:noProof/>
            </w:rPr>
            <w:t xml:space="preserve">Ministry of Health. nd. Achieving equity. URL: </w:t>
          </w:r>
          <w:hyperlink r:id="rId38" w:history="1">
            <w:r w:rsidRPr="000249BC">
              <w:rPr>
                <w:rStyle w:val="Hyperlink"/>
                <w:noProof/>
              </w:rPr>
              <w:t>www.health.govt.nz/about-ministry/what-we-do/work-programme-2019-20/achieving-equity</w:t>
            </w:r>
          </w:hyperlink>
          <w:r>
            <w:rPr>
              <w:noProof/>
            </w:rPr>
            <w:t xml:space="preserve"> (accessed 30 May 2020).</w:t>
          </w:r>
        </w:p>
        <w:p w14:paraId="6A196454" w14:textId="578A1D56" w:rsidR="00111132" w:rsidRPr="00446FA9" w:rsidRDefault="00111132" w:rsidP="00525500">
          <w:pPr>
            <w:spacing w:before="120" w:after="120"/>
          </w:pPr>
          <w:r>
            <w:rPr>
              <w:rFonts w:cs="Arial"/>
            </w:rPr>
            <w:t xml:space="preserve">Ministry of Health. 2018. </w:t>
          </w:r>
          <w:r w:rsidRPr="00446FA9">
            <w:rPr>
              <w:rFonts w:cs="Arial"/>
              <w:i/>
            </w:rPr>
            <w:t>Achieving Equity in Health Outcomes: Highlights of important national and international papers</w:t>
          </w:r>
          <w:r>
            <w:rPr>
              <w:rFonts w:cs="Arial"/>
            </w:rPr>
            <w:t xml:space="preserve">. Wellington: Ministry of Health. URL: </w:t>
          </w:r>
          <w:hyperlink r:id="rId39" w:history="1">
            <w:r w:rsidRPr="007D7B72">
              <w:rPr>
                <w:rStyle w:val="Hyperlink"/>
                <w:rFonts w:cs="Arial"/>
              </w:rPr>
              <w:t>www.health.govt.nz/system/files/documents/publications/achieving-equity-in-health-outcomes-important-paper-highlights-nov18_1.pdf</w:t>
            </w:r>
          </w:hyperlink>
          <w:r>
            <w:rPr>
              <w:rFonts w:cs="Arial"/>
            </w:rPr>
            <w:t xml:space="preserve"> (accessed 30 May 2020).</w:t>
          </w:r>
        </w:p>
        <w:p w14:paraId="63AA441A" w14:textId="22DE583A" w:rsidR="008C454A" w:rsidRDefault="008C454A" w:rsidP="00525500">
          <w:pPr>
            <w:pStyle w:val="Bibliography"/>
            <w:spacing w:before="120" w:after="120"/>
            <w:rPr>
              <w:noProof/>
            </w:rPr>
          </w:pPr>
          <w:r>
            <w:rPr>
              <w:noProof/>
            </w:rPr>
            <w:t xml:space="preserve">Ministry of Health. 2020. </w:t>
          </w:r>
          <w:r w:rsidRPr="00446FA9">
            <w:rPr>
              <w:i/>
              <w:noProof/>
            </w:rPr>
            <w:t>Initial Covid-19 Māori Response Action Plan</w:t>
          </w:r>
          <w:r w:rsidR="00977F99">
            <w:rPr>
              <w:noProof/>
            </w:rPr>
            <w:t xml:space="preserve">. Wellington: Ministry of Health. URL: </w:t>
          </w:r>
          <w:hyperlink r:id="rId40" w:history="1">
            <w:r w:rsidR="00977F99" w:rsidRPr="00033B76">
              <w:rPr>
                <w:rStyle w:val="Hyperlink"/>
                <w:noProof/>
              </w:rPr>
              <w:t>www.health.govt.nz/publication/initial-covid-19-maori-response-action-plan</w:t>
            </w:r>
          </w:hyperlink>
          <w:r w:rsidR="00977F99">
            <w:rPr>
              <w:noProof/>
            </w:rPr>
            <w:t xml:space="preserve"> (accessed 27 May 2020)</w:t>
          </w:r>
          <w:r>
            <w:rPr>
              <w:noProof/>
            </w:rPr>
            <w:t>.</w:t>
          </w:r>
        </w:p>
        <w:p w14:paraId="73AF6C13" w14:textId="3FC31A7D" w:rsidR="00716889" w:rsidRDefault="00716889" w:rsidP="00525500">
          <w:pPr>
            <w:pStyle w:val="Bibliography"/>
            <w:spacing w:before="120" w:after="120"/>
            <w:rPr>
              <w:noProof/>
            </w:rPr>
          </w:pPr>
          <w:r>
            <w:rPr>
              <w:noProof/>
            </w:rPr>
            <w:t>Mirzaali M, Parker</w:t>
          </w:r>
          <w:r w:rsidR="00977F99">
            <w:rPr>
              <w:noProof/>
            </w:rPr>
            <w:t xml:space="preserve"> J</w:t>
          </w:r>
          <w:r>
            <w:rPr>
              <w:noProof/>
            </w:rPr>
            <w:t xml:space="preserve">. 2020. </w:t>
          </w:r>
          <w:r w:rsidRPr="00446FA9">
            <w:rPr>
              <w:iCs/>
              <w:noProof/>
            </w:rPr>
            <w:t xml:space="preserve">The </w:t>
          </w:r>
          <w:r w:rsidR="00977F99">
            <w:rPr>
              <w:iCs/>
              <w:noProof/>
            </w:rPr>
            <w:t>m</w:t>
          </w:r>
          <w:r w:rsidRPr="00446FA9">
            <w:rPr>
              <w:iCs/>
              <w:noProof/>
            </w:rPr>
            <w:t xml:space="preserve">oral </w:t>
          </w:r>
          <w:r w:rsidR="00977F99">
            <w:rPr>
              <w:iCs/>
              <w:noProof/>
            </w:rPr>
            <w:t>c</w:t>
          </w:r>
          <w:r w:rsidRPr="00446FA9">
            <w:rPr>
              <w:iCs/>
              <w:noProof/>
            </w:rPr>
            <w:t xml:space="preserve">ost of </w:t>
          </w:r>
          <w:r w:rsidR="00977F99">
            <w:rPr>
              <w:iCs/>
              <w:noProof/>
            </w:rPr>
            <w:t>c</w:t>
          </w:r>
          <w:r w:rsidRPr="00446FA9">
            <w:rPr>
              <w:iCs/>
              <w:noProof/>
            </w:rPr>
            <w:t>oronavirus</w:t>
          </w:r>
          <w:r>
            <w:rPr>
              <w:i/>
              <w:iCs/>
              <w:noProof/>
            </w:rPr>
            <w:t>.</w:t>
          </w:r>
          <w:r>
            <w:rPr>
              <w:noProof/>
            </w:rPr>
            <w:t xml:space="preserve"> </w:t>
          </w:r>
          <w:r w:rsidR="00977F99" w:rsidRPr="00446FA9">
            <w:rPr>
              <w:i/>
              <w:noProof/>
            </w:rPr>
            <w:t xml:space="preserve">Blog: </w:t>
          </w:r>
          <w:r w:rsidR="00977F99">
            <w:rPr>
              <w:i/>
              <w:noProof/>
            </w:rPr>
            <w:t xml:space="preserve">Journal of Medical Ethics. </w:t>
          </w:r>
          <w:r w:rsidR="00977F99">
            <w:rPr>
              <w:noProof/>
            </w:rPr>
            <w:t xml:space="preserve">URL: </w:t>
          </w:r>
          <w:r w:rsidR="00977F99" w:rsidRPr="00977F99">
            <w:rPr>
              <w:noProof/>
            </w:rPr>
            <w:t>https://blogs.bmj.com/medical-ethics/2020/03/16/the-moral-cost-of-coronavirus/</w:t>
          </w:r>
          <w:r w:rsidR="00977F99" w:rsidRPr="00977F99" w:rsidDel="00977F99">
            <w:rPr>
              <w:noProof/>
            </w:rPr>
            <w:t xml:space="preserve"> </w:t>
          </w:r>
          <w:r w:rsidR="00977F99">
            <w:rPr>
              <w:noProof/>
            </w:rPr>
            <w:t>(a</w:t>
          </w:r>
          <w:r>
            <w:rPr>
              <w:noProof/>
            </w:rPr>
            <w:t xml:space="preserve">ccessed </w:t>
          </w:r>
          <w:r w:rsidR="00977F99">
            <w:rPr>
              <w:noProof/>
            </w:rPr>
            <w:t xml:space="preserve">21 </w:t>
          </w:r>
          <w:r>
            <w:rPr>
              <w:noProof/>
            </w:rPr>
            <w:t>April 2020</w:t>
          </w:r>
          <w:r w:rsidR="00977F99">
            <w:rPr>
              <w:noProof/>
            </w:rPr>
            <w:t>)</w:t>
          </w:r>
          <w:r>
            <w:rPr>
              <w:noProof/>
            </w:rPr>
            <w:t>.</w:t>
          </w:r>
        </w:p>
        <w:p w14:paraId="2BD219D4" w14:textId="180387AD" w:rsidR="00716889" w:rsidRDefault="00716889" w:rsidP="00525500">
          <w:pPr>
            <w:pStyle w:val="Bibliography"/>
            <w:spacing w:before="120" w:after="120"/>
            <w:rPr>
              <w:noProof/>
            </w:rPr>
          </w:pPr>
          <w:r>
            <w:rPr>
              <w:noProof/>
            </w:rPr>
            <w:t xml:space="preserve">NEAC. 2007. </w:t>
          </w:r>
          <w:r>
            <w:rPr>
              <w:i/>
              <w:iCs/>
              <w:noProof/>
            </w:rPr>
            <w:t>Getting Through Together: Ethical values for a pandemic.</w:t>
          </w:r>
          <w:r>
            <w:rPr>
              <w:noProof/>
            </w:rPr>
            <w:t xml:space="preserve"> Wellington: Ministry of Health. </w:t>
          </w:r>
          <w:r w:rsidR="00C96E2B">
            <w:rPr>
              <w:noProof/>
            </w:rPr>
            <w:t xml:space="preserve">URL: </w:t>
          </w:r>
          <w:hyperlink r:id="rId41" w:history="1">
            <w:r w:rsidR="00C96E2B" w:rsidRPr="00170D95">
              <w:rPr>
                <w:rStyle w:val="Hyperlink"/>
                <w:noProof/>
              </w:rPr>
              <w:t>https://neac.health.govt.nz/publications-and-resources/neac-publications/getting-through-together-ethical-values-pandemic</w:t>
            </w:r>
          </w:hyperlink>
          <w:r w:rsidR="00C96E2B">
            <w:rPr>
              <w:noProof/>
            </w:rPr>
            <w:t xml:space="preserve"> (accessed 29 May 2020)</w:t>
          </w:r>
          <w:r>
            <w:rPr>
              <w:noProof/>
            </w:rPr>
            <w:t>.</w:t>
          </w:r>
        </w:p>
        <w:p w14:paraId="3635967C" w14:textId="0F932BF2" w:rsidR="00716889" w:rsidRDefault="00716889" w:rsidP="00525500">
          <w:pPr>
            <w:pStyle w:val="Bibliography"/>
            <w:spacing w:before="120" w:after="120"/>
            <w:rPr>
              <w:noProof/>
            </w:rPr>
          </w:pPr>
          <w:r>
            <w:rPr>
              <w:noProof/>
            </w:rPr>
            <w:t xml:space="preserve">New York State </w:t>
          </w:r>
          <w:r w:rsidR="00B77A3C">
            <w:rPr>
              <w:noProof/>
            </w:rPr>
            <w:t xml:space="preserve">Task Force on Life and the Law, New York State </w:t>
          </w:r>
          <w:r>
            <w:rPr>
              <w:noProof/>
            </w:rPr>
            <w:t xml:space="preserve">Department of Health. 2015. </w:t>
          </w:r>
          <w:r>
            <w:rPr>
              <w:i/>
              <w:iCs/>
              <w:noProof/>
            </w:rPr>
            <w:t>Ventilator Allocation Guidelines.</w:t>
          </w:r>
          <w:r w:rsidR="00B77A3C">
            <w:rPr>
              <w:noProof/>
            </w:rPr>
            <w:t xml:space="preserve"> URL: </w:t>
          </w:r>
          <w:hyperlink r:id="rId42" w:history="1">
            <w:r w:rsidR="00B77A3C" w:rsidRPr="00033B76">
              <w:rPr>
                <w:rStyle w:val="Hyperlink"/>
                <w:noProof/>
              </w:rPr>
              <w:t>www.health.ny.gov/regulations/task_force/reports_publications/docs/ventilator_guidelines.pdf</w:t>
            </w:r>
          </w:hyperlink>
          <w:r w:rsidR="00B77A3C">
            <w:rPr>
              <w:noProof/>
            </w:rPr>
            <w:t xml:space="preserve"> (a</w:t>
          </w:r>
          <w:r>
            <w:rPr>
              <w:noProof/>
            </w:rPr>
            <w:t>ccessed</w:t>
          </w:r>
          <w:r w:rsidR="00B77A3C">
            <w:rPr>
              <w:noProof/>
            </w:rPr>
            <w:t xml:space="preserve"> 21</w:t>
          </w:r>
          <w:r>
            <w:rPr>
              <w:noProof/>
            </w:rPr>
            <w:t xml:space="preserve"> April 2020</w:t>
          </w:r>
          <w:r w:rsidR="00B77A3C">
            <w:rPr>
              <w:noProof/>
            </w:rPr>
            <w:t>)</w:t>
          </w:r>
          <w:r>
            <w:rPr>
              <w:noProof/>
            </w:rPr>
            <w:t>.</w:t>
          </w:r>
        </w:p>
        <w:p w14:paraId="40DADCED" w14:textId="243BAC73" w:rsidR="00716889" w:rsidRDefault="00716889" w:rsidP="00525500">
          <w:pPr>
            <w:pStyle w:val="Bibliography"/>
            <w:spacing w:before="120" w:after="120"/>
            <w:rPr>
              <w:noProof/>
            </w:rPr>
          </w:pPr>
          <w:r>
            <w:rPr>
              <w:noProof/>
            </w:rPr>
            <w:t xml:space="preserve">Public Health Association of New Zealand. 2012. </w:t>
          </w:r>
          <w:r w:rsidRPr="00446FA9">
            <w:rPr>
              <w:i/>
              <w:noProof/>
            </w:rPr>
            <w:t>Te Ture Whakaruruhau</w:t>
          </w:r>
          <w:r w:rsidR="00B77A3C">
            <w:rPr>
              <w:i/>
              <w:noProof/>
            </w:rPr>
            <w:t>:</w:t>
          </w:r>
          <w:r w:rsidRPr="00446FA9">
            <w:rPr>
              <w:i/>
              <w:noProof/>
            </w:rPr>
            <w:t xml:space="preserve"> Code </w:t>
          </w:r>
          <w:r w:rsidR="00B77A3C">
            <w:rPr>
              <w:i/>
              <w:noProof/>
            </w:rPr>
            <w:t>o</w:t>
          </w:r>
          <w:r w:rsidRPr="00446FA9">
            <w:rPr>
              <w:i/>
              <w:noProof/>
            </w:rPr>
            <w:t xml:space="preserve">f </w:t>
          </w:r>
          <w:r w:rsidR="00B77A3C">
            <w:rPr>
              <w:i/>
              <w:noProof/>
            </w:rPr>
            <w:t>e</w:t>
          </w:r>
          <w:r w:rsidRPr="00446FA9">
            <w:rPr>
              <w:i/>
              <w:noProof/>
            </w:rPr>
            <w:t xml:space="preserve">thical </w:t>
          </w:r>
          <w:r w:rsidR="00B77A3C">
            <w:rPr>
              <w:i/>
              <w:noProof/>
            </w:rPr>
            <w:t>p</w:t>
          </w:r>
          <w:r w:rsidRPr="00446FA9">
            <w:rPr>
              <w:i/>
              <w:noProof/>
            </w:rPr>
            <w:t xml:space="preserve">rinciples </w:t>
          </w:r>
          <w:r w:rsidR="00B77A3C">
            <w:rPr>
              <w:i/>
              <w:noProof/>
            </w:rPr>
            <w:t>f</w:t>
          </w:r>
          <w:r w:rsidRPr="00446FA9">
            <w:rPr>
              <w:i/>
              <w:noProof/>
            </w:rPr>
            <w:t xml:space="preserve">or </w:t>
          </w:r>
          <w:r w:rsidR="00B77A3C">
            <w:rPr>
              <w:i/>
              <w:noProof/>
            </w:rPr>
            <w:t>p</w:t>
          </w:r>
          <w:r w:rsidRPr="00446FA9">
            <w:rPr>
              <w:i/>
              <w:noProof/>
            </w:rPr>
            <w:t xml:space="preserve">ublic </w:t>
          </w:r>
          <w:r w:rsidR="00B77A3C">
            <w:rPr>
              <w:i/>
              <w:noProof/>
            </w:rPr>
            <w:t>h</w:t>
          </w:r>
          <w:r w:rsidRPr="00446FA9">
            <w:rPr>
              <w:i/>
              <w:noProof/>
            </w:rPr>
            <w:t>ealth in Aotearoa New Zealand</w:t>
          </w:r>
          <w:r>
            <w:rPr>
              <w:noProof/>
            </w:rPr>
            <w:t>.</w:t>
          </w:r>
          <w:r w:rsidR="00B77A3C">
            <w:rPr>
              <w:noProof/>
            </w:rPr>
            <w:t xml:space="preserve"> Wellington: Public Health Association of New Zealand. URL: </w:t>
          </w:r>
          <w:hyperlink r:id="rId43" w:history="1">
            <w:r w:rsidR="00B77A3C" w:rsidRPr="00033B76">
              <w:rPr>
                <w:rStyle w:val="Hyperlink"/>
                <w:noProof/>
              </w:rPr>
              <w:t>https://app.box.com/s/62474kdlaxyq3t406sdck4j67bh6s40e</w:t>
            </w:r>
          </w:hyperlink>
          <w:r w:rsidR="00B77A3C">
            <w:rPr>
              <w:noProof/>
            </w:rPr>
            <w:t xml:space="preserve"> (accessed 27 May 2020).</w:t>
          </w:r>
        </w:p>
        <w:p w14:paraId="20536D0E" w14:textId="40AD5BAB" w:rsidR="001E3778" w:rsidRPr="001E3778" w:rsidRDefault="001E3778" w:rsidP="00525500">
          <w:pPr>
            <w:spacing w:before="120" w:after="120"/>
          </w:pPr>
          <w:proofErr w:type="spellStart"/>
          <w:r w:rsidRPr="001E3778">
            <w:t>Ribhi</w:t>
          </w:r>
          <w:proofErr w:type="spellEnd"/>
          <w:r w:rsidRPr="001E3778">
            <w:t xml:space="preserve"> </w:t>
          </w:r>
          <w:proofErr w:type="spellStart"/>
          <w:r w:rsidRPr="001E3778">
            <w:t>Hazin</w:t>
          </w:r>
          <w:proofErr w:type="spellEnd"/>
          <w:r w:rsidRPr="001E3778">
            <w:t xml:space="preserve">, Public Health Ethics: Theory, Policy, and Practice. Ronald Bayer, Lawrence O </w:t>
          </w:r>
          <w:proofErr w:type="spellStart"/>
          <w:r w:rsidRPr="001E3778">
            <w:t>Gostin</w:t>
          </w:r>
          <w:proofErr w:type="spellEnd"/>
          <w:r w:rsidRPr="001E3778">
            <w:t xml:space="preserve">, Bruce Jennings, and Bonnie Steinbeck (eds)., International Journal of Epidemiology, Volume 36, Issue 4, August 2007, </w:t>
          </w:r>
          <w:hyperlink r:id="rId44" w:history="1">
            <w:r w:rsidRPr="007A339A">
              <w:rPr>
                <w:rStyle w:val="Hyperlink"/>
              </w:rPr>
              <w:t>https://doi.org/10.1093/ije/dym113</w:t>
            </w:r>
          </w:hyperlink>
          <w:r>
            <w:t xml:space="preserve"> </w:t>
          </w:r>
        </w:p>
        <w:p w14:paraId="275A4DAF" w14:textId="0BF28C7D" w:rsidR="00716889" w:rsidRDefault="00716889" w:rsidP="00525500">
          <w:pPr>
            <w:pStyle w:val="Bibliography"/>
            <w:spacing w:before="120" w:after="120"/>
            <w:rPr>
              <w:noProof/>
            </w:rPr>
          </w:pPr>
          <w:r>
            <w:rPr>
              <w:noProof/>
            </w:rPr>
            <w:t xml:space="preserve">Rosenbaum L. 2020. Facing Covid-19 in Italy — </w:t>
          </w:r>
          <w:r w:rsidR="00B77A3C">
            <w:rPr>
              <w:noProof/>
            </w:rPr>
            <w:t>e</w:t>
          </w:r>
          <w:r>
            <w:rPr>
              <w:noProof/>
            </w:rPr>
            <w:t xml:space="preserve">thics, </w:t>
          </w:r>
          <w:r w:rsidR="00B77A3C">
            <w:rPr>
              <w:noProof/>
            </w:rPr>
            <w:t>l</w:t>
          </w:r>
          <w:r>
            <w:rPr>
              <w:noProof/>
            </w:rPr>
            <w:t xml:space="preserve">ogistics, and </w:t>
          </w:r>
          <w:r w:rsidR="00B77A3C">
            <w:rPr>
              <w:noProof/>
            </w:rPr>
            <w:t>t</w:t>
          </w:r>
          <w:r>
            <w:rPr>
              <w:noProof/>
            </w:rPr>
            <w:t xml:space="preserve">herapeutics on the </w:t>
          </w:r>
          <w:r w:rsidR="00B77A3C">
            <w:rPr>
              <w:noProof/>
            </w:rPr>
            <w:t>e</w:t>
          </w:r>
          <w:r>
            <w:rPr>
              <w:noProof/>
            </w:rPr>
            <w:t xml:space="preserve">pidemic’s </w:t>
          </w:r>
          <w:r w:rsidR="00B77A3C">
            <w:rPr>
              <w:noProof/>
            </w:rPr>
            <w:t>f</w:t>
          </w:r>
          <w:r>
            <w:rPr>
              <w:noProof/>
            </w:rPr>
            <w:t xml:space="preserve">ront </w:t>
          </w:r>
          <w:r w:rsidR="00B77A3C">
            <w:rPr>
              <w:noProof/>
            </w:rPr>
            <w:t>l</w:t>
          </w:r>
          <w:r>
            <w:rPr>
              <w:noProof/>
            </w:rPr>
            <w:t xml:space="preserve">ine. </w:t>
          </w:r>
          <w:r>
            <w:rPr>
              <w:i/>
              <w:iCs/>
              <w:noProof/>
            </w:rPr>
            <w:t>The New England Journal of Medicine</w:t>
          </w:r>
          <w:r>
            <w:rPr>
              <w:noProof/>
            </w:rPr>
            <w:t xml:space="preserve"> 382: 1873</w:t>
          </w:r>
          <w:r w:rsidR="00B77A3C">
            <w:rPr>
              <w:noProof/>
            </w:rPr>
            <w:t>–</w:t>
          </w:r>
          <w:r>
            <w:rPr>
              <w:noProof/>
            </w:rPr>
            <w:t xml:space="preserve">75. </w:t>
          </w:r>
          <w:r w:rsidR="00B77A3C">
            <w:rPr>
              <w:noProof/>
            </w:rPr>
            <w:t xml:space="preserve">URL: </w:t>
          </w:r>
          <w:hyperlink r:id="rId45" w:history="1">
            <w:r w:rsidR="00B77A3C" w:rsidRPr="00033B76">
              <w:rPr>
                <w:rStyle w:val="Hyperlink"/>
                <w:noProof/>
              </w:rPr>
              <w:t>www.nejm.org/doi/full/10.1056/NEJMp2005492</w:t>
            </w:r>
          </w:hyperlink>
          <w:r w:rsidR="00B77A3C">
            <w:rPr>
              <w:noProof/>
            </w:rPr>
            <w:t xml:space="preserve"> (accessed 27 May 2020)</w:t>
          </w:r>
          <w:r>
            <w:rPr>
              <w:noProof/>
            </w:rPr>
            <w:t>.</w:t>
          </w:r>
        </w:p>
        <w:p w14:paraId="4E630764" w14:textId="079CCDEC" w:rsidR="00716889" w:rsidRDefault="00716889" w:rsidP="00525500">
          <w:pPr>
            <w:pStyle w:val="Bibliography"/>
            <w:spacing w:before="120" w:after="120"/>
            <w:rPr>
              <w:noProof/>
            </w:rPr>
          </w:pPr>
          <w:r>
            <w:rPr>
              <w:noProof/>
            </w:rPr>
            <w:t xml:space="preserve">Scanlon TM. 2000. </w:t>
          </w:r>
          <w:r>
            <w:rPr>
              <w:i/>
              <w:iCs/>
              <w:noProof/>
            </w:rPr>
            <w:t>What We Owe to Each Other.</w:t>
          </w:r>
          <w:r>
            <w:rPr>
              <w:noProof/>
            </w:rPr>
            <w:t xml:space="preserve"> Belknap Press: An Imprint of Harvard University Press.</w:t>
          </w:r>
        </w:p>
        <w:p w14:paraId="481F78D8" w14:textId="5B22FEDB" w:rsidR="00716889" w:rsidRDefault="00716889" w:rsidP="00525500">
          <w:pPr>
            <w:pStyle w:val="Bibliography"/>
            <w:spacing w:before="120" w:after="120"/>
            <w:rPr>
              <w:noProof/>
            </w:rPr>
          </w:pPr>
          <w:r>
            <w:rPr>
              <w:noProof/>
            </w:rPr>
            <w:t xml:space="preserve">Schuklenk U. 2020. Health </w:t>
          </w:r>
          <w:r w:rsidR="00B77A3C">
            <w:rPr>
              <w:noProof/>
            </w:rPr>
            <w:t xml:space="preserve">care professionals are under no ethical obligation to treat </w:t>
          </w:r>
          <w:r>
            <w:rPr>
              <w:noProof/>
            </w:rPr>
            <w:t xml:space="preserve">COVID-19 </w:t>
          </w:r>
          <w:r w:rsidR="00B77A3C">
            <w:rPr>
              <w:noProof/>
            </w:rPr>
            <w:t>p</w:t>
          </w:r>
          <w:r>
            <w:rPr>
              <w:noProof/>
            </w:rPr>
            <w:t xml:space="preserve">atients. </w:t>
          </w:r>
          <w:r>
            <w:rPr>
              <w:i/>
              <w:iCs/>
              <w:noProof/>
            </w:rPr>
            <w:t>Blog</w:t>
          </w:r>
          <w:r w:rsidR="00B77A3C">
            <w:rPr>
              <w:i/>
              <w:iCs/>
              <w:noProof/>
            </w:rPr>
            <w:t>: Journal of Medical Ethics</w:t>
          </w:r>
          <w:r>
            <w:rPr>
              <w:i/>
              <w:iCs/>
              <w:noProof/>
            </w:rPr>
            <w:t>.</w:t>
          </w:r>
          <w:r>
            <w:rPr>
              <w:noProof/>
            </w:rPr>
            <w:t xml:space="preserve"> </w:t>
          </w:r>
          <w:r w:rsidR="00B77A3C">
            <w:rPr>
              <w:noProof/>
            </w:rPr>
            <w:t xml:space="preserve">URL: </w:t>
          </w:r>
          <w:hyperlink r:id="rId46" w:history="1">
            <w:r w:rsidR="00B77A3C" w:rsidRPr="00033B76">
              <w:rPr>
                <w:rStyle w:val="Hyperlink"/>
                <w:noProof/>
              </w:rPr>
              <w:t>https://blogs.bmj.com/medical-ethics/2020/04/01/health-care-professionals-are-under-no-ethical-obligation-to-treat-COVID-19-patients/</w:t>
            </w:r>
          </w:hyperlink>
          <w:r w:rsidR="00B77A3C">
            <w:rPr>
              <w:noProof/>
            </w:rPr>
            <w:t xml:space="preserve"> (accessed 27 May 2020)</w:t>
          </w:r>
          <w:r>
            <w:rPr>
              <w:noProof/>
            </w:rPr>
            <w:t>.</w:t>
          </w:r>
        </w:p>
        <w:p w14:paraId="16344C17" w14:textId="11ACEFC7" w:rsidR="00716889" w:rsidRDefault="00716889" w:rsidP="00525500">
          <w:pPr>
            <w:pStyle w:val="Bibliography"/>
            <w:spacing w:before="120" w:after="120"/>
            <w:rPr>
              <w:noProof/>
            </w:rPr>
          </w:pPr>
          <w:r>
            <w:rPr>
              <w:noProof/>
            </w:rPr>
            <w:t xml:space="preserve">Thompson </w:t>
          </w:r>
          <w:r w:rsidR="00B77A3C">
            <w:rPr>
              <w:noProof/>
            </w:rPr>
            <w:t>AK, Faith K, Gibson JL, et al</w:t>
          </w:r>
          <w:r>
            <w:rPr>
              <w:noProof/>
            </w:rPr>
            <w:t xml:space="preserve">. 2006. Pandemic influenza preparedness: an ethical framework to guide decision-making. </w:t>
          </w:r>
          <w:r>
            <w:rPr>
              <w:i/>
              <w:iCs/>
              <w:noProof/>
            </w:rPr>
            <w:t>BMC Med</w:t>
          </w:r>
          <w:r w:rsidR="00B77A3C">
            <w:rPr>
              <w:i/>
              <w:iCs/>
              <w:noProof/>
            </w:rPr>
            <w:t>ical</w:t>
          </w:r>
          <w:r>
            <w:rPr>
              <w:i/>
              <w:iCs/>
              <w:noProof/>
            </w:rPr>
            <w:t xml:space="preserve"> Ethics</w:t>
          </w:r>
          <w:r>
            <w:rPr>
              <w:noProof/>
            </w:rPr>
            <w:t xml:space="preserve"> 7</w:t>
          </w:r>
          <w:r w:rsidR="00B77A3C">
            <w:rPr>
              <w:noProof/>
            </w:rPr>
            <w:t>, 12</w:t>
          </w:r>
          <w:r>
            <w:rPr>
              <w:noProof/>
            </w:rPr>
            <w:t xml:space="preserve">. </w:t>
          </w:r>
          <w:r w:rsidR="00B77A3C">
            <w:rPr>
              <w:noProof/>
            </w:rPr>
            <w:t>DOI:</w:t>
          </w:r>
          <w:r w:rsidR="00B77A3C" w:rsidRPr="00B77A3C">
            <w:t xml:space="preserve"> </w:t>
          </w:r>
          <w:r w:rsidR="00B77A3C">
            <w:t>https://doi.org/10.1186/1472-6939-7-12</w:t>
          </w:r>
          <w:r w:rsidR="00B77A3C">
            <w:rPr>
              <w:noProof/>
            </w:rPr>
            <w:t xml:space="preserve"> (accessed 27 May 2020)</w:t>
          </w:r>
          <w:r>
            <w:rPr>
              <w:noProof/>
            </w:rPr>
            <w:t>.</w:t>
          </w:r>
        </w:p>
        <w:p w14:paraId="139A9231" w14:textId="7A04AFD5" w:rsidR="007D3817" w:rsidRPr="00446FA9" w:rsidRDefault="007D3817" w:rsidP="00525500">
          <w:pPr>
            <w:spacing w:before="120" w:after="120"/>
          </w:pPr>
          <w:r>
            <w:t xml:space="preserve">United Nations. </w:t>
          </w:r>
          <w:r w:rsidR="00111132">
            <w:t>1948</w:t>
          </w:r>
          <w:r>
            <w:t xml:space="preserve">. </w:t>
          </w:r>
          <w:r>
            <w:rPr>
              <w:i/>
            </w:rPr>
            <w:t xml:space="preserve">Universal Declaration of Human Rights. </w:t>
          </w:r>
          <w:r>
            <w:t xml:space="preserve">URL: </w:t>
          </w:r>
          <w:hyperlink r:id="rId47" w:history="1">
            <w:r w:rsidR="005801E6" w:rsidRPr="009C00F4">
              <w:rPr>
                <w:rStyle w:val="Hyperlink"/>
              </w:rPr>
              <w:t>www.un.org/en/universal-declaration-human-rights/</w:t>
            </w:r>
          </w:hyperlink>
          <w:r>
            <w:t xml:space="preserve"> (accessed 29 May 2020).</w:t>
          </w:r>
        </w:p>
        <w:p w14:paraId="6B7C07DD" w14:textId="71457F55" w:rsidR="00F7260B" w:rsidRDefault="00F7260B" w:rsidP="00525500">
          <w:pPr>
            <w:spacing w:before="120" w:after="120"/>
          </w:pPr>
          <w:r>
            <w:t xml:space="preserve">United Nations </w:t>
          </w:r>
          <w:r w:rsidRPr="00182DCD">
            <w:t>Committee on Economic, Social and Cultural Rights</w:t>
          </w:r>
          <w:r>
            <w:rPr>
              <w:i/>
            </w:rPr>
            <w:t xml:space="preserve">. </w:t>
          </w:r>
          <w:r>
            <w:t>2009.</w:t>
          </w:r>
          <w:r>
            <w:rPr>
              <w:i/>
            </w:rPr>
            <w:t xml:space="preserve"> General Comment No. 20, Non-discrimination in economic, social and cultural rights (art. 2, para. 2 of the International Covenant on </w:t>
          </w:r>
          <w:r>
            <w:rPr>
              <w:i/>
            </w:rPr>
            <w:lastRenderedPageBreak/>
            <w:t xml:space="preserve">Economic, Social and Cultural Rights). </w:t>
          </w:r>
          <w:r>
            <w:t xml:space="preserve">Geneva: United Nations. URL: </w:t>
          </w:r>
          <w:hyperlink r:id="rId48" w:anchor="record-files-collapse-header" w:history="1">
            <w:r w:rsidRPr="000249BC">
              <w:rPr>
                <w:rStyle w:val="Hyperlink"/>
              </w:rPr>
              <w:t>https://digitallibrary.un.org/record/659980?ln=en#record-files-collapse-header</w:t>
            </w:r>
          </w:hyperlink>
          <w:r>
            <w:t xml:space="preserve"> (accessed 30 May 2020).</w:t>
          </w:r>
        </w:p>
        <w:p w14:paraId="70B5AE60" w14:textId="12CE6F25" w:rsidR="00ED66A1" w:rsidRPr="005D046A" w:rsidRDefault="00ED66A1" w:rsidP="00525500">
          <w:pPr>
            <w:spacing w:before="120" w:after="120"/>
          </w:pPr>
          <w:r>
            <w:t xml:space="preserve">University of Sydney, the. 2020. </w:t>
          </w:r>
          <w:r>
            <w:rPr>
              <w:i/>
            </w:rPr>
            <w:t xml:space="preserve">Sydney Health Ethics: An Ethics Framework for Making Resource Allocation Decisions within Clinical Care: Responding to COVID-19. </w:t>
          </w:r>
          <w:r>
            <w:t>Version 1, 2</w:t>
          </w:r>
          <w:r w:rsidRPr="00446FA9">
            <w:rPr>
              <w:vertAlign w:val="superscript"/>
            </w:rPr>
            <w:t>nd</w:t>
          </w:r>
          <w:r>
            <w:t xml:space="preserve"> April. Sydney: The University of Sydney. URL: </w:t>
          </w:r>
          <w:hyperlink r:id="rId49" w:history="1">
            <w:r w:rsidRPr="005D046A">
              <w:rPr>
                <w:rStyle w:val="Hyperlink"/>
              </w:rPr>
              <w:t>www.sydney.edu.au/content/dam/corporate/documents/faculty-of-medicine-and-health/research/centres-institutes-groups/she.-clinical-ethics.-resource-allocation-framework.-version-1.-2-april-2020.pdf</w:t>
            </w:r>
          </w:hyperlink>
          <w:r>
            <w:t xml:space="preserve"> (accessed 30 May 2020).</w:t>
          </w:r>
        </w:p>
        <w:p w14:paraId="6F57B996" w14:textId="3FDEFB10" w:rsidR="00716889" w:rsidRDefault="00716889" w:rsidP="00525500">
          <w:pPr>
            <w:pStyle w:val="Bibliography"/>
            <w:spacing w:before="120" w:after="120"/>
            <w:rPr>
              <w:noProof/>
            </w:rPr>
          </w:pPr>
          <w:r>
            <w:rPr>
              <w:noProof/>
            </w:rPr>
            <w:t xml:space="preserve">University of Virginia Health System Ethics Committee. 2020. </w:t>
          </w:r>
          <w:r w:rsidRPr="00446FA9">
            <w:rPr>
              <w:i/>
              <w:noProof/>
            </w:rPr>
            <w:t>Ethical Framework and Recommendations for COVID-19 Resources Allocation When Scarcity is Anticipated</w:t>
          </w:r>
          <w:r>
            <w:rPr>
              <w:noProof/>
            </w:rPr>
            <w:t xml:space="preserve">. </w:t>
          </w:r>
          <w:r w:rsidR="00E64FBA">
            <w:rPr>
              <w:noProof/>
            </w:rPr>
            <w:t xml:space="preserve">URL: </w:t>
          </w:r>
          <w:hyperlink r:id="rId50" w:history="1">
            <w:r w:rsidR="00E64FBA" w:rsidRPr="00033B76">
              <w:rPr>
                <w:rStyle w:val="Hyperlink"/>
                <w:noProof/>
              </w:rPr>
              <w:t>https://med.virginia.edu/biomedical-ethics/wp-content/uploads/sites/129/2020/03/Ethical-Framework-for-Co-vid-19-Resources-Allocation-3.26.20.pdf</w:t>
            </w:r>
          </w:hyperlink>
          <w:r w:rsidR="00E64FBA">
            <w:rPr>
              <w:noProof/>
            </w:rPr>
            <w:t xml:space="preserve"> (accessed 27 May 2020)</w:t>
          </w:r>
          <w:r>
            <w:rPr>
              <w:noProof/>
            </w:rPr>
            <w:t>.</w:t>
          </w:r>
        </w:p>
        <w:p w14:paraId="1377A848" w14:textId="3B60A5E1" w:rsidR="00716889" w:rsidRDefault="00716889" w:rsidP="00525500">
          <w:pPr>
            <w:pStyle w:val="Bibliography"/>
            <w:spacing w:before="120" w:after="120"/>
            <w:rPr>
              <w:noProof/>
            </w:rPr>
          </w:pPr>
          <w:r>
            <w:rPr>
              <w:noProof/>
            </w:rPr>
            <w:t>Vieria</w:t>
          </w:r>
          <w:r w:rsidR="00E64FBA">
            <w:rPr>
              <w:noProof/>
            </w:rPr>
            <w:t xml:space="preserve"> CM, Franco OH, Restrepo CG,</w:t>
          </w:r>
          <w:r>
            <w:rPr>
              <w:noProof/>
            </w:rPr>
            <w:t xml:space="preserve"> et al. 2020. COVID-19: The forgotten priorities of the pandemic. </w:t>
          </w:r>
          <w:r>
            <w:rPr>
              <w:i/>
              <w:iCs/>
              <w:noProof/>
            </w:rPr>
            <w:t>Maturitas</w:t>
          </w:r>
          <w:r>
            <w:rPr>
              <w:noProof/>
            </w:rPr>
            <w:t xml:space="preserve"> 136</w:t>
          </w:r>
          <w:r w:rsidR="00E64FBA">
            <w:rPr>
              <w:noProof/>
            </w:rPr>
            <w:t>, 38–41</w:t>
          </w:r>
          <w:r>
            <w:rPr>
              <w:noProof/>
            </w:rPr>
            <w:t xml:space="preserve">. </w:t>
          </w:r>
          <w:r w:rsidR="00E64FBA">
            <w:rPr>
              <w:noProof/>
            </w:rPr>
            <w:t>DOI</w:t>
          </w:r>
          <w:r>
            <w:rPr>
              <w:noProof/>
            </w:rPr>
            <w:t>:</w:t>
          </w:r>
          <w:r w:rsidR="00E64FBA">
            <w:rPr>
              <w:noProof/>
            </w:rPr>
            <w:t xml:space="preserve"> </w:t>
          </w:r>
          <w:hyperlink r:id="rId51" w:history="1">
            <w:r w:rsidR="00E64FBA" w:rsidRPr="00033B76">
              <w:rPr>
                <w:rStyle w:val="Hyperlink"/>
                <w:noProof/>
              </w:rPr>
              <w:t>https://doi.org/10.1016/j.maturitas.2020.04.004</w:t>
            </w:r>
          </w:hyperlink>
          <w:r w:rsidR="00E64FBA">
            <w:rPr>
              <w:noProof/>
            </w:rPr>
            <w:t xml:space="preserve"> (accessed 27 May 2020)</w:t>
          </w:r>
          <w:r>
            <w:rPr>
              <w:noProof/>
            </w:rPr>
            <w:t>.</w:t>
          </w:r>
        </w:p>
        <w:p w14:paraId="40FA8F03" w14:textId="747EB9BA" w:rsidR="007D7B72" w:rsidRPr="00CC67D5" w:rsidRDefault="007D7B72" w:rsidP="00525500">
          <w:pPr>
            <w:pStyle w:val="Bibliography"/>
            <w:spacing w:before="120" w:after="120"/>
          </w:pPr>
          <w:r>
            <w:t xml:space="preserve">Waitangi Tribunal. 2019. </w:t>
          </w:r>
          <w:r>
            <w:rPr>
              <w:i/>
            </w:rPr>
            <w:t xml:space="preserve">Hauora: Report on stage one of the Health Services and Outcomes </w:t>
          </w:r>
          <w:proofErr w:type="spellStart"/>
          <w:r>
            <w:rPr>
              <w:i/>
            </w:rPr>
            <w:t>Kaupapa</w:t>
          </w:r>
          <w:proofErr w:type="spellEnd"/>
          <w:r>
            <w:rPr>
              <w:i/>
            </w:rPr>
            <w:t xml:space="preserve"> Inquiry. </w:t>
          </w:r>
          <w:r>
            <w:t xml:space="preserve">Wellington: Waitangi Tribunal. URL: </w:t>
          </w:r>
          <w:hyperlink r:id="rId52" w:history="1">
            <w:r w:rsidRPr="000249BC">
              <w:rPr>
                <w:rStyle w:val="Hyperlink"/>
              </w:rPr>
              <w:t>https://forms.justice.govt.nz/search/Documents/WT/wt_DOC_152801817/Hauora%20W.pdf</w:t>
            </w:r>
          </w:hyperlink>
          <w:r>
            <w:t xml:space="preserve"> (accessed 30 May 2020).</w:t>
          </w:r>
        </w:p>
        <w:p w14:paraId="090B2543" w14:textId="05C870E6" w:rsidR="00111132" w:rsidRPr="00446FA9" w:rsidRDefault="00111132" w:rsidP="00525500">
          <w:pPr>
            <w:pStyle w:val="Bibliography"/>
            <w:spacing w:before="120" w:after="120"/>
          </w:pPr>
          <w:proofErr w:type="gramStart"/>
          <w:r>
            <w:t>WHO.</w:t>
          </w:r>
          <w:proofErr w:type="gramEnd"/>
          <w:r>
            <w:t xml:space="preserve"> 2011. </w:t>
          </w:r>
          <w:r w:rsidRPr="00446FA9">
            <w:rPr>
              <w:i/>
            </w:rPr>
            <w:t>Rio Political Declaration on Social Determinants of Health</w:t>
          </w:r>
          <w:r>
            <w:t>. World Conference on Social Determinants of Health, Rio de Janeiro, Brazil, 21 October 2011. World Health Organization.</w:t>
          </w:r>
        </w:p>
        <w:p w14:paraId="707F7E23" w14:textId="638DEDF0" w:rsidR="00716889" w:rsidRDefault="008C454A" w:rsidP="00525500">
          <w:pPr>
            <w:pStyle w:val="Bibliography"/>
            <w:spacing w:before="120" w:after="120"/>
            <w:rPr>
              <w:noProof/>
            </w:rPr>
          </w:pPr>
          <w:r>
            <w:rPr>
              <w:noProof/>
            </w:rPr>
            <w:t>WHO</w:t>
          </w:r>
          <w:r w:rsidR="00716889">
            <w:rPr>
              <w:noProof/>
            </w:rPr>
            <w:t xml:space="preserve">. 2020. </w:t>
          </w:r>
          <w:r w:rsidR="00716889">
            <w:rPr>
              <w:i/>
              <w:iCs/>
              <w:noProof/>
            </w:rPr>
            <w:t xml:space="preserve">Rational </w:t>
          </w:r>
          <w:r>
            <w:rPr>
              <w:i/>
              <w:iCs/>
              <w:noProof/>
            </w:rPr>
            <w:t>U</w:t>
          </w:r>
          <w:r w:rsidR="00716889">
            <w:rPr>
              <w:i/>
              <w:iCs/>
              <w:noProof/>
            </w:rPr>
            <w:t xml:space="preserve">se of </w:t>
          </w:r>
          <w:r>
            <w:rPr>
              <w:i/>
              <w:iCs/>
              <w:noProof/>
            </w:rPr>
            <w:t>P</w:t>
          </w:r>
          <w:r w:rsidR="00716889">
            <w:rPr>
              <w:i/>
              <w:iCs/>
              <w:noProof/>
            </w:rPr>
            <w:t xml:space="preserve">ersonal </w:t>
          </w:r>
          <w:r>
            <w:rPr>
              <w:i/>
              <w:iCs/>
              <w:noProof/>
            </w:rPr>
            <w:t>P</w:t>
          </w:r>
          <w:r w:rsidR="00716889">
            <w:rPr>
              <w:i/>
              <w:iCs/>
              <w:noProof/>
            </w:rPr>
            <w:t xml:space="preserve">rotective </w:t>
          </w:r>
          <w:r>
            <w:rPr>
              <w:i/>
              <w:iCs/>
              <w:noProof/>
            </w:rPr>
            <w:t>E</w:t>
          </w:r>
          <w:r w:rsidR="00716889">
            <w:rPr>
              <w:i/>
              <w:iCs/>
              <w:noProof/>
            </w:rPr>
            <w:t>quipment</w:t>
          </w:r>
          <w:r w:rsidR="007C02C2">
            <w:rPr>
              <w:i/>
              <w:iCs/>
              <w:noProof/>
            </w:rPr>
            <w:t xml:space="preserve"> for Coronavirus Disease 2019 (COVID-19)</w:t>
          </w:r>
          <w:r w:rsidR="00E64FBA">
            <w:rPr>
              <w:i/>
              <w:iCs/>
              <w:noProof/>
            </w:rPr>
            <w:t>: Interim guidance</w:t>
          </w:r>
          <w:r w:rsidR="00716889">
            <w:rPr>
              <w:i/>
              <w:iCs/>
              <w:noProof/>
            </w:rPr>
            <w:t>.</w:t>
          </w:r>
          <w:r w:rsidR="00716889">
            <w:rPr>
              <w:noProof/>
            </w:rPr>
            <w:t xml:space="preserve"> </w:t>
          </w:r>
          <w:r>
            <w:rPr>
              <w:noProof/>
            </w:rPr>
            <w:t xml:space="preserve">Geneva: World Health Organization. URL: </w:t>
          </w:r>
          <w:hyperlink r:id="rId53" w:history="1">
            <w:r w:rsidRPr="009C467F">
              <w:rPr>
                <w:rStyle w:val="Hyperlink"/>
                <w:noProof/>
              </w:rPr>
              <w:t>https://apps.who.int/iris/bitstream/handle/10665/331215/WHO-2019-nCov-IPCPPE_use-2020.1-eng.pdf</w:t>
            </w:r>
          </w:hyperlink>
          <w:r>
            <w:rPr>
              <w:noProof/>
            </w:rPr>
            <w:t xml:space="preserve"> (accessed</w:t>
          </w:r>
          <w:r w:rsidR="00E64FBA">
            <w:rPr>
              <w:noProof/>
            </w:rPr>
            <w:t xml:space="preserve"> 27 May 2020)</w:t>
          </w:r>
          <w:r w:rsidR="00716889">
            <w:rPr>
              <w:noProof/>
            </w:rPr>
            <w:t>.</w:t>
          </w:r>
        </w:p>
        <w:p w14:paraId="2F071992" w14:textId="37302AC4" w:rsidR="00716889" w:rsidRDefault="00B23AF1" w:rsidP="00F130E0"/>
      </w:sdtContent>
    </w:sdt>
    <w:p w14:paraId="25FD56F0" w14:textId="0CB65A2B" w:rsidR="00E21644" w:rsidRDefault="00E21644" w:rsidP="0039011E">
      <w:pPr>
        <w:spacing w:before="0" w:after="160" w:line="259" w:lineRule="auto"/>
        <w:rPr>
          <w:rFonts w:ascii="Helv" w:eastAsiaTheme="minorHAnsi" w:hAnsi="Helv" w:cs="ClassicalGaramondBT-Roman"/>
          <w:color w:val="auto"/>
          <w:szCs w:val="18"/>
        </w:rPr>
      </w:pPr>
    </w:p>
    <w:p w14:paraId="4AADDE71" w14:textId="0B3B5F15" w:rsidR="00554742" w:rsidRDefault="00554742" w:rsidP="0039011E">
      <w:pPr>
        <w:spacing w:before="0" w:after="160" w:line="259" w:lineRule="auto"/>
        <w:rPr>
          <w:rFonts w:ascii="Helv" w:eastAsiaTheme="minorHAnsi" w:hAnsi="Helv" w:cs="ClassicalGaramondBT-Roman"/>
          <w:color w:val="auto"/>
          <w:szCs w:val="18"/>
        </w:rPr>
      </w:pPr>
    </w:p>
    <w:p w14:paraId="7FBB6DC9" w14:textId="77777777" w:rsidR="00554742" w:rsidRPr="00F3515B" w:rsidRDefault="00554742" w:rsidP="0039011E">
      <w:pPr>
        <w:spacing w:before="0" w:after="160" w:line="259" w:lineRule="auto"/>
        <w:rPr>
          <w:rFonts w:ascii="Helv" w:eastAsiaTheme="minorHAnsi" w:hAnsi="Helv" w:cs="ClassicalGaramondBT-Roman"/>
          <w:color w:val="auto"/>
          <w:szCs w:val="18"/>
        </w:rPr>
      </w:pPr>
    </w:p>
    <w:sectPr w:rsidR="00554742" w:rsidRPr="00F3515B" w:rsidSect="005B604C">
      <w:pgSz w:w="16838" w:h="11906" w:orient="landscape"/>
      <w:pgMar w:top="1814" w:right="2041" w:bottom="1588" w:left="1361"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6F6B36" w16cex:dateUtc="2020-05-19T20:3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A4F921" w14:textId="77777777" w:rsidR="005928E7" w:rsidRDefault="005928E7" w:rsidP="0008544F">
      <w:pPr>
        <w:spacing w:before="0"/>
      </w:pPr>
      <w:r>
        <w:separator/>
      </w:r>
    </w:p>
    <w:p w14:paraId="005412C0" w14:textId="77777777" w:rsidR="005928E7" w:rsidRDefault="005928E7"/>
    <w:p w14:paraId="21732ED7" w14:textId="77777777" w:rsidR="005928E7" w:rsidRDefault="005928E7" w:rsidP="00B23AF1"/>
  </w:endnote>
  <w:endnote w:type="continuationSeparator" w:id="0">
    <w:p w14:paraId="42FA720C" w14:textId="77777777" w:rsidR="005928E7" w:rsidRDefault="005928E7" w:rsidP="0008544F">
      <w:pPr>
        <w:spacing w:before="0"/>
      </w:pPr>
      <w:r>
        <w:continuationSeparator/>
      </w:r>
    </w:p>
    <w:p w14:paraId="5EA14682" w14:textId="77777777" w:rsidR="005928E7" w:rsidRDefault="005928E7"/>
    <w:p w14:paraId="2053664C" w14:textId="77777777" w:rsidR="005928E7" w:rsidRDefault="005928E7" w:rsidP="00B23A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Mäori">
    <w:altName w:val="Times New Roman"/>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Arial Bold">
    <w:altName w:val="Arial"/>
    <w:panose1 w:val="020B07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Helvetica Neue LT Std">
    <w:altName w:val="Arial"/>
    <w:panose1 w:val="00000000000000000000"/>
    <w:charset w:val="00"/>
    <w:family w:val="swiss"/>
    <w:notTrueType/>
    <w:pitch w:val="default"/>
    <w:sig w:usb0="00000003" w:usb1="00000000" w:usb2="00000000" w:usb3="00000000" w:csb0="00000001" w:csb1="00000000"/>
  </w:font>
  <w:font w:name="Segoe UI Semibold">
    <w:panose1 w:val="020B0702040204020203"/>
    <w:charset w:val="00"/>
    <w:family w:val="swiss"/>
    <w:pitch w:val="variable"/>
    <w:sig w:usb0="E4002EFF" w:usb1="C000E47F" w:usb2="00000009" w:usb3="00000000" w:csb0="000001FF" w:csb1="00000000"/>
  </w:font>
  <w:font w:name="ClassicalGaramondBT-Roman">
    <w:altName w:val="Cambria"/>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E84CC1" w14:textId="77777777" w:rsidR="005928E7" w:rsidRDefault="005928E7" w:rsidP="00282D27">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20D54E19" w14:textId="77777777" w:rsidR="005928E7" w:rsidRDefault="005928E7" w:rsidP="00282D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A87719" w14:textId="36D5B17B" w:rsidR="005928E7" w:rsidRDefault="005928E7" w:rsidP="00282D2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576EE8" w14:textId="036A8398" w:rsidR="005928E7" w:rsidRPr="00DA2221" w:rsidRDefault="005928E7" w:rsidP="00282D27">
    <w:pPr>
      <w:pStyle w:val="Footer"/>
    </w:pPr>
    <w:r>
      <w:rPr>
        <w:noProof/>
        <w:lang w:eastAsia="en-NZ"/>
      </w:rPr>
      <mc:AlternateContent>
        <mc:Choice Requires="wps">
          <w:drawing>
            <wp:anchor distT="0" distB="0" distL="114300" distR="114300" simplePos="0" relativeHeight="251692032" behindDoc="0" locked="0" layoutInCell="1" allowOverlap="1" wp14:anchorId="0412EA15" wp14:editId="346429F1">
              <wp:simplePos x="0" y="0"/>
              <wp:positionH relativeFrom="page">
                <wp:posOffset>2808605</wp:posOffset>
              </wp:positionH>
              <wp:positionV relativeFrom="page">
                <wp:posOffset>10261600</wp:posOffset>
              </wp:positionV>
              <wp:extent cx="4320000" cy="453600"/>
              <wp:effectExtent l="0" t="0" r="4445" b="3810"/>
              <wp:wrapNone/>
              <wp:docPr id="4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0000" cy="45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6F38D" w14:textId="741E9F44" w:rsidR="005928E7" w:rsidRPr="00FC31DA" w:rsidRDefault="005928E7" w:rsidP="00CF00ED">
                          <w:pPr>
                            <w:pStyle w:val="Footerright"/>
                          </w:pPr>
                          <w:r w:rsidRPr="00282D27">
                            <w:t xml:space="preserve">Page </w:t>
                          </w:r>
                          <w:r w:rsidRPr="00282D27">
                            <w:fldChar w:fldCharType="begin"/>
                          </w:r>
                          <w:r w:rsidRPr="00282D27">
                            <w:instrText xml:space="preserve"> PAGE  \* Arabic  \* MERGEFORMAT </w:instrText>
                          </w:r>
                          <w:r w:rsidRPr="00282D27">
                            <w:fldChar w:fldCharType="separate"/>
                          </w:r>
                          <w:r>
                            <w:rPr>
                              <w:noProof/>
                            </w:rPr>
                            <w:t>3</w:t>
                          </w:r>
                          <w:r w:rsidRPr="00282D27">
                            <w:fldChar w:fldCharType="end"/>
                          </w:r>
                          <w:r w:rsidRPr="00282D27">
                            <w:t xml:space="preserve">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412EA15" id="_x0000_t202" coordsize="21600,21600" o:spt="202" path="m,l,21600r21600,l21600,xe">
              <v:stroke joinstyle="miter"/>
              <v:path gradientshapeok="t" o:connecttype="rect"/>
            </v:shapetype>
            <v:shape id="_x0000_s1028" type="#_x0000_t202" style="position:absolute;margin-left:221.15pt;margin-top:808pt;width:340.15pt;height:35.7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" filled="f" stroked="f">
              <v:textbox inset="0,0,0,0">
                <w:txbxContent>
                  <w:p w14:paraId="3056F38D" w14:textId="741E9F44" w:rsidR="005928E7" w:rsidRPr="00FC31DA" w:rsidRDefault="005928E7" w:rsidP="00CF00ED">
                    <w:pPr>
                      <w:pStyle w:val="Footerright"/>
                    </w:pPr>
                    <w:r w:rsidRPr="00282D27">
                      <w:t xml:space="preserve">Page </w:t>
                    </w:r>
                    <w:r w:rsidRPr="00282D27">
                      <w:fldChar w:fldCharType="begin"/>
                    </w:r>
                    <w:r w:rsidRPr="00282D27">
                      <w:instrText xml:space="preserve"> PAGE  \* Arabic  \* MERGEFORMAT </w:instrText>
                    </w:r>
                    <w:r w:rsidRPr="00282D27">
                      <w:fldChar w:fldCharType="separate"/>
                    </w:r>
                    <w:r>
                      <w:rPr>
                        <w:noProof/>
                      </w:rPr>
                      <w:t>3</w:t>
                    </w:r>
                    <w:r w:rsidRPr="00282D27">
                      <w:fldChar w:fldCharType="end"/>
                    </w:r>
                    <w:r w:rsidRPr="00282D27">
                      <w:t xml:space="preserve"> </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D30294" w14:textId="2B9E35B4" w:rsidR="005928E7" w:rsidRDefault="005928E7" w:rsidP="00282D27">
    <w:pPr>
      <w:pStyle w:val="Footer"/>
    </w:pPr>
    <w:r>
      <w:rPr>
        <w:noProof/>
        <w:lang w:eastAsia="en-NZ"/>
      </w:rPr>
      <mc:AlternateContent>
        <mc:Choice Requires="wps">
          <w:drawing>
            <wp:anchor distT="0" distB="0" distL="114300" distR="114300" simplePos="0" relativeHeight="251666432" behindDoc="0" locked="0" layoutInCell="1" allowOverlap="1" wp14:anchorId="6F7F0864" wp14:editId="79B1480D">
              <wp:simplePos x="0" y="0"/>
              <wp:positionH relativeFrom="page">
                <wp:posOffset>431800</wp:posOffset>
              </wp:positionH>
              <wp:positionV relativeFrom="page">
                <wp:posOffset>10261600</wp:posOffset>
              </wp:positionV>
              <wp:extent cx="1800000" cy="360000"/>
              <wp:effectExtent l="0" t="0" r="10160" b="2540"/>
              <wp:wrapNone/>
              <wp:docPr id="2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000" cy="36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193D2" w14:textId="7D9E1E2C" w:rsidR="005928E7" w:rsidRPr="00282D27" w:rsidRDefault="005928E7" w:rsidP="00282D27">
                          <w:pPr>
                            <w:pStyle w:val="Header"/>
                          </w:pPr>
                          <w:r w:rsidRPr="00282D27">
                            <w:t xml:space="preserve">Page </w:t>
                          </w:r>
                          <w:r w:rsidRPr="00282D27">
                            <w:fldChar w:fldCharType="begin"/>
                          </w:r>
                          <w:r w:rsidRPr="00282D27">
                            <w:instrText xml:space="preserve"> PAGE  \* Arabic  \* MERGEFORMAT </w:instrText>
                          </w:r>
                          <w:r w:rsidRPr="00282D27">
                            <w:fldChar w:fldCharType="separate"/>
                          </w:r>
                          <w:r w:rsidRPr="00282D27">
                            <w:t>209</w:t>
                          </w:r>
                          <w:r w:rsidRPr="00282D27">
                            <w:fldChar w:fldCharType="end"/>
                          </w:r>
                          <w:r w:rsidRPr="00282D27">
                            <w:t xml:space="preserve"> of total pages</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F7F0864" id="_x0000_t202" coordsize="21600,21600" o:spt="202" path="m,l,21600r21600,l21600,xe">
              <v:stroke joinstyle="miter"/>
              <v:path gradientshapeok="t" o:connecttype="rect"/>
            </v:shapetype>
            <v:shape id="_x0000_s1030" type="#_x0000_t202" style="position:absolute;margin-left:34pt;margin-top:808pt;width:141.75pt;height:28.3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" filled="f" stroked="f">
              <v:textbox inset="0,0,0,0">
                <w:txbxContent>
                  <w:p w14:paraId="1C5193D2" w14:textId="7D9E1E2C" w:rsidR="005928E7" w:rsidRPr="00282D27" w:rsidRDefault="005928E7" w:rsidP="00282D27">
                    <w:pPr>
                      <w:pStyle w:val="Header"/>
                    </w:pPr>
                    <w:r w:rsidRPr="00282D27">
                      <w:t xml:space="preserve">Page </w:t>
                    </w:r>
                    <w:r w:rsidRPr="00282D27">
                      <w:fldChar w:fldCharType="begin"/>
                    </w:r>
                    <w:r w:rsidRPr="00282D27">
                      <w:instrText xml:space="preserve"> PAGE  \* Arabic  \* MERGEFORMAT </w:instrText>
                    </w:r>
                    <w:r w:rsidRPr="00282D27">
                      <w:fldChar w:fldCharType="separate"/>
                    </w:r>
                    <w:r w:rsidRPr="00282D27">
                      <w:t>209</w:t>
                    </w:r>
                    <w:r w:rsidRPr="00282D27">
                      <w:fldChar w:fldCharType="end"/>
                    </w:r>
                    <w:r w:rsidRPr="00282D27">
                      <w:t xml:space="preserve"> of total pages</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3836912"/>
      <w:docPartObj>
        <w:docPartGallery w:val="Page Numbers (Bottom of Page)"/>
        <w:docPartUnique/>
      </w:docPartObj>
    </w:sdtPr>
    <w:sdtEndPr>
      <w:rPr>
        <w:color w:val="7F7F7F" w:themeColor="background1" w:themeShade="7F"/>
        <w:spacing w:val="60"/>
      </w:rPr>
    </w:sdtEndPr>
    <w:sdtContent>
      <w:p w14:paraId="252E1BB0" w14:textId="77777777" w:rsidR="005B604C" w:rsidRDefault="005B604C" w:rsidP="00CA3124">
        <w:pPr>
          <w:pStyle w:val="Footer"/>
          <w:pBdr>
            <w:top w:val="single" w:sz="4" w:space="1" w:color="D9D9D9" w:themeColor="background1" w:themeShade="D9"/>
          </w:pBdr>
          <w:jc w:val="right"/>
        </w:pPr>
      </w:p>
      <w:p w14:paraId="0F55BFDF" w14:textId="7E267A48" w:rsidR="00CA3124" w:rsidRDefault="00CA3124" w:rsidP="00CA3124">
        <w:pPr>
          <w:pStyle w:val="Footer"/>
          <w:pBdr>
            <w:top w:val="single" w:sz="4" w:space="1" w:color="D9D9D9" w:themeColor="background1" w:themeShade="D9"/>
          </w:pBdr>
          <w:jc w:val="right"/>
        </w:pPr>
        <w:r>
          <w:rPr>
            <w:color w:val="7F7F7F" w:themeColor="background1" w:themeShade="7F"/>
            <w:spacing w:val="60"/>
          </w:rPr>
          <w:t>Page</w:t>
        </w:r>
        <w:r w:rsidRPr="005B604C">
          <w:rPr>
            <w:color w:val="003F5F" w:themeColor="accent1"/>
          </w:rPr>
          <w:t xml:space="preserve"> | </w:t>
        </w:r>
        <w:r w:rsidRPr="005B604C">
          <w:rPr>
            <w:color w:val="003F5F" w:themeColor="accent1"/>
          </w:rPr>
          <w:fldChar w:fldCharType="begin"/>
        </w:r>
        <w:r w:rsidRPr="005B604C">
          <w:rPr>
            <w:color w:val="003F5F" w:themeColor="accent1"/>
          </w:rPr>
          <w:instrText xml:space="preserve"> PAGE   \* MERGEFORMAT </w:instrText>
        </w:r>
        <w:r w:rsidRPr="005B604C">
          <w:rPr>
            <w:color w:val="003F5F" w:themeColor="accent1"/>
          </w:rPr>
          <w:fldChar w:fldCharType="separate"/>
        </w:r>
        <w:r w:rsidRPr="005B604C">
          <w:rPr>
            <w:color w:val="003F5F" w:themeColor="accent1"/>
          </w:rPr>
          <w:t>1</w:t>
        </w:r>
        <w:r w:rsidRPr="005B604C">
          <w:rPr>
            <w:noProof/>
            <w:color w:val="003F5F" w:themeColor="accent1"/>
          </w:rPr>
          <w:fldChar w:fldCharType="end"/>
        </w:r>
        <w:r w:rsidRPr="005B604C">
          <w:rPr>
            <w:color w:val="003F5F" w:themeColor="accent1"/>
          </w:rPr>
          <w:t xml:space="preserve"> </w:t>
        </w:r>
      </w:p>
    </w:sdtContent>
  </w:sdt>
  <w:p w14:paraId="67AE79FE" w14:textId="77777777" w:rsidR="00CA3124" w:rsidRDefault="00CA3124" w:rsidP="00282D2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39561757"/>
      <w:docPartObj>
        <w:docPartGallery w:val="Page Numbers (Bottom of Page)"/>
        <w:docPartUnique/>
      </w:docPartObj>
    </w:sdtPr>
    <w:sdtEndPr>
      <w:rPr>
        <w:color w:val="7F7F7F" w:themeColor="background1" w:themeShade="7F"/>
        <w:spacing w:val="60"/>
      </w:rPr>
    </w:sdtEndPr>
    <w:sdtContent>
      <w:p w14:paraId="4B84BCF8" w14:textId="77777777" w:rsidR="00C44415" w:rsidRDefault="00C44415" w:rsidP="00525500">
        <w:pPr>
          <w:pStyle w:val="Footer"/>
          <w:pBdr>
            <w:top w:val="single" w:sz="4" w:space="1" w:color="D9D9D9" w:themeColor="background1" w:themeShade="D9"/>
          </w:pBdr>
        </w:pPr>
        <w:r>
          <w:rPr>
            <w:color w:val="7F7F7F" w:themeColor="background1" w:themeShade="7F"/>
            <w:spacing w:val="60"/>
          </w:rPr>
          <w:t>Page</w:t>
        </w:r>
        <w:r>
          <w:t xml:space="preserve"> | </w:t>
        </w:r>
        <w:r>
          <w:fldChar w:fldCharType="begin"/>
        </w:r>
        <w:r>
          <w:instrText xml:space="preserve"> PAGE   \* MERGEFORMAT </w:instrText>
        </w:r>
        <w:r>
          <w:fldChar w:fldCharType="separate"/>
        </w:r>
        <w:r>
          <w:t>26</w:t>
        </w:r>
        <w:r>
          <w:rPr>
            <w:noProof/>
          </w:rPr>
          <w:fldChar w:fldCharType="end"/>
        </w:r>
        <w:r>
          <w:t xml:space="preserve"> </w:t>
        </w:r>
      </w:p>
    </w:sdtContent>
  </w:sdt>
  <w:p w14:paraId="3D7717AD" w14:textId="3E52466B" w:rsidR="00C44415" w:rsidRPr="00DA2221" w:rsidRDefault="00C44415" w:rsidP="00B80B3D">
    <w:pPr>
      <w:pStyle w:val="Footer"/>
    </w:pPr>
    <w:r>
      <w:rPr>
        <w:noProof/>
        <w:lang w:eastAsia="en-NZ"/>
      </w:rPr>
      <w:t xml:space="preserve"> </w:t>
    </w:r>
    <w:r>
      <w:rPr>
        <w:noProof/>
        <w:lang w:eastAsia="en-NZ"/>
      </w:rPr>
      <mc:AlternateContent>
        <mc:Choice Requires="wps">
          <w:drawing>
            <wp:anchor distT="0" distB="0" distL="114300" distR="114300" simplePos="0" relativeHeight="251712512" behindDoc="0" locked="0" layoutInCell="1" allowOverlap="1" wp14:anchorId="1CD40CDC" wp14:editId="0DFE1291">
              <wp:simplePos x="0" y="0"/>
              <wp:positionH relativeFrom="page">
                <wp:posOffset>2808605</wp:posOffset>
              </wp:positionH>
              <wp:positionV relativeFrom="page">
                <wp:posOffset>10261600</wp:posOffset>
              </wp:positionV>
              <wp:extent cx="4320000" cy="453600"/>
              <wp:effectExtent l="0" t="0" r="4445" b="3810"/>
              <wp:wrapNone/>
              <wp:docPr id="1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0000" cy="45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59F17" w14:textId="4866D38D" w:rsidR="00C44415" w:rsidRPr="00FC31DA" w:rsidRDefault="00C44415" w:rsidP="00CF00ED">
                          <w:pPr>
                            <w:pStyle w:val="Footerright"/>
                          </w:pPr>
                          <w:r w:rsidRPr="00282D27">
                            <w:t xml:space="preserve">Page </w:t>
                          </w:r>
                          <w:r w:rsidRPr="00282D27">
                            <w:fldChar w:fldCharType="begin"/>
                          </w:r>
                          <w:r w:rsidRPr="00282D27">
                            <w:instrText xml:space="preserve"> PAGE  \* Arabic  \* MERGEFORMAT </w:instrText>
                          </w:r>
                          <w:r w:rsidRPr="00282D27">
                            <w:fldChar w:fldCharType="separate"/>
                          </w:r>
                          <w:r>
                            <w:rPr>
                              <w:noProof/>
                            </w:rPr>
                            <w:t>29</w:t>
                          </w:r>
                          <w:r w:rsidRPr="00282D27">
                            <w:fldChar w:fldCharType="end"/>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CD40CDC" id="_x0000_t202" coordsize="21600,21600" o:spt="202" path="m,l,21600r21600,l21600,xe">
              <v:stroke joinstyle="miter"/>
              <v:path gradientshapeok="t" o:connecttype="rect"/>
            </v:shapetype>
            <v:shape id="_x0000_s1031" type="#_x0000_t202" style="position:absolute;margin-left:221.15pt;margin-top:808pt;width:340.15pt;height:35.7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" filled="f" stroked="f">
              <v:textbox inset="0,0,0,0">
                <w:txbxContent>
                  <w:p w14:paraId="0FC59F17" w14:textId="4866D38D" w:rsidR="00C44415" w:rsidRPr="00FC31DA" w:rsidRDefault="00C44415" w:rsidP="00CF00ED">
                    <w:pPr>
                      <w:pStyle w:val="Footerright"/>
                    </w:pPr>
                    <w:r w:rsidRPr="00282D27">
                      <w:t xml:space="preserve">Page </w:t>
                    </w:r>
                    <w:r w:rsidRPr="00282D27">
                      <w:fldChar w:fldCharType="begin"/>
                    </w:r>
                    <w:r w:rsidRPr="00282D27">
                      <w:instrText xml:space="preserve"> PAGE  \* Arabic  \* MERGEFORMAT </w:instrText>
                    </w:r>
                    <w:r w:rsidRPr="00282D27">
                      <w:fldChar w:fldCharType="separate"/>
                    </w:r>
                    <w:r>
                      <w:rPr>
                        <w:noProof/>
                      </w:rPr>
                      <w:t>29</w:t>
                    </w:r>
                    <w:r w:rsidRPr="00282D27">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82830764"/>
      <w:docPartObj>
        <w:docPartGallery w:val="Page Numbers (Bottom of Page)"/>
        <w:docPartUnique/>
      </w:docPartObj>
    </w:sdtPr>
    <w:sdtEndPr>
      <w:rPr>
        <w:color w:val="7F7F7F" w:themeColor="background1" w:themeShade="7F"/>
        <w:spacing w:val="60"/>
      </w:rPr>
    </w:sdtEndPr>
    <w:sdtContent>
      <w:p w14:paraId="11B94726" w14:textId="77777777" w:rsidR="00CA3124" w:rsidRDefault="00CA3124" w:rsidP="00525500">
        <w:pPr>
          <w:pStyle w:val="Footer"/>
          <w:pBdr>
            <w:top w:val="single" w:sz="4" w:space="1" w:color="D9D9D9" w:themeColor="background1" w:themeShade="D9"/>
          </w:pBdr>
        </w:pPr>
        <w:r>
          <w:rPr>
            <w:color w:val="7F7F7F" w:themeColor="background1" w:themeShade="7F"/>
            <w:spacing w:val="60"/>
          </w:rPr>
          <w:t>Page</w:t>
        </w:r>
        <w:r>
          <w:t xml:space="preserve"> </w:t>
        </w:r>
        <w:r w:rsidRPr="005B604C">
          <w:rPr>
            <w:color w:val="003F5F" w:themeColor="accent1"/>
          </w:rPr>
          <w:t xml:space="preserve">| </w:t>
        </w:r>
        <w:r w:rsidRPr="005B604C">
          <w:rPr>
            <w:color w:val="003F5F" w:themeColor="accent1"/>
          </w:rPr>
          <w:fldChar w:fldCharType="begin"/>
        </w:r>
        <w:r w:rsidRPr="005B604C">
          <w:rPr>
            <w:color w:val="003F5F" w:themeColor="accent1"/>
          </w:rPr>
          <w:instrText xml:space="preserve"> PAGE   \* MERGEFORMAT </w:instrText>
        </w:r>
        <w:r w:rsidRPr="005B604C">
          <w:rPr>
            <w:color w:val="003F5F" w:themeColor="accent1"/>
          </w:rPr>
          <w:fldChar w:fldCharType="separate"/>
        </w:r>
        <w:r w:rsidRPr="005B604C">
          <w:rPr>
            <w:color w:val="003F5F" w:themeColor="accent1"/>
          </w:rPr>
          <w:t>26</w:t>
        </w:r>
        <w:r w:rsidRPr="005B604C">
          <w:rPr>
            <w:noProof/>
            <w:color w:val="003F5F" w:themeColor="accent1"/>
          </w:rPr>
          <w:fldChar w:fldCharType="end"/>
        </w:r>
        <w:r w:rsidRPr="005B604C">
          <w:rPr>
            <w:color w:val="003F5F" w:themeColor="accent1"/>
          </w:rPr>
          <w:t xml:space="preserve"> </w:t>
        </w:r>
      </w:p>
    </w:sdtContent>
  </w:sdt>
  <w:p w14:paraId="0BEB3408" w14:textId="77777777" w:rsidR="00CA3124" w:rsidRPr="00DA2221" w:rsidRDefault="00CA3124" w:rsidP="00B80B3D">
    <w:pPr>
      <w:pStyle w:val="Footer"/>
    </w:pPr>
    <w:r>
      <w:rPr>
        <w:noProof/>
        <w:lang w:eastAsia="en-NZ"/>
      </w:rPr>
      <w:t xml:space="preserve"> </w:t>
    </w:r>
    <w:r>
      <w:rPr>
        <w:noProof/>
        <w:lang w:eastAsia="en-NZ"/>
      </w:rPr>
      <mc:AlternateContent>
        <mc:Choice Requires="wps">
          <w:drawing>
            <wp:anchor distT="0" distB="0" distL="114300" distR="114300" simplePos="0" relativeHeight="251714560" behindDoc="0" locked="0" layoutInCell="1" allowOverlap="1" wp14:anchorId="5937C55C" wp14:editId="4B9B4BF0">
              <wp:simplePos x="0" y="0"/>
              <wp:positionH relativeFrom="page">
                <wp:posOffset>2808605</wp:posOffset>
              </wp:positionH>
              <wp:positionV relativeFrom="page">
                <wp:posOffset>10261600</wp:posOffset>
              </wp:positionV>
              <wp:extent cx="4320000" cy="453600"/>
              <wp:effectExtent l="0" t="0" r="4445" b="3810"/>
              <wp:wrapNone/>
              <wp:docPr id="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0000" cy="45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1A524" w14:textId="77777777" w:rsidR="00CA3124" w:rsidRPr="00FC31DA" w:rsidRDefault="00CA3124" w:rsidP="00CF00ED">
                          <w:pPr>
                            <w:pStyle w:val="Footerright"/>
                          </w:pPr>
                          <w:r w:rsidRPr="00282D27">
                            <w:t xml:space="preserve">Page </w:t>
                          </w:r>
                          <w:r w:rsidRPr="00282D27">
                            <w:fldChar w:fldCharType="begin"/>
                          </w:r>
                          <w:r w:rsidRPr="00282D27">
                            <w:instrText xml:space="preserve"> PAGE  \* Arabic  \* MERGEFORMAT </w:instrText>
                          </w:r>
                          <w:r w:rsidRPr="00282D27">
                            <w:fldChar w:fldCharType="separate"/>
                          </w:r>
                          <w:r>
                            <w:rPr>
                              <w:noProof/>
                            </w:rPr>
                            <w:t>29</w:t>
                          </w:r>
                          <w:r w:rsidRPr="00282D27">
                            <w:fldChar w:fldCharType="end"/>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937C55C" id="_x0000_t202" coordsize="21600,21600" o:spt="202" path="m,l,21600r21600,l21600,xe">
              <v:stroke joinstyle="miter"/>
              <v:path gradientshapeok="t" o:connecttype="rect"/>
            </v:shapetype>
            <v:shape id="_x0000_s1032" type="#_x0000_t202" style="position:absolute;margin-left:221.15pt;margin-top:808pt;width:340.15pt;height:35.7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" filled="f" stroked="f">
              <v:textbox inset="0,0,0,0">
                <w:txbxContent>
                  <w:p w14:paraId="7CD1A524" w14:textId="77777777" w:rsidR="00CA3124" w:rsidRPr="00FC31DA" w:rsidRDefault="00CA3124" w:rsidP="00CF00ED">
                    <w:pPr>
                      <w:pStyle w:val="Footerright"/>
                    </w:pPr>
                    <w:r w:rsidRPr="00282D27">
                      <w:t xml:space="preserve">Page </w:t>
                    </w:r>
                    <w:r w:rsidRPr="00282D27">
                      <w:fldChar w:fldCharType="begin"/>
                    </w:r>
                    <w:r w:rsidRPr="00282D27">
                      <w:instrText xml:space="preserve"> PAGE  \* Arabic  \* MERGEFORMAT </w:instrText>
                    </w:r>
                    <w:r w:rsidRPr="00282D27">
                      <w:fldChar w:fldCharType="separate"/>
                    </w:r>
                    <w:r>
                      <w:rPr>
                        <w:noProof/>
                      </w:rPr>
                      <w:t>29</w:t>
                    </w:r>
                    <w:r w:rsidRPr="00282D27">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5476330"/>
      <w:docPartObj>
        <w:docPartGallery w:val="Page Numbers (Bottom of Page)"/>
        <w:docPartUnique/>
      </w:docPartObj>
    </w:sdtPr>
    <w:sdtEndPr>
      <w:rPr>
        <w:color w:val="7F7F7F" w:themeColor="background1" w:themeShade="7F"/>
        <w:spacing w:val="60"/>
      </w:rPr>
    </w:sdtEndPr>
    <w:sdtContent>
      <w:p w14:paraId="3BFF6C88" w14:textId="77777777" w:rsidR="005B604C" w:rsidRDefault="005B604C" w:rsidP="00B80B3D">
        <w:pPr>
          <w:pStyle w:val="Footer"/>
          <w:pBdr>
            <w:top w:val="single" w:sz="4" w:space="1" w:color="D9D9D9" w:themeColor="background1" w:themeShade="D9"/>
          </w:pBdr>
        </w:pPr>
      </w:p>
      <w:p w14:paraId="20914F68" w14:textId="65DF20EF" w:rsidR="00C44415" w:rsidRDefault="00C44415" w:rsidP="00B80B3D">
        <w:pPr>
          <w:pStyle w:val="Footer"/>
          <w:pBdr>
            <w:top w:val="single" w:sz="4" w:space="1" w:color="D9D9D9" w:themeColor="background1" w:themeShade="D9"/>
          </w:pBdr>
        </w:pPr>
        <w:r>
          <w:rPr>
            <w:color w:val="7F7F7F" w:themeColor="background1" w:themeShade="7F"/>
            <w:spacing w:val="60"/>
          </w:rPr>
          <w:t>Page</w:t>
        </w:r>
        <w:r w:rsidRPr="005B604C">
          <w:rPr>
            <w:color w:val="003F5F" w:themeColor="accent1"/>
          </w:rPr>
          <w:t xml:space="preserve">| </w:t>
        </w:r>
        <w:r w:rsidRPr="005B604C">
          <w:rPr>
            <w:color w:val="003F5F" w:themeColor="accent1"/>
          </w:rPr>
          <w:fldChar w:fldCharType="begin"/>
        </w:r>
        <w:r w:rsidRPr="005B604C">
          <w:rPr>
            <w:color w:val="003F5F" w:themeColor="accent1"/>
          </w:rPr>
          <w:instrText xml:space="preserve"> PAGE   \* MERGEFORMAT </w:instrText>
        </w:r>
        <w:r w:rsidRPr="005B604C">
          <w:rPr>
            <w:color w:val="003F5F" w:themeColor="accent1"/>
          </w:rPr>
          <w:fldChar w:fldCharType="separate"/>
        </w:r>
        <w:r w:rsidRPr="005B604C">
          <w:rPr>
            <w:color w:val="003F5F" w:themeColor="accent1"/>
          </w:rPr>
          <w:t>26</w:t>
        </w:r>
        <w:r w:rsidRPr="005B604C">
          <w:rPr>
            <w:noProof/>
            <w:color w:val="003F5F" w:themeColor="accent1"/>
          </w:rPr>
          <w:fldChar w:fldCharType="end"/>
        </w:r>
        <w:r w:rsidRPr="005B604C">
          <w:rPr>
            <w:color w:val="003F5F" w:themeColor="accent1"/>
          </w:rPr>
          <w:t xml:space="preserve"> </w:t>
        </w:r>
      </w:p>
    </w:sdtContent>
  </w:sdt>
  <w:p w14:paraId="01A00E3E" w14:textId="35C92BA5" w:rsidR="00C44415" w:rsidRPr="00DA2221" w:rsidRDefault="00C44415" w:rsidP="00B80B3D">
    <w:pPr>
      <w:pStyle w:val="Footer"/>
    </w:pPr>
    <w:r>
      <w:rPr>
        <w:noProof/>
        <w:lang w:eastAsia="en-NZ"/>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C8C4BC" w14:textId="77777777" w:rsidR="005928E7" w:rsidRDefault="005928E7" w:rsidP="0008544F">
      <w:pPr>
        <w:spacing w:before="0"/>
      </w:pPr>
      <w:r>
        <w:separator/>
      </w:r>
    </w:p>
  </w:footnote>
  <w:footnote w:type="continuationSeparator" w:id="0">
    <w:p w14:paraId="5EB11A51" w14:textId="77777777" w:rsidR="005928E7" w:rsidRDefault="005928E7" w:rsidP="0008544F">
      <w:pPr>
        <w:spacing w:before="0"/>
      </w:pPr>
      <w:r>
        <w:continuationSeparator/>
      </w:r>
    </w:p>
  </w:footnote>
  <w:footnote w:type="continuationNotice" w:id="1">
    <w:p w14:paraId="700C1F46" w14:textId="77777777" w:rsidR="005928E7" w:rsidRDefault="005928E7">
      <w:pPr>
        <w:spacing w:before="0" w:after="0" w:line="240" w:lineRule="auto"/>
      </w:pPr>
    </w:p>
  </w:footnote>
  <w:footnote w:id="2">
    <w:p w14:paraId="05F0E979" w14:textId="64094208" w:rsidR="00C44415" w:rsidRDefault="00C44415" w:rsidP="00B512A7">
      <w:pPr>
        <w:pStyle w:val="FootnoteText"/>
      </w:pPr>
      <w:r>
        <w:rPr>
          <w:rStyle w:val="FootnoteReference"/>
        </w:rPr>
        <w:footnoteRef/>
      </w:r>
      <w:r>
        <w:t xml:space="preserve"> Article 25 reads: ‘</w:t>
      </w:r>
      <w:r w:rsidRPr="00A011EF">
        <w:t xml:space="preserve">Everyone has the right to a standard of living adequate for the health and well-being of [themselves and their] family, including …medical care </w:t>
      </w:r>
      <w:proofErr w:type="gramStart"/>
      <w:r w:rsidRPr="00A011EF">
        <w:t xml:space="preserve">... </w:t>
      </w:r>
      <w:r>
        <w:t>.</w:t>
      </w:r>
      <w:proofErr w:type="gramEnd"/>
      <w:r>
        <w:t xml:space="preserve">’ And, in the declaration’s preamble the General Assembly of the United Nations proclaims that: ‘... </w:t>
      </w:r>
      <w:r w:rsidRPr="00A011EF">
        <w:t>every individual and every organ of society</w:t>
      </w:r>
      <w:r>
        <w:t xml:space="preserve"> </w:t>
      </w:r>
      <w:r w:rsidRPr="00A011EF">
        <w:t xml:space="preserve">…shall strive … by progressive measures, national and international, to secure </w:t>
      </w:r>
      <w:r>
        <w:t>their</w:t>
      </w:r>
      <w:r w:rsidRPr="00A011EF">
        <w:t xml:space="preserve"> universal and effective recognition</w:t>
      </w:r>
      <w:r>
        <w:t>.’</w:t>
      </w:r>
    </w:p>
  </w:footnote>
  <w:footnote w:id="3">
    <w:p w14:paraId="3BA8E0EA" w14:textId="4BE026BC" w:rsidR="00C44415" w:rsidRDefault="00C44415">
      <w:pPr>
        <w:pStyle w:val="FootnoteText"/>
      </w:pPr>
      <w:r>
        <w:rPr>
          <w:rStyle w:val="FootnoteReference"/>
        </w:rPr>
        <w:footnoteRef/>
      </w:r>
      <w:r>
        <w:t xml:space="preserve"> Note also that u</w:t>
      </w:r>
      <w:r w:rsidRPr="00AB3259">
        <w:t xml:space="preserve">nder the New Zealand </w:t>
      </w:r>
      <w:r>
        <w:t>Health and Disability Commissioner</w:t>
      </w:r>
      <w:r w:rsidRPr="00AB3259">
        <w:t xml:space="preserve"> </w:t>
      </w:r>
      <w:r>
        <w:t>(</w:t>
      </w:r>
      <w:r w:rsidRPr="00AB3259">
        <w:t>Code of Health and Disability Services Consumers' Rights</w:t>
      </w:r>
      <w:r>
        <w:t>)</w:t>
      </w:r>
      <w:r w:rsidRPr="00AB3259">
        <w:t xml:space="preserve"> </w:t>
      </w:r>
      <w:r>
        <w:t>Regulations 1996, r</w:t>
      </w:r>
      <w:r w:rsidRPr="00AB3259">
        <w:t>ight 2, every health consumer has the right to be free from discrimination.</w:t>
      </w:r>
      <w:r>
        <w:t xml:space="preserve"> See: </w:t>
      </w:r>
      <w:r w:rsidRPr="00171C9D">
        <w:t>www.hdc.org.nz/your-rights/about-the-code/code-of-health-and-disability-services-consumers-rights/</w:t>
      </w:r>
    </w:p>
  </w:footnote>
  <w:footnote w:id="4">
    <w:p w14:paraId="5D8BE445" w14:textId="217EA90F" w:rsidR="00C44415" w:rsidRDefault="00C44415" w:rsidP="008E4671">
      <w:pPr>
        <w:pStyle w:val="FootnoteText"/>
      </w:pPr>
      <w:r>
        <w:rPr>
          <w:rStyle w:val="FootnoteReference"/>
        </w:rPr>
        <w:footnoteRef/>
      </w:r>
      <w:r>
        <w:t xml:space="preserve"> </w:t>
      </w:r>
      <w:r w:rsidRPr="008E4671">
        <w:t xml:space="preserve">The </w:t>
      </w:r>
      <w:r>
        <w:t xml:space="preserve">World Health Organization stated in the </w:t>
      </w:r>
      <w:r>
        <w:rPr>
          <w:i/>
        </w:rPr>
        <w:t xml:space="preserve">Rio Political Declaration on Social Determinants of Health </w:t>
      </w:r>
      <w:r>
        <w:t>(WHO 2011)</w:t>
      </w:r>
      <w:r w:rsidRPr="008E4671">
        <w:t xml:space="preserve"> that people have the right to ‘the highest attainable standard of health’. The highest attainable standard of health is a reflection of the standard of health enjoyed in the most socially advantaged group within a society. This indicates a level of health that is biologically attainable and the minimum standard for what should be possible for everyone in that society.</w:t>
      </w:r>
      <w:r>
        <w:t xml:space="preserve"> See </w:t>
      </w:r>
      <w:r>
        <w:rPr>
          <w:i/>
        </w:rPr>
        <w:t xml:space="preserve">Achieving Equity in Health Outcomes </w:t>
      </w:r>
      <w:r>
        <w:t>(Ministry of Health 2018) for more information.</w:t>
      </w:r>
    </w:p>
  </w:footnote>
  <w:footnote w:id="5">
    <w:p w14:paraId="25455F2F" w14:textId="3F2AAFF1" w:rsidR="00C44415" w:rsidRDefault="00C44415">
      <w:pPr>
        <w:pStyle w:val="FootnoteText"/>
      </w:pPr>
      <w:r>
        <w:rPr>
          <w:rStyle w:val="FootnoteReference"/>
        </w:rPr>
        <w:footnoteRef/>
      </w:r>
      <w:r>
        <w:t xml:space="preserve"> For example, the </w:t>
      </w:r>
      <w:r w:rsidRPr="00AB3259">
        <w:t xml:space="preserve">New Zealand </w:t>
      </w:r>
      <w:r>
        <w:t>Health and Disability Commissioner</w:t>
      </w:r>
      <w:r w:rsidRPr="00AB3259">
        <w:t xml:space="preserve"> </w:t>
      </w:r>
      <w:r>
        <w:t>(</w:t>
      </w:r>
      <w:r w:rsidRPr="00AB3259">
        <w:t>Code of Health and Disability Services Consumers' Rights</w:t>
      </w:r>
      <w:r>
        <w:t>)</w:t>
      </w:r>
      <w:r w:rsidRPr="00AB3259">
        <w:t xml:space="preserve"> </w:t>
      </w:r>
      <w:r>
        <w:t>Regulations 1996, r</w:t>
      </w:r>
      <w:r w:rsidRPr="00AB3259">
        <w:t xml:space="preserve">ight </w:t>
      </w:r>
      <w:r>
        <w:t>4</w:t>
      </w:r>
      <w:r w:rsidRPr="00AB3259">
        <w:t xml:space="preserve">, </w:t>
      </w:r>
      <w:r>
        <w:t xml:space="preserve">states that </w:t>
      </w:r>
      <w:r w:rsidRPr="00AB3259">
        <w:t xml:space="preserve">every health consumer has the right to </w:t>
      </w:r>
      <w:r>
        <w:t>services of an appropriate standard</w:t>
      </w:r>
      <w:r w:rsidRPr="00AB3259">
        <w:t>.</w:t>
      </w:r>
      <w:r>
        <w:t xml:space="preserve"> (See: </w:t>
      </w:r>
      <w:hyperlink r:id="rId1" w:history="1">
        <w:r w:rsidRPr="000249BC">
          <w:rPr>
            <w:rStyle w:val="Hyperlink"/>
          </w:rPr>
          <w:t>www.hdc.org.nz/your-rights/about-the-code/code-of-health-and-disability-services-consumers-rights/</w:t>
        </w:r>
      </w:hyperlink>
      <w:r>
        <w:t>) However,</w:t>
      </w:r>
      <w:r w:rsidRPr="005B4E34">
        <w:t xml:space="preserve"> what is </w:t>
      </w:r>
      <w:r>
        <w:t>‘appropriate’</w:t>
      </w:r>
      <w:r w:rsidRPr="005B4E34">
        <w:t xml:space="preserve"> will be interpreted </w:t>
      </w:r>
      <w:r>
        <w:t>differently depending on</w:t>
      </w:r>
      <w:r w:rsidRPr="005B4E34">
        <w:t xml:space="preserve"> context and the resources available.</w:t>
      </w:r>
    </w:p>
  </w:footnote>
  <w:footnote w:id="6">
    <w:p w14:paraId="0E337B56" w14:textId="27998B3A" w:rsidR="00C44415" w:rsidRDefault="00C44415" w:rsidP="00ED66A1">
      <w:pPr>
        <w:pStyle w:val="FootnoteText"/>
        <w:tabs>
          <w:tab w:val="clear" w:pos="284"/>
          <w:tab w:val="left" w:pos="0"/>
        </w:tabs>
        <w:ind w:left="0" w:firstLine="0"/>
      </w:pPr>
      <w:r>
        <w:rPr>
          <w:rStyle w:val="FootnoteReference"/>
        </w:rPr>
        <w:footnoteRef/>
      </w:r>
      <w:r>
        <w:t xml:space="preserve"> The options listed expand on those discussed in </w:t>
      </w:r>
      <w:r>
        <w:rPr>
          <w:i/>
        </w:rPr>
        <w:t>Sydney Health Ethics: An Ethics Framework for Making Resource Allocation Decisions within Clinical Care: Responding to COVID-19</w:t>
      </w:r>
      <w:r>
        <w:t xml:space="preserve"> (University of Sydney 2020). </w:t>
      </w:r>
    </w:p>
  </w:footnote>
  <w:footnote w:id="7">
    <w:p w14:paraId="0886B320" w14:textId="4E086FE7" w:rsidR="00C44415" w:rsidRDefault="00C44415" w:rsidP="005B604C">
      <w:pPr>
        <w:pStyle w:val="FootnoteText"/>
        <w:tabs>
          <w:tab w:val="clear" w:pos="284"/>
          <w:tab w:val="left" w:pos="426"/>
        </w:tabs>
        <w:ind w:left="112" w:hanging="112"/>
      </w:pPr>
      <w:r>
        <w:rPr>
          <w:rStyle w:val="FootnoteReference"/>
        </w:rPr>
        <w:footnoteRef/>
      </w:r>
      <w:r>
        <w:t xml:space="preserve"> The recommendations in this section are based on information from </w:t>
      </w:r>
      <w:r w:rsidRPr="003E1235">
        <w:rPr>
          <w:i/>
          <w:noProof/>
        </w:rPr>
        <w:t>Ethical Framework and Recommendations for COVID-19 Resources Allocation When Scarcity is Anticipated</w:t>
      </w:r>
      <w:r>
        <w:t xml:space="preserve"> (University of Virginia Health System Ethics Committee 2020)</w:t>
      </w:r>
    </w:p>
  </w:footnote>
  <w:footnote w:id="8">
    <w:p w14:paraId="0744CEEC" w14:textId="15524497" w:rsidR="00C44415" w:rsidRDefault="00C44415">
      <w:pPr>
        <w:pStyle w:val="FootnoteText"/>
      </w:pPr>
      <w:r>
        <w:rPr>
          <w:rStyle w:val="FootnoteReference"/>
        </w:rPr>
        <w:footnoteRef/>
      </w:r>
      <w:r>
        <w:t xml:space="preserve"> See: </w:t>
      </w:r>
      <w:r w:rsidRPr="00C16215">
        <w:t>www.hdc.org.nz/your-rights/about-the-code/code-of-health-and-disability-services-consumers-rights/</w:t>
      </w:r>
    </w:p>
  </w:footnote>
  <w:footnote w:id="9">
    <w:p w14:paraId="6D0A0798" w14:textId="004BFF50" w:rsidR="00C44415" w:rsidRDefault="00C44415">
      <w:pPr>
        <w:pStyle w:val="FootnoteText"/>
      </w:pPr>
      <w:r>
        <w:rPr>
          <w:rStyle w:val="FootnoteReference"/>
        </w:rPr>
        <w:footnoteRef/>
      </w:r>
      <w:r>
        <w:t xml:space="preserve"> For specific guidance, </w:t>
      </w:r>
      <w:r w:rsidRPr="00E52F9C">
        <w:t xml:space="preserve">see </w:t>
      </w:r>
      <w:r w:rsidRPr="00EC1B6D">
        <w:t>WHO 2020</w:t>
      </w:r>
      <w:r>
        <w:rPr>
          <w:rStyle w:val="Hyperlink"/>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B2C05" w14:textId="54677B8B" w:rsidR="005928E7" w:rsidRDefault="005928E7">
    <w:pPr>
      <w:pStyle w:val="Header"/>
    </w:pPr>
    <w:r>
      <w:rPr>
        <w:noProof/>
        <w:lang w:eastAsia="en-NZ"/>
      </w:rPr>
      <mc:AlternateContent>
        <mc:Choice Requires="wps">
          <w:drawing>
            <wp:anchor distT="0" distB="0" distL="114300" distR="114300" simplePos="0" relativeHeight="251670528" behindDoc="0" locked="0" layoutInCell="1" allowOverlap="1" wp14:anchorId="20FB76F6" wp14:editId="1F416551">
              <wp:simplePos x="0" y="0"/>
              <wp:positionH relativeFrom="page">
                <wp:posOffset>431800</wp:posOffset>
              </wp:positionH>
              <wp:positionV relativeFrom="page">
                <wp:posOffset>431800</wp:posOffset>
              </wp:positionV>
              <wp:extent cx="4978800" cy="453600"/>
              <wp:effectExtent l="0" t="0" r="12700" b="3810"/>
              <wp:wrapNone/>
              <wp:docPr id="2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8800" cy="45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C155E" w14:textId="77777777" w:rsidR="005928E7" w:rsidRPr="00F13CC7" w:rsidRDefault="005928E7" w:rsidP="00282D27">
                          <w:pPr>
                            <w:pStyle w:val="Header"/>
                          </w:pPr>
                          <w:r w:rsidRPr="005D41BC">
                            <w:t>National Ethics Advisory Committee | Kāhui Matatika o te Motu</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0FB76F6" id="_x0000_t202" coordsize="21600,21600" o:spt="202" path="m,l,21600r21600,l21600,xe">
              <v:stroke joinstyle="miter"/>
              <v:path gradientshapeok="t" o:connecttype="rect"/>
            </v:shapetype>
            <v:shape id="Text Box 11" o:spid="_x0000_s1026" type="#_x0000_t202" style="position:absolute;margin-left:34pt;margin-top:34pt;width:392.05pt;height:35.7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" filled="f" stroked="f">
              <v:textbox inset="0,0,0,0">
                <w:txbxContent>
                  <w:p w14:paraId="4B1C155E" w14:textId="77777777" w:rsidR="005928E7" w:rsidRPr="00F13CC7" w:rsidRDefault="005928E7" w:rsidP="00282D27">
                    <w:pPr>
                      <w:pStyle w:val="Header"/>
                    </w:pPr>
                    <w:r w:rsidRPr="005D41BC">
                      <w:t>National Ethics Advisory Committee | Kāhui Matatika o te Motu</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0097A7" w14:textId="0725A543" w:rsidR="005928E7" w:rsidRDefault="005928E7">
    <w:pPr>
      <w:pStyle w:val="Header"/>
    </w:pPr>
    <w:r>
      <w:rPr>
        <w:noProof/>
        <w:lang w:eastAsia="en-NZ"/>
      </w:rPr>
      <w:drawing>
        <wp:anchor distT="0" distB="0" distL="114300" distR="114300" simplePos="0" relativeHeight="251704320" behindDoc="1" locked="0" layoutInCell="1" allowOverlap="1" wp14:anchorId="628739F8" wp14:editId="6C3D677D">
          <wp:simplePos x="0" y="0"/>
          <wp:positionH relativeFrom="column">
            <wp:posOffset>-1310185</wp:posOffset>
          </wp:positionH>
          <wp:positionV relativeFrom="page">
            <wp:posOffset>-512</wp:posOffset>
          </wp:positionV>
          <wp:extent cx="7560000" cy="10692000"/>
          <wp:effectExtent l="0" t="0" r="317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92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364BCC" w14:textId="58344DE2" w:rsidR="005928E7" w:rsidRDefault="005928E7">
    <w:pPr>
      <w:pStyle w:val="Header"/>
    </w:pPr>
    <w:r>
      <w:rPr>
        <w:noProof/>
        <w:lang w:eastAsia="en-NZ"/>
      </w:rPr>
      <w:drawing>
        <wp:anchor distT="0" distB="0" distL="114300" distR="114300" simplePos="0" relativeHeight="251658240" behindDoc="1" locked="0" layoutInCell="1" allowOverlap="1" wp14:anchorId="5FFD2724" wp14:editId="698EA82D">
          <wp:simplePos x="0" y="0"/>
          <wp:positionH relativeFrom="page">
            <wp:posOffset>11875</wp:posOffset>
          </wp:positionH>
          <wp:positionV relativeFrom="page">
            <wp:posOffset>1208</wp:posOffset>
          </wp:positionV>
          <wp:extent cx="7520400" cy="10635583"/>
          <wp:effectExtent l="0" t="0" r="4445" b="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20400" cy="1063558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15C8F" w14:textId="115D2B0C" w:rsidR="005928E7" w:rsidRDefault="005928E7">
    <w:pPr>
      <w:pStyle w:val="Header"/>
    </w:pPr>
    <w:r>
      <w:rPr>
        <w:noProof/>
        <w:lang w:eastAsia="en-NZ"/>
      </w:rPr>
      <mc:AlternateContent>
        <mc:Choice Requires="wps">
          <w:drawing>
            <wp:anchor distT="0" distB="0" distL="114300" distR="114300" simplePos="0" relativeHeight="251687936" behindDoc="1" locked="0" layoutInCell="1" allowOverlap="1" wp14:anchorId="27D89166" wp14:editId="3E491685">
              <wp:simplePos x="0" y="0"/>
              <wp:positionH relativeFrom="page">
                <wp:posOffset>434715</wp:posOffset>
              </wp:positionH>
              <wp:positionV relativeFrom="page">
                <wp:posOffset>434715</wp:posOffset>
              </wp:positionV>
              <wp:extent cx="4978800" cy="453600"/>
              <wp:effectExtent l="0" t="0" r="12700" b="3810"/>
              <wp:wrapNone/>
              <wp:docPr id="3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8800" cy="45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A8B5D" w14:textId="77777777" w:rsidR="005928E7" w:rsidRPr="00F13CC7" w:rsidRDefault="005928E7" w:rsidP="00282D27">
                          <w:pPr>
                            <w:pStyle w:val="Header"/>
                          </w:pPr>
                          <w:r w:rsidRPr="005D41BC">
                            <w:t>National Ethics Advisory Committee | Kāhui Matatika o te Motu</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7D89166" id="_x0000_t202" coordsize="21600,21600" o:spt="202" path="m,l,21600r21600,l21600,xe">
              <v:stroke joinstyle="miter"/>
              <v:path gradientshapeok="t" o:connecttype="rect"/>
            </v:shapetype>
            <v:shape id="_x0000_s1027" type="#_x0000_t202" style="position:absolute;margin-left:34.25pt;margin-top:34.25pt;width:392.05pt;height:35.7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" filled="f" stroked="f">
              <v:textbox inset="0,0,0,0">
                <w:txbxContent>
                  <w:p w14:paraId="474A8B5D" w14:textId="77777777" w:rsidR="005928E7" w:rsidRPr="00F13CC7" w:rsidRDefault="005928E7" w:rsidP="00282D27">
                    <w:pPr>
                      <w:pStyle w:val="Header"/>
                    </w:pPr>
                    <w:r w:rsidRPr="005D41BC">
                      <w:t>National Ethics Advisory Committee | Kāhui Matatika o te Motu</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69F39" w14:textId="352EE635" w:rsidR="005928E7" w:rsidRDefault="005928E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1734C5" w14:textId="6CDFCFFB" w:rsidR="005928E7" w:rsidRDefault="005928E7">
    <w:pPr>
      <w:pStyle w:val="Header"/>
    </w:pPr>
    <w:r>
      <w:rPr>
        <w:noProof/>
        <w:lang w:eastAsia="en-NZ"/>
      </w:rPr>
      <mc:AlternateContent>
        <mc:Choice Requires="wps">
          <w:drawing>
            <wp:anchor distT="0" distB="0" distL="114300" distR="114300" simplePos="0" relativeHeight="251661312" behindDoc="0" locked="0" layoutInCell="1" allowOverlap="1" wp14:anchorId="09CAEB7E" wp14:editId="613ABF14">
              <wp:simplePos x="0" y="0"/>
              <wp:positionH relativeFrom="page">
                <wp:posOffset>431800</wp:posOffset>
              </wp:positionH>
              <wp:positionV relativeFrom="page">
                <wp:posOffset>431800</wp:posOffset>
              </wp:positionV>
              <wp:extent cx="4978800" cy="453600"/>
              <wp:effectExtent l="0" t="0" r="12700" b="3810"/>
              <wp:wrapNone/>
              <wp:docPr id="3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8800" cy="45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E25CA" w14:textId="42A3BB59" w:rsidR="005928E7" w:rsidRPr="00F13CC7" w:rsidRDefault="005928E7" w:rsidP="005D41BC">
                          <w:pPr>
                            <w:pStyle w:val="Header"/>
                          </w:pPr>
                          <w:r w:rsidRPr="005D41BC">
                            <w:t>National Ethics Advisory Committee | Kāhui Matatika o te Motu</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9CAEB7E" id="_x0000_t202" coordsize="21600,21600" o:spt="202" path="m,l,21600r21600,l21600,xe">
              <v:stroke joinstyle="miter"/>
              <v:path gradientshapeok="t" o:connecttype="rect"/>
            </v:shapetype>
            <v:shape id="_x0000_s1029" type="#_x0000_t202" style="position:absolute;margin-left:34pt;margin-top:34pt;width:392.05pt;height:35.7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" filled="f" stroked="f">
              <v:textbox inset="0,0,0,0">
                <w:txbxContent>
                  <w:p w14:paraId="1B8E25CA" w14:textId="42A3BB59" w:rsidR="005928E7" w:rsidRPr="00F13CC7" w:rsidRDefault="005928E7" w:rsidP="005D41BC">
                    <w:pPr>
                      <w:pStyle w:val="Header"/>
                    </w:pPr>
                    <w:r w:rsidRPr="005D41BC">
                      <w:t>National Ethics Advisory Committee | Kāhui Matatika o te Motu</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43A07" w14:textId="208CAC64" w:rsidR="00C44415" w:rsidRPr="00CA3124" w:rsidRDefault="00C44415" w:rsidP="00CA31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192F0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F5EF82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4B8298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D84E6D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063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5DCD5A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48E602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FE40B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B203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B430A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9A0E1D"/>
    <w:multiLevelType w:val="hybridMultilevel"/>
    <w:tmpl w:val="3D52C8EC"/>
    <w:lvl w:ilvl="0" w:tplc="749CE642">
      <w:start w:val="1"/>
      <w:numFmt w:val="bullet"/>
      <w:pStyle w:val="TableBullet"/>
      <w:lvlText w:val=""/>
      <w:lvlJc w:val="left"/>
      <w:pPr>
        <w:ind w:left="720" w:hanging="360"/>
      </w:pPr>
      <w:rPr>
        <w:rFonts w:ascii="Symbol" w:hAnsi="Symbol" w:hint="default"/>
        <w:bCs w:val="0"/>
        <w:iCs w:val="0"/>
        <w:color w:val="auto"/>
        <w:sz w:val="16"/>
        <w:szCs w:val="20"/>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15:restartNumberingAfterBreak="0">
    <w:nsid w:val="0C5F442B"/>
    <w:multiLevelType w:val="hybridMultilevel"/>
    <w:tmpl w:val="B1CA10B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15:restartNumberingAfterBreak="0">
    <w:nsid w:val="0E434287"/>
    <w:multiLevelType w:val="multilevel"/>
    <w:tmpl w:val="194CDF46"/>
    <w:lvl w:ilvl="0">
      <w:start w:val="1"/>
      <w:numFmt w:val="decimal"/>
      <w:lvlText w:val="%1"/>
      <w:lvlJc w:val="left"/>
      <w:pPr>
        <w:ind w:left="709" w:hanging="709"/>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decimal"/>
      <w:lvlRestart w:val="1"/>
      <w:pStyle w:val="Number"/>
      <w:lvlText w:val="%1.%4"/>
      <w:lvlJc w:val="left"/>
      <w:pPr>
        <w:ind w:left="851" w:hanging="851"/>
      </w:pPr>
      <w:rPr>
        <w:rFonts w:hint="default"/>
      </w:rPr>
    </w:lvl>
    <w:lvl w:ilvl="4">
      <w:start w:val="1"/>
      <w:numFmt w:val="lowerLetter"/>
      <w:lvlText w:val="%1.%4.%5."/>
      <w:lvlJc w:val="right"/>
      <w:pPr>
        <w:ind w:left="1800" w:hanging="360"/>
      </w:pPr>
      <w:rPr>
        <w:rFonts w:hint="default"/>
        <w:i w:val="0"/>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31F1E52"/>
    <w:multiLevelType w:val="hybridMultilevel"/>
    <w:tmpl w:val="CFD84CC2"/>
    <w:lvl w:ilvl="0" w:tplc="0562DBA6">
      <w:start w:val="1"/>
      <w:numFmt w:val="bullet"/>
      <w:pStyle w:val="2ndlevelbulletdash"/>
      <w:lvlText w:val="–"/>
      <w:lvlJc w:val="left"/>
      <w:pPr>
        <w:ind w:left="1607" w:hanging="360"/>
      </w:pPr>
      <w:rPr>
        <w:rFonts w:ascii="Arial" w:eastAsia="Times New Roman" w:hAnsi="Arial" w:cs="Arial" w:hint="default"/>
      </w:rPr>
    </w:lvl>
    <w:lvl w:ilvl="1" w:tplc="14090003" w:tentative="1">
      <w:start w:val="1"/>
      <w:numFmt w:val="bullet"/>
      <w:lvlText w:val="o"/>
      <w:lvlJc w:val="left"/>
      <w:pPr>
        <w:ind w:left="2327" w:hanging="360"/>
      </w:pPr>
      <w:rPr>
        <w:rFonts w:ascii="Courier New" w:hAnsi="Courier New" w:cs="Courier New" w:hint="default"/>
      </w:rPr>
    </w:lvl>
    <w:lvl w:ilvl="2" w:tplc="14090005" w:tentative="1">
      <w:start w:val="1"/>
      <w:numFmt w:val="bullet"/>
      <w:lvlText w:val=""/>
      <w:lvlJc w:val="left"/>
      <w:pPr>
        <w:ind w:left="3047" w:hanging="360"/>
      </w:pPr>
      <w:rPr>
        <w:rFonts w:ascii="Wingdings" w:hAnsi="Wingdings" w:hint="default"/>
      </w:rPr>
    </w:lvl>
    <w:lvl w:ilvl="3" w:tplc="14090001" w:tentative="1">
      <w:start w:val="1"/>
      <w:numFmt w:val="bullet"/>
      <w:lvlText w:val=""/>
      <w:lvlJc w:val="left"/>
      <w:pPr>
        <w:ind w:left="3767" w:hanging="360"/>
      </w:pPr>
      <w:rPr>
        <w:rFonts w:ascii="Symbol" w:hAnsi="Symbol" w:hint="default"/>
      </w:rPr>
    </w:lvl>
    <w:lvl w:ilvl="4" w:tplc="14090003" w:tentative="1">
      <w:start w:val="1"/>
      <w:numFmt w:val="bullet"/>
      <w:lvlText w:val="o"/>
      <w:lvlJc w:val="left"/>
      <w:pPr>
        <w:ind w:left="4487" w:hanging="360"/>
      </w:pPr>
      <w:rPr>
        <w:rFonts w:ascii="Courier New" w:hAnsi="Courier New" w:cs="Courier New" w:hint="default"/>
      </w:rPr>
    </w:lvl>
    <w:lvl w:ilvl="5" w:tplc="14090005" w:tentative="1">
      <w:start w:val="1"/>
      <w:numFmt w:val="bullet"/>
      <w:lvlText w:val=""/>
      <w:lvlJc w:val="left"/>
      <w:pPr>
        <w:ind w:left="5207" w:hanging="360"/>
      </w:pPr>
      <w:rPr>
        <w:rFonts w:ascii="Wingdings" w:hAnsi="Wingdings" w:hint="default"/>
      </w:rPr>
    </w:lvl>
    <w:lvl w:ilvl="6" w:tplc="14090001" w:tentative="1">
      <w:start w:val="1"/>
      <w:numFmt w:val="bullet"/>
      <w:lvlText w:val=""/>
      <w:lvlJc w:val="left"/>
      <w:pPr>
        <w:ind w:left="5927" w:hanging="360"/>
      </w:pPr>
      <w:rPr>
        <w:rFonts w:ascii="Symbol" w:hAnsi="Symbol" w:hint="default"/>
      </w:rPr>
    </w:lvl>
    <w:lvl w:ilvl="7" w:tplc="14090003" w:tentative="1">
      <w:start w:val="1"/>
      <w:numFmt w:val="bullet"/>
      <w:lvlText w:val="o"/>
      <w:lvlJc w:val="left"/>
      <w:pPr>
        <w:ind w:left="6647" w:hanging="360"/>
      </w:pPr>
      <w:rPr>
        <w:rFonts w:ascii="Courier New" w:hAnsi="Courier New" w:cs="Courier New" w:hint="default"/>
      </w:rPr>
    </w:lvl>
    <w:lvl w:ilvl="8" w:tplc="14090005" w:tentative="1">
      <w:start w:val="1"/>
      <w:numFmt w:val="bullet"/>
      <w:lvlText w:val=""/>
      <w:lvlJc w:val="left"/>
      <w:pPr>
        <w:ind w:left="7367" w:hanging="360"/>
      </w:pPr>
      <w:rPr>
        <w:rFonts w:ascii="Wingdings" w:hAnsi="Wingdings" w:hint="default"/>
      </w:rPr>
    </w:lvl>
  </w:abstractNum>
  <w:abstractNum w:abstractNumId="14" w15:restartNumberingAfterBreak="0">
    <w:nsid w:val="244062C7"/>
    <w:multiLevelType w:val="hybridMultilevel"/>
    <w:tmpl w:val="8794CBC6"/>
    <w:lvl w:ilvl="0" w:tplc="E27E8690">
      <w:start w:val="1"/>
      <w:numFmt w:val="bullet"/>
      <w:pStyle w:val="BulletsNES"/>
      <w:lvlText w:val=""/>
      <w:lvlJc w:val="left"/>
      <w:pPr>
        <w:ind w:left="1400" w:hanging="360"/>
      </w:pPr>
      <w:rPr>
        <w:rFonts w:ascii="Wingdings 2" w:hAnsi="Wingdings 2" w:hint="default"/>
        <w:b/>
        <w:i w:val="0"/>
        <w:color w:val="C1D82F" w:themeColor="accent2"/>
        <w:w w:val="100"/>
        <w:sz w:val="20"/>
        <w:szCs w:val="15"/>
      </w:rPr>
    </w:lvl>
    <w:lvl w:ilvl="1" w:tplc="14090003">
      <w:start w:val="1"/>
      <w:numFmt w:val="bullet"/>
      <w:lvlText w:val="o"/>
      <w:lvlJc w:val="left"/>
      <w:pPr>
        <w:ind w:left="2120" w:hanging="360"/>
      </w:pPr>
      <w:rPr>
        <w:rFonts w:ascii="Courier New" w:hAnsi="Courier New" w:cs="Courier New" w:hint="default"/>
      </w:rPr>
    </w:lvl>
    <w:lvl w:ilvl="2" w:tplc="14090005" w:tentative="1">
      <w:start w:val="1"/>
      <w:numFmt w:val="bullet"/>
      <w:lvlText w:val=""/>
      <w:lvlJc w:val="left"/>
      <w:pPr>
        <w:ind w:left="2840" w:hanging="360"/>
      </w:pPr>
      <w:rPr>
        <w:rFonts w:ascii="Wingdings" w:hAnsi="Wingdings" w:hint="default"/>
      </w:rPr>
    </w:lvl>
    <w:lvl w:ilvl="3" w:tplc="14090001" w:tentative="1">
      <w:start w:val="1"/>
      <w:numFmt w:val="bullet"/>
      <w:lvlText w:val=""/>
      <w:lvlJc w:val="left"/>
      <w:pPr>
        <w:ind w:left="3560" w:hanging="360"/>
      </w:pPr>
      <w:rPr>
        <w:rFonts w:ascii="Symbol" w:hAnsi="Symbol" w:hint="default"/>
      </w:rPr>
    </w:lvl>
    <w:lvl w:ilvl="4" w:tplc="14090003" w:tentative="1">
      <w:start w:val="1"/>
      <w:numFmt w:val="bullet"/>
      <w:lvlText w:val="o"/>
      <w:lvlJc w:val="left"/>
      <w:pPr>
        <w:ind w:left="4280" w:hanging="360"/>
      </w:pPr>
      <w:rPr>
        <w:rFonts w:ascii="Courier New" w:hAnsi="Courier New" w:cs="Courier New" w:hint="default"/>
      </w:rPr>
    </w:lvl>
    <w:lvl w:ilvl="5" w:tplc="14090005" w:tentative="1">
      <w:start w:val="1"/>
      <w:numFmt w:val="bullet"/>
      <w:lvlText w:val=""/>
      <w:lvlJc w:val="left"/>
      <w:pPr>
        <w:ind w:left="5000" w:hanging="360"/>
      </w:pPr>
      <w:rPr>
        <w:rFonts w:ascii="Wingdings" w:hAnsi="Wingdings" w:hint="default"/>
      </w:rPr>
    </w:lvl>
    <w:lvl w:ilvl="6" w:tplc="14090001" w:tentative="1">
      <w:start w:val="1"/>
      <w:numFmt w:val="bullet"/>
      <w:lvlText w:val=""/>
      <w:lvlJc w:val="left"/>
      <w:pPr>
        <w:ind w:left="5720" w:hanging="360"/>
      </w:pPr>
      <w:rPr>
        <w:rFonts w:ascii="Symbol" w:hAnsi="Symbol" w:hint="default"/>
      </w:rPr>
    </w:lvl>
    <w:lvl w:ilvl="7" w:tplc="14090003" w:tentative="1">
      <w:start w:val="1"/>
      <w:numFmt w:val="bullet"/>
      <w:lvlText w:val="o"/>
      <w:lvlJc w:val="left"/>
      <w:pPr>
        <w:ind w:left="6440" w:hanging="360"/>
      </w:pPr>
      <w:rPr>
        <w:rFonts w:ascii="Courier New" w:hAnsi="Courier New" w:cs="Courier New" w:hint="default"/>
      </w:rPr>
    </w:lvl>
    <w:lvl w:ilvl="8" w:tplc="14090005" w:tentative="1">
      <w:start w:val="1"/>
      <w:numFmt w:val="bullet"/>
      <w:lvlText w:val=""/>
      <w:lvlJc w:val="left"/>
      <w:pPr>
        <w:ind w:left="7160" w:hanging="360"/>
      </w:pPr>
      <w:rPr>
        <w:rFonts w:ascii="Wingdings" w:hAnsi="Wingdings" w:hint="default"/>
      </w:rPr>
    </w:lvl>
  </w:abstractNum>
  <w:abstractNum w:abstractNumId="15" w15:restartNumberingAfterBreak="0">
    <w:nsid w:val="25142633"/>
    <w:multiLevelType w:val="hybridMultilevel"/>
    <w:tmpl w:val="096E461A"/>
    <w:lvl w:ilvl="0" w:tplc="ADAC1B0E">
      <w:start w:val="1"/>
      <w:numFmt w:val="bullet"/>
      <w:pStyle w:val="Tablebullets"/>
      <w:lvlText w:val=""/>
      <w:lvlJc w:val="left"/>
      <w:pPr>
        <w:ind w:left="720" w:hanging="360"/>
      </w:pPr>
      <w:rPr>
        <w:rFonts w:ascii="Wingdings 2" w:hAnsi="Wingdings 2" w:hint="default"/>
        <w:color w:val="C1D82F" w:themeColor="accent2"/>
        <w:sz w:val="1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2A1C4144"/>
    <w:multiLevelType w:val="hybridMultilevel"/>
    <w:tmpl w:val="22741412"/>
    <w:lvl w:ilvl="0" w:tplc="48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7" w15:restartNumberingAfterBreak="0">
    <w:nsid w:val="3E63155A"/>
    <w:multiLevelType w:val="multilevel"/>
    <w:tmpl w:val="8B30308A"/>
    <w:lvl w:ilvl="0">
      <w:start w:val="1"/>
      <w:numFmt w:val="decimal"/>
      <w:pStyle w:val="1Headingnumbered"/>
      <w:lvlText w:val="%1"/>
      <w:lvlJc w:val="left"/>
      <w:pPr>
        <w:ind w:left="680" w:hanging="680"/>
      </w:pPr>
      <w:rPr>
        <w:rFonts w:hint="default"/>
        <w:b w:val="0"/>
      </w:rPr>
    </w:lvl>
    <w:lvl w:ilvl="1">
      <w:start w:val="1"/>
      <w:numFmt w:val="decimal"/>
      <w:pStyle w:val="Numberedtextlinkedto1headingnumbered"/>
      <w:lvlText w:val="%1.%2"/>
      <w:lvlJc w:val="left"/>
      <w:pPr>
        <w:ind w:left="1304" w:hanging="624"/>
      </w:pPr>
      <w:rPr>
        <w:rFonts w:hint="default"/>
        <w:color w:val="4A4A4A" w:themeColor="text1"/>
        <w:spacing w:val="-4"/>
      </w:rPr>
    </w:lvl>
    <w:lvl w:ilvl="2">
      <w:start w:val="1"/>
      <w:numFmt w:val="lowerLetter"/>
      <w:pStyle w:val="Numbered"/>
      <w:lvlText w:val="%1.%2.%3"/>
      <w:lvlJc w:val="left"/>
      <w:pPr>
        <w:ind w:left="2098" w:hanging="794"/>
      </w:pPr>
      <w:rPr>
        <w:rFonts w:hint="default"/>
        <w:color w:val="4A4A4A" w:themeColor="text1"/>
        <w:spacing w:val="-6"/>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E660D71"/>
    <w:multiLevelType w:val="singleLevel"/>
    <w:tmpl w:val="059A57DE"/>
    <w:lvl w:ilvl="0">
      <w:start w:val="1"/>
      <w:numFmt w:val="bullet"/>
      <w:pStyle w:val="Bullet"/>
      <w:lvlText w:val=""/>
      <w:lvlJc w:val="left"/>
      <w:pPr>
        <w:tabs>
          <w:tab w:val="num" w:pos="1276"/>
        </w:tabs>
        <w:ind w:left="1276" w:hanging="567"/>
      </w:pPr>
      <w:rPr>
        <w:rFonts w:ascii="Symbol" w:hAnsi="Symbol" w:hint="default"/>
        <w:sz w:val="18"/>
      </w:rPr>
    </w:lvl>
  </w:abstractNum>
  <w:abstractNum w:abstractNumId="19" w15:restartNumberingAfterBreak="0">
    <w:nsid w:val="400E20E8"/>
    <w:multiLevelType w:val="hybridMultilevel"/>
    <w:tmpl w:val="FD9CE56E"/>
    <w:lvl w:ilvl="0" w:tplc="84F4142A">
      <w:start w:val="1"/>
      <w:numFmt w:val="bullet"/>
      <w:pStyle w:val="TableDash"/>
      <w:lvlText w:val="–"/>
      <w:lvlJc w:val="left"/>
      <w:pPr>
        <w:tabs>
          <w:tab w:val="num" w:pos="567"/>
        </w:tabs>
        <w:ind w:left="567" w:hanging="283"/>
      </w:pPr>
      <w:rPr>
        <w:rFonts w:ascii="Arial Mäori" w:hAnsi="Arial Mäori" w:hint="default"/>
        <w:color w:val="auto"/>
        <w:sz w:val="16"/>
        <w:szCs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034A69"/>
    <w:multiLevelType w:val="hybridMultilevel"/>
    <w:tmpl w:val="B0C05D2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57E81772"/>
    <w:multiLevelType w:val="hybridMultilevel"/>
    <w:tmpl w:val="38CC472C"/>
    <w:lvl w:ilvl="0" w:tplc="48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688D2C9E"/>
    <w:multiLevelType w:val="singleLevel"/>
    <w:tmpl w:val="976C8326"/>
    <w:lvl w:ilvl="0">
      <w:start w:val="1"/>
      <w:numFmt w:val="bullet"/>
      <w:pStyle w:val="BoxBullet"/>
      <w:lvlText w:val=""/>
      <w:lvlJc w:val="left"/>
      <w:pPr>
        <w:tabs>
          <w:tab w:val="num" w:pos="360"/>
        </w:tabs>
        <w:ind w:left="284" w:hanging="284"/>
      </w:pPr>
      <w:rPr>
        <w:rFonts w:ascii="Symbol" w:hAnsi="Symbol" w:hint="default"/>
        <w:sz w:val="18"/>
      </w:rPr>
    </w:lvl>
  </w:abstractNum>
  <w:abstractNum w:abstractNumId="23" w15:restartNumberingAfterBreak="0">
    <w:nsid w:val="6CCE5E39"/>
    <w:multiLevelType w:val="hybridMultilevel"/>
    <w:tmpl w:val="0E08CDAE"/>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4" w15:restartNumberingAfterBreak="0">
    <w:nsid w:val="6DE128B4"/>
    <w:multiLevelType w:val="hybridMultilevel"/>
    <w:tmpl w:val="55FAD3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5" w15:restartNumberingAfterBreak="0">
    <w:nsid w:val="6FC527AC"/>
    <w:multiLevelType w:val="hybridMultilevel"/>
    <w:tmpl w:val="7576ACA2"/>
    <w:lvl w:ilvl="0" w:tplc="4404A852">
      <w:start w:val="1"/>
      <w:numFmt w:val="bullet"/>
      <w:pStyle w:val="Dash"/>
      <w:lvlText w:val="–"/>
      <w:lvlJc w:val="left"/>
      <w:pPr>
        <w:ind w:left="1854" w:hanging="360"/>
      </w:pPr>
      <w:rPr>
        <w:rFonts w:ascii="Verdana" w:hAnsi="Verdana" w:hint="default"/>
        <w:b w:val="0"/>
        <w:i w:val="0"/>
        <w:color w:val="auto"/>
        <w:sz w:val="22"/>
        <w:szCs w:val="24"/>
      </w:rPr>
    </w:lvl>
    <w:lvl w:ilvl="1" w:tplc="14090003" w:tentative="1">
      <w:start w:val="1"/>
      <w:numFmt w:val="bullet"/>
      <w:lvlText w:val="o"/>
      <w:lvlJc w:val="left"/>
      <w:pPr>
        <w:ind w:left="2574" w:hanging="360"/>
      </w:pPr>
      <w:rPr>
        <w:rFonts w:ascii="Courier New" w:hAnsi="Courier New" w:cs="Courier New" w:hint="default"/>
      </w:rPr>
    </w:lvl>
    <w:lvl w:ilvl="2" w:tplc="14090005" w:tentative="1">
      <w:start w:val="1"/>
      <w:numFmt w:val="bullet"/>
      <w:lvlText w:val=""/>
      <w:lvlJc w:val="left"/>
      <w:pPr>
        <w:ind w:left="3294" w:hanging="360"/>
      </w:pPr>
      <w:rPr>
        <w:rFonts w:ascii="Wingdings" w:hAnsi="Wingdings" w:hint="default"/>
      </w:rPr>
    </w:lvl>
    <w:lvl w:ilvl="3" w:tplc="14090001" w:tentative="1">
      <w:start w:val="1"/>
      <w:numFmt w:val="bullet"/>
      <w:lvlText w:val=""/>
      <w:lvlJc w:val="left"/>
      <w:pPr>
        <w:ind w:left="4014" w:hanging="360"/>
      </w:pPr>
      <w:rPr>
        <w:rFonts w:ascii="Symbol" w:hAnsi="Symbol" w:hint="default"/>
      </w:rPr>
    </w:lvl>
    <w:lvl w:ilvl="4" w:tplc="14090003" w:tentative="1">
      <w:start w:val="1"/>
      <w:numFmt w:val="bullet"/>
      <w:lvlText w:val="o"/>
      <w:lvlJc w:val="left"/>
      <w:pPr>
        <w:ind w:left="4734" w:hanging="360"/>
      </w:pPr>
      <w:rPr>
        <w:rFonts w:ascii="Courier New" w:hAnsi="Courier New" w:cs="Courier New" w:hint="default"/>
      </w:rPr>
    </w:lvl>
    <w:lvl w:ilvl="5" w:tplc="14090005" w:tentative="1">
      <w:start w:val="1"/>
      <w:numFmt w:val="bullet"/>
      <w:lvlText w:val=""/>
      <w:lvlJc w:val="left"/>
      <w:pPr>
        <w:ind w:left="5454" w:hanging="360"/>
      </w:pPr>
      <w:rPr>
        <w:rFonts w:ascii="Wingdings" w:hAnsi="Wingdings" w:hint="default"/>
      </w:rPr>
    </w:lvl>
    <w:lvl w:ilvl="6" w:tplc="14090001" w:tentative="1">
      <w:start w:val="1"/>
      <w:numFmt w:val="bullet"/>
      <w:lvlText w:val=""/>
      <w:lvlJc w:val="left"/>
      <w:pPr>
        <w:ind w:left="6174" w:hanging="360"/>
      </w:pPr>
      <w:rPr>
        <w:rFonts w:ascii="Symbol" w:hAnsi="Symbol" w:hint="default"/>
      </w:rPr>
    </w:lvl>
    <w:lvl w:ilvl="7" w:tplc="14090003" w:tentative="1">
      <w:start w:val="1"/>
      <w:numFmt w:val="bullet"/>
      <w:lvlText w:val="o"/>
      <w:lvlJc w:val="left"/>
      <w:pPr>
        <w:ind w:left="6894" w:hanging="360"/>
      </w:pPr>
      <w:rPr>
        <w:rFonts w:ascii="Courier New" w:hAnsi="Courier New" w:cs="Courier New" w:hint="default"/>
      </w:rPr>
    </w:lvl>
    <w:lvl w:ilvl="8" w:tplc="14090005" w:tentative="1">
      <w:start w:val="1"/>
      <w:numFmt w:val="bullet"/>
      <w:lvlText w:val=""/>
      <w:lvlJc w:val="left"/>
      <w:pPr>
        <w:ind w:left="7614" w:hanging="360"/>
      </w:pPr>
      <w:rPr>
        <w:rFonts w:ascii="Wingdings" w:hAnsi="Wingdings" w:hint="default"/>
      </w:rPr>
    </w:lvl>
  </w:abstractNum>
  <w:abstractNum w:abstractNumId="26" w15:restartNumberingAfterBreak="0">
    <w:nsid w:val="795A3D89"/>
    <w:multiLevelType w:val="hybridMultilevel"/>
    <w:tmpl w:val="E18C3292"/>
    <w:lvl w:ilvl="0" w:tplc="48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8"/>
  </w:num>
  <w:num w:numId="2">
    <w:abstractNumId w:val="12"/>
  </w:num>
  <w:num w:numId="3">
    <w:abstractNumId w:val="22"/>
  </w:num>
  <w:num w:numId="4">
    <w:abstractNumId w:val="19"/>
  </w:num>
  <w:num w:numId="5">
    <w:abstractNumId w:val="25"/>
  </w:num>
  <w:num w:numId="6">
    <w:abstractNumId w:val="10"/>
  </w:num>
  <w:num w:numId="7">
    <w:abstractNumId w:val="14"/>
  </w:num>
  <w:num w:numId="8">
    <w:abstractNumId w:val="15"/>
  </w:num>
  <w:num w:numId="9">
    <w:abstractNumId w:val="17"/>
  </w:num>
  <w:num w:numId="10">
    <w:abstractNumId w:val="13"/>
  </w:num>
  <w:num w:numId="11">
    <w:abstractNumId w:val="20"/>
  </w:num>
  <w:num w:numId="12">
    <w:abstractNumId w:val="24"/>
  </w:num>
  <w:num w:numId="13">
    <w:abstractNumId w:val="26"/>
  </w:num>
  <w:num w:numId="14">
    <w:abstractNumId w:val="23"/>
  </w:num>
  <w:num w:numId="15">
    <w:abstractNumId w:val="21"/>
  </w:num>
  <w:num w:numId="16">
    <w:abstractNumId w:val="16"/>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1"/>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4"/>
  </w:num>
  <w:num w:numId="34">
    <w:abstractNumId w:val="14"/>
  </w:num>
  <w:num w:numId="35">
    <w:abstractNumId w:val="14"/>
  </w:num>
  <w:num w:numId="36">
    <w:abstractNumId w:val="14"/>
  </w:num>
  <w:num w:numId="37">
    <w:abstractNumId w:val="14"/>
  </w:num>
  <w:num w:numId="38">
    <w:abstractNumId w:val="14"/>
  </w:num>
  <w:num w:numId="39">
    <w:abstractNumId w:val="14"/>
  </w:num>
  <w:num w:numId="40">
    <w:abstractNumId w:val="9"/>
  </w:num>
  <w:num w:numId="41">
    <w:abstractNumId w:val="7"/>
  </w:num>
  <w:num w:numId="42">
    <w:abstractNumId w:val="6"/>
  </w:num>
  <w:num w:numId="43">
    <w:abstractNumId w:val="5"/>
  </w:num>
  <w:num w:numId="44">
    <w:abstractNumId w:val="4"/>
  </w:num>
  <w:num w:numId="45">
    <w:abstractNumId w:val="8"/>
  </w:num>
  <w:num w:numId="46">
    <w:abstractNumId w:val="3"/>
  </w:num>
  <w:num w:numId="47">
    <w:abstractNumId w:val="2"/>
  </w:num>
  <w:num w:numId="48">
    <w:abstractNumId w:val="1"/>
  </w:num>
  <w:num w:numId="49">
    <w:abstractNumId w:val="0"/>
  </w:num>
  <w:num w:numId="50">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trackedChanges" w:enforcement="0"/>
  <w:defaultTabStop w:val="680"/>
  <w:evenAndOddHeaders/>
  <w:characterSpacingControl w:val="doNotCompress"/>
  <w:hdrShapeDefaults>
    <o:shapedefaults v:ext="edit" spidmax="6145"/>
  </w:hdrShapeDefaults>
  <w:footnotePr>
    <w:footnote w:id="-1"/>
    <w:footnote w:id="0"/>
    <w:footnote w:id="1"/>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YwNjUwNbA0BBLmRko6SsGpxcWZ+XkgBUa1AI5cuHYsAAAA"/>
  </w:docVars>
  <w:rsids>
    <w:rsidRoot w:val="0008544F"/>
    <w:rsid w:val="00000415"/>
    <w:rsid w:val="0000120F"/>
    <w:rsid w:val="0000121C"/>
    <w:rsid w:val="0000184E"/>
    <w:rsid w:val="00001C47"/>
    <w:rsid w:val="00001E6C"/>
    <w:rsid w:val="00002286"/>
    <w:rsid w:val="0000236A"/>
    <w:rsid w:val="000028D2"/>
    <w:rsid w:val="00002D67"/>
    <w:rsid w:val="00002E2D"/>
    <w:rsid w:val="00003631"/>
    <w:rsid w:val="00003D6E"/>
    <w:rsid w:val="00004025"/>
    <w:rsid w:val="0000413E"/>
    <w:rsid w:val="000042DD"/>
    <w:rsid w:val="00004489"/>
    <w:rsid w:val="00006913"/>
    <w:rsid w:val="00006CAA"/>
    <w:rsid w:val="0000722A"/>
    <w:rsid w:val="00007312"/>
    <w:rsid w:val="00007E78"/>
    <w:rsid w:val="00010A00"/>
    <w:rsid w:val="0001192B"/>
    <w:rsid w:val="00012FB5"/>
    <w:rsid w:val="000143F2"/>
    <w:rsid w:val="00014C56"/>
    <w:rsid w:val="000155CB"/>
    <w:rsid w:val="00016E19"/>
    <w:rsid w:val="00016EA0"/>
    <w:rsid w:val="00017146"/>
    <w:rsid w:val="000203C7"/>
    <w:rsid w:val="00021629"/>
    <w:rsid w:val="000218EF"/>
    <w:rsid w:val="00022C15"/>
    <w:rsid w:val="00023E55"/>
    <w:rsid w:val="00024A1D"/>
    <w:rsid w:val="00024C14"/>
    <w:rsid w:val="000250B8"/>
    <w:rsid w:val="000258B4"/>
    <w:rsid w:val="00027B23"/>
    <w:rsid w:val="00027BEB"/>
    <w:rsid w:val="00027EEE"/>
    <w:rsid w:val="00030E11"/>
    <w:rsid w:val="0003135C"/>
    <w:rsid w:val="00031EEE"/>
    <w:rsid w:val="00032324"/>
    <w:rsid w:val="00032469"/>
    <w:rsid w:val="0003355B"/>
    <w:rsid w:val="00033990"/>
    <w:rsid w:val="0003433C"/>
    <w:rsid w:val="00035111"/>
    <w:rsid w:val="00035F37"/>
    <w:rsid w:val="0003610E"/>
    <w:rsid w:val="0003617F"/>
    <w:rsid w:val="0004057D"/>
    <w:rsid w:val="00040967"/>
    <w:rsid w:val="0004235A"/>
    <w:rsid w:val="000426AE"/>
    <w:rsid w:val="00043CAD"/>
    <w:rsid w:val="00044D73"/>
    <w:rsid w:val="000451DF"/>
    <w:rsid w:val="00045405"/>
    <w:rsid w:val="000457EB"/>
    <w:rsid w:val="000465B0"/>
    <w:rsid w:val="00046F91"/>
    <w:rsid w:val="0005004D"/>
    <w:rsid w:val="000503F2"/>
    <w:rsid w:val="0005056C"/>
    <w:rsid w:val="00050BEC"/>
    <w:rsid w:val="00050D6F"/>
    <w:rsid w:val="000521E6"/>
    <w:rsid w:val="000527DE"/>
    <w:rsid w:val="00055836"/>
    <w:rsid w:val="00055E29"/>
    <w:rsid w:val="00055E53"/>
    <w:rsid w:val="00055F01"/>
    <w:rsid w:val="000566AB"/>
    <w:rsid w:val="00057B4B"/>
    <w:rsid w:val="00057C49"/>
    <w:rsid w:val="00057E8A"/>
    <w:rsid w:val="0006057D"/>
    <w:rsid w:val="00060F36"/>
    <w:rsid w:val="00061293"/>
    <w:rsid w:val="000617FE"/>
    <w:rsid w:val="000619C8"/>
    <w:rsid w:val="00061AF2"/>
    <w:rsid w:val="00061D0D"/>
    <w:rsid w:val="00061DB0"/>
    <w:rsid w:val="000625EF"/>
    <w:rsid w:val="00062EE2"/>
    <w:rsid w:val="000636CC"/>
    <w:rsid w:val="00065113"/>
    <w:rsid w:val="00065484"/>
    <w:rsid w:val="000657BB"/>
    <w:rsid w:val="00065BE3"/>
    <w:rsid w:val="000669B0"/>
    <w:rsid w:val="00066D52"/>
    <w:rsid w:val="00066DF4"/>
    <w:rsid w:val="00066E68"/>
    <w:rsid w:val="00066F52"/>
    <w:rsid w:val="00067FC4"/>
    <w:rsid w:val="0007047B"/>
    <w:rsid w:val="0007065E"/>
    <w:rsid w:val="00070B22"/>
    <w:rsid w:val="00070C1D"/>
    <w:rsid w:val="0007144D"/>
    <w:rsid w:val="000722D0"/>
    <w:rsid w:val="00073B81"/>
    <w:rsid w:val="00075198"/>
    <w:rsid w:val="000753F5"/>
    <w:rsid w:val="00075B2A"/>
    <w:rsid w:val="00075CAD"/>
    <w:rsid w:val="00075CC3"/>
    <w:rsid w:val="00076EEA"/>
    <w:rsid w:val="00077F30"/>
    <w:rsid w:val="000801C8"/>
    <w:rsid w:val="00081EF0"/>
    <w:rsid w:val="0008236C"/>
    <w:rsid w:val="00083539"/>
    <w:rsid w:val="00084609"/>
    <w:rsid w:val="00084945"/>
    <w:rsid w:val="0008544F"/>
    <w:rsid w:val="00085740"/>
    <w:rsid w:val="00085CAB"/>
    <w:rsid w:val="00086624"/>
    <w:rsid w:val="00086A13"/>
    <w:rsid w:val="00087A90"/>
    <w:rsid w:val="00087EDA"/>
    <w:rsid w:val="0009091A"/>
    <w:rsid w:val="00090DC7"/>
    <w:rsid w:val="00090F30"/>
    <w:rsid w:val="00091826"/>
    <w:rsid w:val="00092557"/>
    <w:rsid w:val="00092C33"/>
    <w:rsid w:val="000931D1"/>
    <w:rsid w:val="00093D8B"/>
    <w:rsid w:val="00095075"/>
    <w:rsid w:val="000955EA"/>
    <w:rsid w:val="0009665D"/>
    <w:rsid w:val="00096A74"/>
    <w:rsid w:val="000A03D8"/>
    <w:rsid w:val="000A0452"/>
    <w:rsid w:val="000A1107"/>
    <w:rsid w:val="000A116C"/>
    <w:rsid w:val="000A26D0"/>
    <w:rsid w:val="000A2730"/>
    <w:rsid w:val="000A2EF7"/>
    <w:rsid w:val="000A376B"/>
    <w:rsid w:val="000A61DA"/>
    <w:rsid w:val="000A6D38"/>
    <w:rsid w:val="000A7978"/>
    <w:rsid w:val="000A7A35"/>
    <w:rsid w:val="000B02C1"/>
    <w:rsid w:val="000B0FF8"/>
    <w:rsid w:val="000B1A41"/>
    <w:rsid w:val="000B335A"/>
    <w:rsid w:val="000B3C8D"/>
    <w:rsid w:val="000B3DAD"/>
    <w:rsid w:val="000B3E50"/>
    <w:rsid w:val="000B41C4"/>
    <w:rsid w:val="000B4A9D"/>
    <w:rsid w:val="000B5C8D"/>
    <w:rsid w:val="000B60CA"/>
    <w:rsid w:val="000B6160"/>
    <w:rsid w:val="000B6252"/>
    <w:rsid w:val="000B6432"/>
    <w:rsid w:val="000B725F"/>
    <w:rsid w:val="000C086F"/>
    <w:rsid w:val="000C0B83"/>
    <w:rsid w:val="000C1666"/>
    <w:rsid w:val="000C216A"/>
    <w:rsid w:val="000C2193"/>
    <w:rsid w:val="000C2452"/>
    <w:rsid w:val="000C2B05"/>
    <w:rsid w:val="000C2B6B"/>
    <w:rsid w:val="000C30C3"/>
    <w:rsid w:val="000C501C"/>
    <w:rsid w:val="000C5F38"/>
    <w:rsid w:val="000C6028"/>
    <w:rsid w:val="000C60E5"/>
    <w:rsid w:val="000C7143"/>
    <w:rsid w:val="000C7262"/>
    <w:rsid w:val="000C7E12"/>
    <w:rsid w:val="000C7F1B"/>
    <w:rsid w:val="000D13BD"/>
    <w:rsid w:val="000D15AE"/>
    <w:rsid w:val="000D1B4C"/>
    <w:rsid w:val="000D2362"/>
    <w:rsid w:val="000D2387"/>
    <w:rsid w:val="000D3106"/>
    <w:rsid w:val="000D38CB"/>
    <w:rsid w:val="000D4B13"/>
    <w:rsid w:val="000D53B9"/>
    <w:rsid w:val="000D5E1A"/>
    <w:rsid w:val="000D60DB"/>
    <w:rsid w:val="000D6BF4"/>
    <w:rsid w:val="000D7824"/>
    <w:rsid w:val="000D79A9"/>
    <w:rsid w:val="000D7AC2"/>
    <w:rsid w:val="000D7CF8"/>
    <w:rsid w:val="000E0EB3"/>
    <w:rsid w:val="000E1AFF"/>
    <w:rsid w:val="000E22A6"/>
    <w:rsid w:val="000E2A34"/>
    <w:rsid w:val="000E3508"/>
    <w:rsid w:val="000E36A1"/>
    <w:rsid w:val="000E4498"/>
    <w:rsid w:val="000E4558"/>
    <w:rsid w:val="000E4FF3"/>
    <w:rsid w:val="000E5A12"/>
    <w:rsid w:val="000E6EB1"/>
    <w:rsid w:val="000E739E"/>
    <w:rsid w:val="000E74B4"/>
    <w:rsid w:val="000E7799"/>
    <w:rsid w:val="000F20BF"/>
    <w:rsid w:val="000F20CB"/>
    <w:rsid w:val="000F392A"/>
    <w:rsid w:val="000F459C"/>
    <w:rsid w:val="000F4D75"/>
    <w:rsid w:val="000F5D2C"/>
    <w:rsid w:val="000F5EB9"/>
    <w:rsid w:val="000F6553"/>
    <w:rsid w:val="000F7934"/>
    <w:rsid w:val="0010092F"/>
    <w:rsid w:val="00100ABA"/>
    <w:rsid w:val="001019B2"/>
    <w:rsid w:val="00101F8B"/>
    <w:rsid w:val="00102131"/>
    <w:rsid w:val="00103CA5"/>
    <w:rsid w:val="0010426A"/>
    <w:rsid w:val="00104395"/>
    <w:rsid w:val="0010446C"/>
    <w:rsid w:val="00105D18"/>
    <w:rsid w:val="0010652B"/>
    <w:rsid w:val="00106FD1"/>
    <w:rsid w:val="00107908"/>
    <w:rsid w:val="00110271"/>
    <w:rsid w:val="00110493"/>
    <w:rsid w:val="00111132"/>
    <w:rsid w:val="00111F38"/>
    <w:rsid w:val="0011394E"/>
    <w:rsid w:val="00113D97"/>
    <w:rsid w:val="00114D94"/>
    <w:rsid w:val="00115301"/>
    <w:rsid w:val="00115ACB"/>
    <w:rsid w:val="00115E68"/>
    <w:rsid w:val="00116A71"/>
    <w:rsid w:val="00117379"/>
    <w:rsid w:val="0011779C"/>
    <w:rsid w:val="00117ADB"/>
    <w:rsid w:val="00117F10"/>
    <w:rsid w:val="00120D3A"/>
    <w:rsid w:val="001214A3"/>
    <w:rsid w:val="001216E5"/>
    <w:rsid w:val="0012348E"/>
    <w:rsid w:val="001242E5"/>
    <w:rsid w:val="00124344"/>
    <w:rsid w:val="001257BB"/>
    <w:rsid w:val="001260AB"/>
    <w:rsid w:val="00126733"/>
    <w:rsid w:val="00126A30"/>
    <w:rsid w:val="00126C0C"/>
    <w:rsid w:val="001272FD"/>
    <w:rsid w:val="00130BB2"/>
    <w:rsid w:val="00130C68"/>
    <w:rsid w:val="001310AD"/>
    <w:rsid w:val="00131C9B"/>
    <w:rsid w:val="00132077"/>
    <w:rsid w:val="00132E1F"/>
    <w:rsid w:val="00132F48"/>
    <w:rsid w:val="00132FDE"/>
    <w:rsid w:val="001338F0"/>
    <w:rsid w:val="001347E0"/>
    <w:rsid w:val="0013537C"/>
    <w:rsid w:val="001368A9"/>
    <w:rsid w:val="00136D3B"/>
    <w:rsid w:val="00137587"/>
    <w:rsid w:val="001376D2"/>
    <w:rsid w:val="00137B60"/>
    <w:rsid w:val="00140B1D"/>
    <w:rsid w:val="00140C1C"/>
    <w:rsid w:val="001416D7"/>
    <w:rsid w:val="00141AE8"/>
    <w:rsid w:val="00141D26"/>
    <w:rsid w:val="00142BDA"/>
    <w:rsid w:val="00142C6F"/>
    <w:rsid w:val="00143172"/>
    <w:rsid w:val="00143C5B"/>
    <w:rsid w:val="00143DB4"/>
    <w:rsid w:val="00144E57"/>
    <w:rsid w:val="001452A5"/>
    <w:rsid w:val="00145CF0"/>
    <w:rsid w:val="00146442"/>
    <w:rsid w:val="001476B8"/>
    <w:rsid w:val="00147BDF"/>
    <w:rsid w:val="001501EB"/>
    <w:rsid w:val="001505CF"/>
    <w:rsid w:val="00150EA3"/>
    <w:rsid w:val="00150F02"/>
    <w:rsid w:val="0015159F"/>
    <w:rsid w:val="0015250D"/>
    <w:rsid w:val="00152A90"/>
    <w:rsid w:val="00152F69"/>
    <w:rsid w:val="001530B6"/>
    <w:rsid w:val="001533C2"/>
    <w:rsid w:val="0015364D"/>
    <w:rsid w:val="001546C4"/>
    <w:rsid w:val="001548A6"/>
    <w:rsid w:val="001550AB"/>
    <w:rsid w:val="00156336"/>
    <w:rsid w:val="00157B9C"/>
    <w:rsid w:val="001601DE"/>
    <w:rsid w:val="00160227"/>
    <w:rsid w:val="0016037E"/>
    <w:rsid w:val="001603C9"/>
    <w:rsid w:val="001617F4"/>
    <w:rsid w:val="00161C77"/>
    <w:rsid w:val="00161E97"/>
    <w:rsid w:val="00161FD6"/>
    <w:rsid w:val="0016289F"/>
    <w:rsid w:val="00162F1C"/>
    <w:rsid w:val="0016303D"/>
    <w:rsid w:val="00165578"/>
    <w:rsid w:val="0016692B"/>
    <w:rsid w:val="00166CDF"/>
    <w:rsid w:val="00166E60"/>
    <w:rsid w:val="00166E8D"/>
    <w:rsid w:val="0016715D"/>
    <w:rsid w:val="0016731F"/>
    <w:rsid w:val="00170862"/>
    <w:rsid w:val="00170D91"/>
    <w:rsid w:val="00171C9D"/>
    <w:rsid w:val="001722A7"/>
    <w:rsid w:val="0017333F"/>
    <w:rsid w:val="001739C4"/>
    <w:rsid w:val="00173A34"/>
    <w:rsid w:val="00173A58"/>
    <w:rsid w:val="00174446"/>
    <w:rsid w:val="00175CEE"/>
    <w:rsid w:val="0017721D"/>
    <w:rsid w:val="001776D1"/>
    <w:rsid w:val="00177CB2"/>
    <w:rsid w:val="00177F4F"/>
    <w:rsid w:val="00180A2A"/>
    <w:rsid w:val="0018189B"/>
    <w:rsid w:val="00182370"/>
    <w:rsid w:val="00182C8B"/>
    <w:rsid w:val="00183C0B"/>
    <w:rsid w:val="001843EF"/>
    <w:rsid w:val="001848EA"/>
    <w:rsid w:val="00184D84"/>
    <w:rsid w:val="0018542F"/>
    <w:rsid w:val="00185633"/>
    <w:rsid w:val="00185CD7"/>
    <w:rsid w:val="0018708B"/>
    <w:rsid w:val="0018709C"/>
    <w:rsid w:val="00190CE3"/>
    <w:rsid w:val="00190D80"/>
    <w:rsid w:val="00191563"/>
    <w:rsid w:val="00192445"/>
    <w:rsid w:val="001926E3"/>
    <w:rsid w:val="00192FC0"/>
    <w:rsid w:val="00193BF5"/>
    <w:rsid w:val="00194143"/>
    <w:rsid w:val="001948F2"/>
    <w:rsid w:val="001950B8"/>
    <w:rsid w:val="001959F3"/>
    <w:rsid w:val="00195C2D"/>
    <w:rsid w:val="00196C0F"/>
    <w:rsid w:val="0019750E"/>
    <w:rsid w:val="00197BA5"/>
    <w:rsid w:val="001A0221"/>
    <w:rsid w:val="001A0CC8"/>
    <w:rsid w:val="001A0FC8"/>
    <w:rsid w:val="001A134E"/>
    <w:rsid w:val="001A1355"/>
    <w:rsid w:val="001A219C"/>
    <w:rsid w:val="001A30F1"/>
    <w:rsid w:val="001A382A"/>
    <w:rsid w:val="001A3D5C"/>
    <w:rsid w:val="001A473B"/>
    <w:rsid w:val="001A4FEC"/>
    <w:rsid w:val="001A4FFD"/>
    <w:rsid w:val="001A5176"/>
    <w:rsid w:val="001B047D"/>
    <w:rsid w:val="001B0DFB"/>
    <w:rsid w:val="001B0ED6"/>
    <w:rsid w:val="001B10ED"/>
    <w:rsid w:val="001B1C4D"/>
    <w:rsid w:val="001B2595"/>
    <w:rsid w:val="001B32A9"/>
    <w:rsid w:val="001B34C3"/>
    <w:rsid w:val="001B3735"/>
    <w:rsid w:val="001B3D44"/>
    <w:rsid w:val="001B44CA"/>
    <w:rsid w:val="001B4DDD"/>
    <w:rsid w:val="001B54E8"/>
    <w:rsid w:val="001B60F6"/>
    <w:rsid w:val="001B6FF9"/>
    <w:rsid w:val="001B7786"/>
    <w:rsid w:val="001B7C00"/>
    <w:rsid w:val="001C0934"/>
    <w:rsid w:val="001C1315"/>
    <w:rsid w:val="001C1A89"/>
    <w:rsid w:val="001C2399"/>
    <w:rsid w:val="001C396A"/>
    <w:rsid w:val="001C47C5"/>
    <w:rsid w:val="001C49E8"/>
    <w:rsid w:val="001C5099"/>
    <w:rsid w:val="001C5427"/>
    <w:rsid w:val="001C55EE"/>
    <w:rsid w:val="001C5B2D"/>
    <w:rsid w:val="001C5FC7"/>
    <w:rsid w:val="001C61FC"/>
    <w:rsid w:val="001C62F9"/>
    <w:rsid w:val="001C7097"/>
    <w:rsid w:val="001C74B7"/>
    <w:rsid w:val="001C7F5C"/>
    <w:rsid w:val="001D1000"/>
    <w:rsid w:val="001D105A"/>
    <w:rsid w:val="001D115E"/>
    <w:rsid w:val="001D2488"/>
    <w:rsid w:val="001D2C3E"/>
    <w:rsid w:val="001D358E"/>
    <w:rsid w:val="001D36C7"/>
    <w:rsid w:val="001D3BAF"/>
    <w:rsid w:val="001D59AE"/>
    <w:rsid w:val="001D5A0D"/>
    <w:rsid w:val="001D6053"/>
    <w:rsid w:val="001D6A47"/>
    <w:rsid w:val="001D6E59"/>
    <w:rsid w:val="001D6F5C"/>
    <w:rsid w:val="001D7B39"/>
    <w:rsid w:val="001E00FD"/>
    <w:rsid w:val="001E02C7"/>
    <w:rsid w:val="001E0A9D"/>
    <w:rsid w:val="001E0BBD"/>
    <w:rsid w:val="001E18A0"/>
    <w:rsid w:val="001E2282"/>
    <w:rsid w:val="001E2923"/>
    <w:rsid w:val="001E36C9"/>
    <w:rsid w:val="001E3778"/>
    <w:rsid w:val="001E39F4"/>
    <w:rsid w:val="001E3F36"/>
    <w:rsid w:val="001E4B25"/>
    <w:rsid w:val="001E64C4"/>
    <w:rsid w:val="001E6BA6"/>
    <w:rsid w:val="001E70B8"/>
    <w:rsid w:val="001E7309"/>
    <w:rsid w:val="001E73B9"/>
    <w:rsid w:val="001E752E"/>
    <w:rsid w:val="001E7933"/>
    <w:rsid w:val="001E7DC0"/>
    <w:rsid w:val="001F01E6"/>
    <w:rsid w:val="001F0431"/>
    <w:rsid w:val="001F04D6"/>
    <w:rsid w:val="001F0865"/>
    <w:rsid w:val="001F1AF8"/>
    <w:rsid w:val="001F2848"/>
    <w:rsid w:val="001F2D3F"/>
    <w:rsid w:val="001F3220"/>
    <w:rsid w:val="001F3478"/>
    <w:rsid w:val="001F392E"/>
    <w:rsid w:val="001F3A6E"/>
    <w:rsid w:val="001F5826"/>
    <w:rsid w:val="001F5C18"/>
    <w:rsid w:val="001F65BB"/>
    <w:rsid w:val="001F6E65"/>
    <w:rsid w:val="001F6F77"/>
    <w:rsid w:val="00200172"/>
    <w:rsid w:val="0020061B"/>
    <w:rsid w:val="00200952"/>
    <w:rsid w:val="00200CFD"/>
    <w:rsid w:val="00201351"/>
    <w:rsid w:val="002040C1"/>
    <w:rsid w:val="002041B1"/>
    <w:rsid w:val="00204583"/>
    <w:rsid w:val="002049A0"/>
    <w:rsid w:val="00204A48"/>
    <w:rsid w:val="00204B30"/>
    <w:rsid w:val="00206123"/>
    <w:rsid w:val="00207C9C"/>
    <w:rsid w:val="00211358"/>
    <w:rsid w:val="00212004"/>
    <w:rsid w:val="00212177"/>
    <w:rsid w:val="002121FC"/>
    <w:rsid w:val="00213FB9"/>
    <w:rsid w:val="00214FC3"/>
    <w:rsid w:val="00216A63"/>
    <w:rsid w:val="00216BE2"/>
    <w:rsid w:val="0021768D"/>
    <w:rsid w:val="00217989"/>
    <w:rsid w:val="00217E00"/>
    <w:rsid w:val="0022006C"/>
    <w:rsid w:val="0022125A"/>
    <w:rsid w:val="00221CF4"/>
    <w:rsid w:val="00221FEE"/>
    <w:rsid w:val="0022389F"/>
    <w:rsid w:val="00225BB0"/>
    <w:rsid w:val="00226065"/>
    <w:rsid w:val="00226474"/>
    <w:rsid w:val="00226582"/>
    <w:rsid w:val="0022787C"/>
    <w:rsid w:val="00227CF4"/>
    <w:rsid w:val="002304E5"/>
    <w:rsid w:val="00230F2A"/>
    <w:rsid w:val="00231443"/>
    <w:rsid w:val="002326C0"/>
    <w:rsid w:val="00232BE2"/>
    <w:rsid w:val="0023316C"/>
    <w:rsid w:val="00233DD0"/>
    <w:rsid w:val="00233F0B"/>
    <w:rsid w:val="00234D1B"/>
    <w:rsid w:val="00234EDB"/>
    <w:rsid w:val="00235D2E"/>
    <w:rsid w:val="00235D61"/>
    <w:rsid w:val="002366B9"/>
    <w:rsid w:val="00237FEC"/>
    <w:rsid w:val="00240377"/>
    <w:rsid w:val="00240B89"/>
    <w:rsid w:val="00240EBC"/>
    <w:rsid w:val="00241030"/>
    <w:rsid w:val="0024105F"/>
    <w:rsid w:val="00242212"/>
    <w:rsid w:val="00242880"/>
    <w:rsid w:val="00242CC1"/>
    <w:rsid w:val="00242F90"/>
    <w:rsid w:val="0024350A"/>
    <w:rsid w:val="0024375F"/>
    <w:rsid w:val="00243C53"/>
    <w:rsid w:val="002448B5"/>
    <w:rsid w:val="00245473"/>
    <w:rsid w:val="00245978"/>
    <w:rsid w:val="00245A3E"/>
    <w:rsid w:val="00245EDE"/>
    <w:rsid w:val="002462E6"/>
    <w:rsid w:val="002462F3"/>
    <w:rsid w:val="002464F7"/>
    <w:rsid w:val="002466C6"/>
    <w:rsid w:val="002469FD"/>
    <w:rsid w:val="00246BDC"/>
    <w:rsid w:val="0025037E"/>
    <w:rsid w:val="00250527"/>
    <w:rsid w:val="00250A0A"/>
    <w:rsid w:val="00251472"/>
    <w:rsid w:val="002518CA"/>
    <w:rsid w:val="002529E6"/>
    <w:rsid w:val="00252FC2"/>
    <w:rsid w:val="00253274"/>
    <w:rsid w:val="00253B1B"/>
    <w:rsid w:val="002540F7"/>
    <w:rsid w:val="00254F18"/>
    <w:rsid w:val="002555C4"/>
    <w:rsid w:val="0025771E"/>
    <w:rsid w:val="00257C52"/>
    <w:rsid w:val="00257E18"/>
    <w:rsid w:val="002601AF"/>
    <w:rsid w:val="00261142"/>
    <w:rsid w:val="00261E11"/>
    <w:rsid w:val="00262191"/>
    <w:rsid w:val="002627D3"/>
    <w:rsid w:val="00262B77"/>
    <w:rsid w:val="00262D2C"/>
    <w:rsid w:val="00263E8B"/>
    <w:rsid w:val="002652FA"/>
    <w:rsid w:val="00265C77"/>
    <w:rsid w:val="0026664E"/>
    <w:rsid w:val="002672F9"/>
    <w:rsid w:val="002676D2"/>
    <w:rsid w:val="002679B8"/>
    <w:rsid w:val="0027015B"/>
    <w:rsid w:val="002704A6"/>
    <w:rsid w:val="00270894"/>
    <w:rsid w:val="00270CCA"/>
    <w:rsid w:val="00271F94"/>
    <w:rsid w:val="002723EE"/>
    <w:rsid w:val="0027245B"/>
    <w:rsid w:val="00272624"/>
    <w:rsid w:val="00272CAC"/>
    <w:rsid w:val="0027357D"/>
    <w:rsid w:val="0027390D"/>
    <w:rsid w:val="00274AA6"/>
    <w:rsid w:val="00274D2B"/>
    <w:rsid w:val="002753BD"/>
    <w:rsid w:val="0027544F"/>
    <w:rsid w:val="00275572"/>
    <w:rsid w:val="0027562C"/>
    <w:rsid w:val="00275824"/>
    <w:rsid w:val="00276A1B"/>
    <w:rsid w:val="00277D37"/>
    <w:rsid w:val="0028070F"/>
    <w:rsid w:val="00281122"/>
    <w:rsid w:val="002811EE"/>
    <w:rsid w:val="00281894"/>
    <w:rsid w:val="00282D27"/>
    <w:rsid w:val="00282FA2"/>
    <w:rsid w:val="0028372E"/>
    <w:rsid w:val="00283B53"/>
    <w:rsid w:val="00283EA5"/>
    <w:rsid w:val="002840B4"/>
    <w:rsid w:val="00284134"/>
    <w:rsid w:val="002844E7"/>
    <w:rsid w:val="00286078"/>
    <w:rsid w:val="002869F3"/>
    <w:rsid w:val="00287271"/>
    <w:rsid w:val="00287D14"/>
    <w:rsid w:val="00291639"/>
    <w:rsid w:val="00291668"/>
    <w:rsid w:val="00292E5E"/>
    <w:rsid w:val="00292FDB"/>
    <w:rsid w:val="0029310B"/>
    <w:rsid w:val="00293B9F"/>
    <w:rsid w:val="00293DBC"/>
    <w:rsid w:val="00294505"/>
    <w:rsid w:val="0029595B"/>
    <w:rsid w:val="00295E70"/>
    <w:rsid w:val="002969A4"/>
    <w:rsid w:val="0029758A"/>
    <w:rsid w:val="00297A01"/>
    <w:rsid w:val="002A0266"/>
    <w:rsid w:val="002A06D6"/>
    <w:rsid w:val="002A0DAD"/>
    <w:rsid w:val="002A14E2"/>
    <w:rsid w:val="002A1AB3"/>
    <w:rsid w:val="002A212A"/>
    <w:rsid w:val="002A26B4"/>
    <w:rsid w:val="002A2CF8"/>
    <w:rsid w:val="002A3B93"/>
    <w:rsid w:val="002A3F9C"/>
    <w:rsid w:val="002A49D5"/>
    <w:rsid w:val="002A5D52"/>
    <w:rsid w:val="002A665A"/>
    <w:rsid w:val="002A66C4"/>
    <w:rsid w:val="002A67CD"/>
    <w:rsid w:val="002A6C12"/>
    <w:rsid w:val="002A6CB2"/>
    <w:rsid w:val="002A6CDE"/>
    <w:rsid w:val="002A767A"/>
    <w:rsid w:val="002A7B29"/>
    <w:rsid w:val="002B0C29"/>
    <w:rsid w:val="002B0D5E"/>
    <w:rsid w:val="002B0FA9"/>
    <w:rsid w:val="002B187A"/>
    <w:rsid w:val="002B1D98"/>
    <w:rsid w:val="002B2CA7"/>
    <w:rsid w:val="002B35FF"/>
    <w:rsid w:val="002B4525"/>
    <w:rsid w:val="002B4F1D"/>
    <w:rsid w:val="002B59F3"/>
    <w:rsid w:val="002B6D40"/>
    <w:rsid w:val="002B7EB0"/>
    <w:rsid w:val="002C0436"/>
    <w:rsid w:val="002C12AC"/>
    <w:rsid w:val="002C17F4"/>
    <w:rsid w:val="002C206B"/>
    <w:rsid w:val="002C2076"/>
    <w:rsid w:val="002C21E6"/>
    <w:rsid w:val="002C2CE6"/>
    <w:rsid w:val="002C3677"/>
    <w:rsid w:val="002C3AED"/>
    <w:rsid w:val="002C3B95"/>
    <w:rsid w:val="002C3BF3"/>
    <w:rsid w:val="002C403A"/>
    <w:rsid w:val="002C47F5"/>
    <w:rsid w:val="002C505D"/>
    <w:rsid w:val="002C51CD"/>
    <w:rsid w:val="002C5353"/>
    <w:rsid w:val="002C53AA"/>
    <w:rsid w:val="002C5756"/>
    <w:rsid w:val="002C61BD"/>
    <w:rsid w:val="002C6D78"/>
    <w:rsid w:val="002C77E5"/>
    <w:rsid w:val="002C7A51"/>
    <w:rsid w:val="002D1E70"/>
    <w:rsid w:val="002D226F"/>
    <w:rsid w:val="002D24CF"/>
    <w:rsid w:val="002D2635"/>
    <w:rsid w:val="002D2B69"/>
    <w:rsid w:val="002D2D17"/>
    <w:rsid w:val="002D3C1C"/>
    <w:rsid w:val="002D586D"/>
    <w:rsid w:val="002D5B85"/>
    <w:rsid w:val="002D635F"/>
    <w:rsid w:val="002D6A8D"/>
    <w:rsid w:val="002D6DC2"/>
    <w:rsid w:val="002D7436"/>
    <w:rsid w:val="002D7578"/>
    <w:rsid w:val="002D75F3"/>
    <w:rsid w:val="002E06FC"/>
    <w:rsid w:val="002E0F52"/>
    <w:rsid w:val="002E120B"/>
    <w:rsid w:val="002E246B"/>
    <w:rsid w:val="002E279C"/>
    <w:rsid w:val="002E296B"/>
    <w:rsid w:val="002E2B28"/>
    <w:rsid w:val="002E2CA0"/>
    <w:rsid w:val="002E32F5"/>
    <w:rsid w:val="002E3CDC"/>
    <w:rsid w:val="002E401B"/>
    <w:rsid w:val="002E40B7"/>
    <w:rsid w:val="002E4455"/>
    <w:rsid w:val="002E46B2"/>
    <w:rsid w:val="002E5632"/>
    <w:rsid w:val="002E5699"/>
    <w:rsid w:val="002E572C"/>
    <w:rsid w:val="002E57C3"/>
    <w:rsid w:val="002E589D"/>
    <w:rsid w:val="002E68CA"/>
    <w:rsid w:val="002E7737"/>
    <w:rsid w:val="002F055E"/>
    <w:rsid w:val="002F0BB4"/>
    <w:rsid w:val="002F0F04"/>
    <w:rsid w:val="002F123E"/>
    <w:rsid w:val="002F1623"/>
    <w:rsid w:val="002F1A05"/>
    <w:rsid w:val="002F1DCA"/>
    <w:rsid w:val="002F25F5"/>
    <w:rsid w:val="002F302C"/>
    <w:rsid w:val="002F3085"/>
    <w:rsid w:val="002F314F"/>
    <w:rsid w:val="002F34FF"/>
    <w:rsid w:val="002F355D"/>
    <w:rsid w:val="002F510E"/>
    <w:rsid w:val="002F5134"/>
    <w:rsid w:val="002F582B"/>
    <w:rsid w:val="002F63E7"/>
    <w:rsid w:val="002F6551"/>
    <w:rsid w:val="002F6EAE"/>
    <w:rsid w:val="002F6FDE"/>
    <w:rsid w:val="002F7478"/>
    <w:rsid w:val="00300090"/>
    <w:rsid w:val="003003E8"/>
    <w:rsid w:val="003005F1"/>
    <w:rsid w:val="00300ECB"/>
    <w:rsid w:val="00301BF9"/>
    <w:rsid w:val="0030218B"/>
    <w:rsid w:val="00302385"/>
    <w:rsid w:val="00302A4E"/>
    <w:rsid w:val="00302AEC"/>
    <w:rsid w:val="00302E71"/>
    <w:rsid w:val="003037CE"/>
    <w:rsid w:val="00303E8D"/>
    <w:rsid w:val="00304C10"/>
    <w:rsid w:val="00304CBD"/>
    <w:rsid w:val="003050A8"/>
    <w:rsid w:val="003066F8"/>
    <w:rsid w:val="003073EC"/>
    <w:rsid w:val="00307D63"/>
    <w:rsid w:val="003111DD"/>
    <w:rsid w:val="00311312"/>
    <w:rsid w:val="003126F4"/>
    <w:rsid w:val="0031332C"/>
    <w:rsid w:val="00313640"/>
    <w:rsid w:val="00314B67"/>
    <w:rsid w:val="0031540F"/>
    <w:rsid w:val="00315E04"/>
    <w:rsid w:val="0031618E"/>
    <w:rsid w:val="00316659"/>
    <w:rsid w:val="003172C0"/>
    <w:rsid w:val="003179AA"/>
    <w:rsid w:val="00317F45"/>
    <w:rsid w:val="00320B89"/>
    <w:rsid w:val="00321101"/>
    <w:rsid w:val="00321644"/>
    <w:rsid w:val="0032167F"/>
    <w:rsid w:val="003219D9"/>
    <w:rsid w:val="0032215A"/>
    <w:rsid w:val="0032297D"/>
    <w:rsid w:val="00322B57"/>
    <w:rsid w:val="003232D0"/>
    <w:rsid w:val="00323ED0"/>
    <w:rsid w:val="0032408C"/>
    <w:rsid w:val="003240AD"/>
    <w:rsid w:val="003249CB"/>
    <w:rsid w:val="00325584"/>
    <w:rsid w:val="00326278"/>
    <w:rsid w:val="00326471"/>
    <w:rsid w:val="00326700"/>
    <w:rsid w:val="0032692A"/>
    <w:rsid w:val="00327D06"/>
    <w:rsid w:val="00331749"/>
    <w:rsid w:val="00331F82"/>
    <w:rsid w:val="0033240A"/>
    <w:rsid w:val="003329E9"/>
    <w:rsid w:val="00332D64"/>
    <w:rsid w:val="00334538"/>
    <w:rsid w:val="003348D1"/>
    <w:rsid w:val="00334A8A"/>
    <w:rsid w:val="00334EB7"/>
    <w:rsid w:val="003354B3"/>
    <w:rsid w:val="00336521"/>
    <w:rsid w:val="003376CC"/>
    <w:rsid w:val="003379EB"/>
    <w:rsid w:val="00337DF2"/>
    <w:rsid w:val="00337F98"/>
    <w:rsid w:val="00340429"/>
    <w:rsid w:val="00341AD3"/>
    <w:rsid w:val="00342FF2"/>
    <w:rsid w:val="00344533"/>
    <w:rsid w:val="00344CD0"/>
    <w:rsid w:val="00345780"/>
    <w:rsid w:val="00345ECA"/>
    <w:rsid w:val="00346474"/>
    <w:rsid w:val="00346F9E"/>
    <w:rsid w:val="00347581"/>
    <w:rsid w:val="00347676"/>
    <w:rsid w:val="00347839"/>
    <w:rsid w:val="0035097F"/>
    <w:rsid w:val="00351581"/>
    <w:rsid w:val="0035269C"/>
    <w:rsid w:val="003528DA"/>
    <w:rsid w:val="00352A05"/>
    <w:rsid w:val="00352A56"/>
    <w:rsid w:val="00354F35"/>
    <w:rsid w:val="0035644A"/>
    <w:rsid w:val="00356B42"/>
    <w:rsid w:val="003577D0"/>
    <w:rsid w:val="00357FF4"/>
    <w:rsid w:val="00360785"/>
    <w:rsid w:val="003611FF"/>
    <w:rsid w:val="0036140B"/>
    <w:rsid w:val="0036181E"/>
    <w:rsid w:val="00361D92"/>
    <w:rsid w:val="00361E86"/>
    <w:rsid w:val="00362657"/>
    <w:rsid w:val="00363152"/>
    <w:rsid w:val="003632F8"/>
    <w:rsid w:val="003637F1"/>
    <w:rsid w:val="00363CBB"/>
    <w:rsid w:val="00363EFA"/>
    <w:rsid w:val="003646D7"/>
    <w:rsid w:val="0036497D"/>
    <w:rsid w:val="00364A2F"/>
    <w:rsid w:val="0036584F"/>
    <w:rsid w:val="003664A6"/>
    <w:rsid w:val="003701F1"/>
    <w:rsid w:val="0037030B"/>
    <w:rsid w:val="0037042C"/>
    <w:rsid w:val="00370EE3"/>
    <w:rsid w:val="00371BA9"/>
    <w:rsid w:val="00371C5D"/>
    <w:rsid w:val="00371C78"/>
    <w:rsid w:val="003721B6"/>
    <w:rsid w:val="00372437"/>
    <w:rsid w:val="0037341A"/>
    <w:rsid w:val="00373B41"/>
    <w:rsid w:val="00373C96"/>
    <w:rsid w:val="00373E7F"/>
    <w:rsid w:val="0037429D"/>
    <w:rsid w:val="00374B30"/>
    <w:rsid w:val="00374C55"/>
    <w:rsid w:val="00374E3C"/>
    <w:rsid w:val="00374FA4"/>
    <w:rsid w:val="0037558F"/>
    <w:rsid w:val="00375EC4"/>
    <w:rsid w:val="00375F77"/>
    <w:rsid w:val="003764D3"/>
    <w:rsid w:val="00376AF3"/>
    <w:rsid w:val="0037741E"/>
    <w:rsid w:val="003802D9"/>
    <w:rsid w:val="003809CC"/>
    <w:rsid w:val="00381B4F"/>
    <w:rsid w:val="00381CF5"/>
    <w:rsid w:val="00381D2B"/>
    <w:rsid w:val="00381F40"/>
    <w:rsid w:val="00382117"/>
    <w:rsid w:val="003822D4"/>
    <w:rsid w:val="0038480E"/>
    <w:rsid w:val="00384A2A"/>
    <w:rsid w:val="00384A8C"/>
    <w:rsid w:val="003853DB"/>
    <w:rsid w:val="00385495"/>
    <w:rsid w:val="003855BD"/>
    <w:rsid w:val="00386437"/>
    <w:rsid w:val="003864DE"/>
    <w:rsid w:val="0038722C"/>
    <w:rsid w:val="003874D5"/>
    <w:rsid w:val="00387B5C"/>
    <w:rsid w:val="00387BE5"/>
    <w:rsid w:val="0039011E"/>
    <w:rsid w:val="003906B0"/>
    <w:rsid w:val="00390CD4"/>
    <w:rsid w:val="00390E56"/>
    <w:rsid w:val="003913A5"/>
    <w:rsid w:val="00391954"/>
    <w:rsid w:val="003920BC"/>
    <w:rsid w:val="00392657"/>
    <w:rsid w:val="00392A66"/>
    <w:rsid w:val="00393098"/>
    <w:rsid w:val="003932B6"/>
    <w:rsid w:val="003936D8"/>
    <w:rsid w:val="00394045"/>
    <w:rsid w:val="003963F9"/>
    <w:rsid w:val="00397267"/>
    <w:rsid w:val="003A0467"/>
    <w:rsid w:val="003A1D99"/>
    <w:rsid w:val="003A269C"/>
    <w:rsid w:val="003A2731"/>
    <w:rsid w:val="003A33B5"/>
    <w:rsid w:val="003A4155"/>
    <w:rsid w:val="003A5380"/>
    <w:rsid w:val="003A58CE"/>
    <w:rsid w:val="003A603B"/>
    <w:rsid w:val="003A67CC"/>
    <w:rsid w:val="003A6C5F"/>
    <w:rsid w:val="003A7CA4"/>
    <w:rsid w:val="003B1608"/>
    <w:rsid w:val="003B1E2D"/>
    <w:rsid w:val="003B24AE"/>
    <w:rsid w:val="003B3279"/>
    <w:rsid w:val="003B32B2"/>
    <w:rsid w:val="003B3343"/>
    <w:rsid w:val="003B3ADE"/>
    <w:rsid w:val="003B6B06"/>
    <w:rsid w:val="003B6CDE"/>
    <w:rsid w:val="003B709E"/>
    <w:rsid w:val="003B78B9"/>
    <w:rsid w:val="003B78F3"/>
    <w:rsid w:val="003B7EE6"/>
    <w:rsid w:val="003C0C98"/>
    <w:rsid w:val="003C16B7"/>
    <w:rsid w:val="003C1D40"/>
    <w:rsid w:val="003C2191"/>
    <w:rsid w:val="003C21A3"/>
    <w:rsid w:val="003C22AD"/>
    <w:rsid w:val="003C236D"/>
    <w:rsid w:val="003C2DFA"/>
    <w:rsid w:val="003C3AF9"/>
    <w:rsid w:val="003C3EAC"/>
    <w:rsid w:val="003C61B8"/>
    <w:rsid w:val="003C67AB"/>
    <w:rsid w:val="003C6E0C"/>
    <w:rsid w:val="003D0D09"/>
    <w:rsid w:val="003D17C4"/>
    <w:rsid w:val="003D1C27"/>
    <w:rsid w:val="003D3590"/>
    <w:rsid w:val="003D359B"/>
    <w:rsid w:val="003D3656"/>
    <w:rsid w:val="003D37B9"/>
    <w:rsid w:val="003D4276"/>
    <w:rsid w:val="003D4F54"/>
    <w:rsid w:val="003D550D"/>
    <w:rsid w:val="003D569C"/>
    <w:rsid w:val="003D6CF2"/>
    <w:rsid w:val="003D78FF"/>
    <w:rsid w:val="003D7FCC"/>
    <w:rsid w:val="003E1183"/>
    <w:rsid w:val="003E241C"/>
    <w:rsid w:val="003E2E01"/>
    <w:rsid w:val="003E2EBE"/>
    <w:rsid w:val="003E4337"/>
    <w:rsid w:val="003E557B"/>
    <w:rsid w:val="003E5F48"/>
    <w:rsid w:val="003F13BD"/>
    <w:rsid w:val="003F16EB"/>
    <w:rsid w:val="003F17DE"/>
    <w:rsid w:val="003F217F"/>
    <w:rsid w:val="003F2D6E"/>
    <w:rsid w:val="003F2DA2"/>
    <w:rsid w:val="003F2E9C"/>
    <w:rsid w:val="003F3096"/>
    <w:rsid w:val="003F4045"/>
    <w:rsid w:val="003F4121"/>
    <w:rsid w:val="003F5DC6"/>
    <w:rsid w:val="003F60BE"/>
    <w:rsid w:val="003F6655"/>
    <w:rsid w:val="003F66BF"/>
    <w:rsid w:val="003F6DAE"/>
    <w:rsid w:val="004009BF"/>
    <w:rsid w:val="00400C51"/>
    <w:rsid w:val="004032A4"/>
    <w:rsid w:val="0040334A"/>
    <w:rsid w:val="00403EA6"/>
    <w:rsid w:val="004044E7"/>
    <w:rsid w:val="004046AF"/>
    <w:rsid w:val="00405815"/>
    <w:rsid w:val="00405D99"/>
    <w:rsid w:val="00407CE2"/>
    <w:rsid w:val="00407E04"/>
    <w:rsid w:val="00410DAC"/>
    <w:rsid w:val="004110B2"/>
    <w:rsid w:val="00411CCA"/>
    <w:rsid w:val="00411D8B"/>
    <w:rsid w:val="00412C29"/>
    <w:rsid w:val="0041374A"/>
    <w:rsid w:val="00414377"/>
    <w:rsid w:val="00414A32"/>
    <w:rsid w:val="00415209"/>
    <w:rsid w:val="00415344"/>
    <w:rsid w:val="00415639"/>
    <w:rsid w:val="0041634C"/>
    <w:rsid w:val="00416693"/>
    <w:rsid w:val="00417595"/>
    <w:rsid w:val="00417D56"/>
    <w:rsid w:val="0042095A"/>
    <w:rsid w:val="004229A0"/>
    <w:rsid w:val="00422D38"/>
    <w:rsid w:val="0042434A"/>
    <w:rsid w:val="004248F0"/>
    <w:rsid w:val="00425C82"/>
    <w:rsid w:val="00426771"/>
    <w:rsid w:val="00426C1F"/>
    <w:rsid w:val="00426CCE"/>
    <w:rsid w:val="0042780A"/>
    <w:rsid w:val="00430596"/>
    <w:rsid w:val="00430D78"/>
    <w:rsid w:val="00431454"/>
    <w:rsid w:val="0043287B"/>
    <w:rsid w:val="00432983"/>
    <w:rsid w:val="00432ADE"/>
    <w:rsid w:val="004335DF"/>
    <w:rsid w:val="00434E89"/>
    <w:rsid w:val="00434F4B"/>
    <w:rsid w:val="00435292"/>
    <w:rsid w:val="004354BE"/>
    <w:rsid w:val="0043578E"/>
    <w:rsid w:val="00435EF4"/>
    <w:rsid w:val="00437400"/>
    <w:rsid w:val="00440965"/>
    <w:rsid w:val="00440B29"/>
    <w:rsid w:val="00440E8D"/>
    <w:rsid w:val="004418F3"/>
    <w:rsid w:val="00441AB1"/>
    <w:rsid w:val="00442255"/>
    <w:rsid w:val="00442B54"/>
    <w:rsid w:val="0044341B"/>
    <w:rsid w:val="00444050"/>
    <w:rsid w:val="00444F6B"/>
    <w:rsid w:val="00445048"/>
    <w:rsid w:val="00445A18"/>
    <w:rsid w:val="00445AD9"/>
    <w:rsid w:val="00446E65"/>
    <w:rsid w:val="00446F0A"/>
    <w:rsid w:val="00446FA9"/>
    <w:rsid w:val="00447117"/>
    <w:rsid w:val="004501DB"/>
    <w:rsid w:val="004506EA"/>
    <w:rsid w:val="004506F9"/>
    <w:rsid w:val="00451092"/>
    <w:rsid w:val="00452436"/>
    <w:rsid w:val="00453294"/>
    <w:rsid w:val="00453366"/>
    <w:rsid w:val="004538BC"/>
    <w:rsid w:val="0045398D"/>
    <w:rsid w:val="00453BC8"/>
    <w:rsid w:val="00454434"/>
    <w:rsid w:val="004553D1"/>
    <w:rsid w:val="004555EE"/>
    <w:rsid w:val="004557F8"/>
    <w:rsid w:val="00455DFC"/>
    <w:rsid w:val="00455FD7"/>
    <w:rsid w:val="0045612A"/>
    <w:rsid w:val="00456146"/>
    <w:rsid w:val="004578D3"/>
    <w:rsid w:val="00457AA3"/>
    <w:rsid w:val="00457AC5"/>
    <w:rsid w:val="00460501"/>
    <w:rsid w:val="00461104"/>
    <w:rsid w:val="00461124"/>
    <w:rsid w:val="00461136"/>
    <w:rsid w:val="00461CD4"/>
    <w:rsid w:val="00462460"/>
    <w:rsid w:val="0046251A"/>
    <w:rsid w:val="004627F9"/>
    <w:rsid w:val="00462D72"/>
    <w:rsid w:val="00462F29"/>
    <w:rsid w:val="00463F9F"/>
    <w:rsid w:val="00464D31"/>
    <w:rsid w:val="0046555B"/>
    <w:rsid w:val="00465B8E"/>
    <w:rsid w:val="00465B9B"/>
    <w:rsid w:val="00467A98"/>
    <w:rsid w:val="00467BF5"/>
    <w:rsid w:val="00467E10"/>
    <w:rsid w:val="00470BFA"/>
    <w:rsid w:val="00471514"/>
    <w:rsid w:val="00471BBA"/>
    <w:rsid w:val="00471F83"/>
    <w:rsid w:val="004734B4"/>
    <w:rsid w:val="004736AF"/>
    <w:rsid w:val="0047684C"/>
    <w:rsid w:val="00477B28"/>
    <w:rsid w:val="00477BFA"/>
    <w:rsid w:val="00477DD9"/>
    <w:rsid w:val="00477DE6"/>
    <w:rsid w:val="00477FF7"/>
    <w:rsid w:val="004807E6"/>
    <w:rsid w:val="00480926"/>
    <w:rsid w:val="00480968"/>
    <w:rsid w:val="00480E22"/>
    <w:rsid w:val="0048161F"/>
    <w:rsid w:val="004819EF"/>
    <w:rsid w:val="00481A61"/>
    <w:rsid w:val="00482FF2"/>
    <w:rsid w:val="00483264"/>
    <w:rsid w:val="00483819"/>
    <w:rsid w:val="0048453B"/>
    <w:rsid w:val="004851F4"/>
    <w:rsid w:val="004865D8"/>
    <w:rsid w:val="00486812"/>
    <w:rsid w:val="00487FB5"/>
    <w:rsid w:val="004918B5"/>
    <w:rsid w:val="00491C4D"/>
    <w:rsid w:val="00491E95"/>
    <w:rsid w:val="004925AC"/>
    <w:rsid w:val="00492685"/>
    <w:rsid w:val="00494110"/>
    <w:rsid w:val="00494368"/>
    <w:rsid w:val="00494CA8"/>
    <w:rsid w:val="00494EAE"/>
    <w:rsid w:val="004950D6"/>
    <w:rsid w:val="00496463"/>
    <w:rsid w:val="004969B3"/>
    <w:rsid w:val="004969C6"/>
    <w:rsid w:val="00496AE1"/>
    <w:rsid w:val="00496DFE"/>
    <w:rsid w:val="004A0F65"/>
    <w:rsid w:val="004A14DE"/>
    <w:rsid w:val="004A14E7"/>
    <w:rsid w:val="004A1556"/>
    <w:rsid w:val="004A2691"/>
    <w:rsid w:val="004A2EC2"/>
    <w:rsid w:val="004A3501"/>
    <w:rsid w:val="004A41E8"/>
    <w:rsid w:val="004A42CF"/>
    <w:rsid w:val="004A5B5F"/>
    <w:rsid w:val="004A5E81"/>
    <w:rsid w:val="004A6157"/>
    <w:rsid w:val="004A6D23"/>
    <w:rsid w:val="004A7272"/>
    <w:rsid w:val="004B0612"/>
    <w:rsid w:val="004B0658"/>
    <w:rsid w:val="004B08FE"/>
    <w:rsid w:val="004B0E6B"/>
    <w:rsid w:val="004B1209"/>
    <w:rsid w:val="004B1FD1"/>
    <w:rsid w:val="004B2254"/>
    <w:rsid w:val="004B2799"/>
    <w:rsid w:val="004B3B4E"/>
    <w:rsid w:val="004B4252"/>
    <w:rsid w:val="004B436F"/>
    <w:rsid w:val="004B4393"/>
    <w:rsid w:val="004B4D77"/>
    <w:rsid w:val="004B64A0"/>
    <w:rsid w:val="004B6D6E"/>
    <w:rsid w:val="004B6D9E"/>
    <w:rsid w:val="004B7413"/>
    <w:rsid w:val="004B78DE"/>
    <w:rsid w:val="004C0021"/>
    <w:rsid w:val="004C0DED"/>
    <w:rsid w:val="004C0FF1"/>
    <w:rsid w:val="004C2C3E"/>
    <w:rsid w:val="004C3685"/>
    <w:rsid w:val="004C47DE"/>
    <w:rsid w:val="004C4FDC"/>
    <w:rsid w:val="004C5715"/>
    <w:rsid w:val="004C5A9D"/>
    <w:rsid w:val="004C5FFD"/>
    <w:rsid w:val="004C6968"/>
    <w:rsid w:val="004C70DD"/>
    <w:rsid w:val="004C7E79"/>
    <w:rsid w:val="004D089F"/>
    <w:rsid w:val="004D0E13"/>
    <w:rsid w:val="004D2299"/>
    <w:rsid w:val="004D2609"/>
    <w:rsid w:val="004D3FAB"/>
    <w:rsid w:val="004D402D"/>
    <w:rsid w:val="004D4A8A"/>
    <w:rsid w:val="004D549C"/>
    <w:rsid w:val="004D60C4"/>
    <w:rsid w:val="004D6F53"/>
    <w:rsid w:val="004D7646"/>
    <w:rsid w:val="004D7ADC"/>
    <w:rsid w:val="004E036C"/>
    <w:rsid w:val="004E0703"/>
    <w:rsid w:val="004E1532"/>
    <w:rsid w:val="004E192D"/>
    <w:rsid w:val="004E1EF3"/>
    <w:rsid w:val="004E2DAF"/>
    <w:rsid w:val="004E2E93"/>
    <w:rsid w:val="004E3087"/>
    <w:rsid w:val="004E31CB"/>
    <w:rsid w:val="004E3FF9"/>
    <w:rsid w:val="004E4918"/>
    <w:rsid w:val="004E5455"/>
    <w:rsid w:val="004E6C50"/>
    <w:rsid w:val="004E6E41"/>
    <w:rsid w:val="004E7065"/>
    <w:rsid w:val="004F0C25"/>
    <w:rsid w:val="004F0E79"/>
    <w:rsid w:val="004F12BC"/>
    <w:rsid w:val="004F220D"/>
    <w:rsid w:val="004F2638"/>
    <w:rsid w:val="004F2D08"/>
    <w:rsid w:val="004F2DA5"/>
    <w:rsid w:val="004F2F8C"/>
    <w:rsid w:val="004F33F7"/>
    <w:rsid w:val="004F3463"/>
    <w:rsid w:val="004F363E"/>
    <w:rsid w:val="004F38BC"/>
    <w:rsid w:val="004F3C7A"/>
    <w:rsid w:val="004F3CC9"/>
    <w:rsid w:val="004F563A"/>
    <w:rsid w:val="004F5A52"/>
    <w:rsid w:val="004F6A51"/>
    <w:rsid w:val="004F714D"/>
    <w:rsid w:val="004F7280"/>
    <w:rsid w:val="004F7581"/>
    <w:rsid w:val="005006EC"/>
    <w:rsid w:val="0050083F"/>
    <w:rsid w:val="00500AFA"/>
    <w:rsid w:val="005016DF"/>
    <w:rsid w:val="00501B03"/>
    <w:rsid w:val="005025B4"/>
    <w:rsid w:val="00502ECC"/>
    <w:rsid w:val="00503B38"/>
    <w:rsid w:val="00505266"/>
    <w:rsid w:val="0050577D"/>
    <w:rsid w:val="005064ED"/>
    <w:rsid w:val="005064FF"/>
    <w:rsid w:val="005069ED"/>
    <w:rsid w:val="005071D0"/>
    <w:rsid w:val="0050720A"/>
    <w:rsid w:val="005072B7"/>
    <w:rsid w:val="00507C8D"/>
    <w:rsid w:val="0051017B"/>
    <w:rsid w:val="005108CB"/>
    <w:rsid w:val="00511F74"/>
    <w:rsid w:val="005121C5"/>
    <w:rsid w:val="0051244E"/>
    <w:rsid w:val="005125C7"/>
    <w:rsid w:val="0051260D"/>
    <w:rsid w:val="005133DC"/>
    <w:rsid w:val="005137A3"/>
    <w:rsid w:val="005138D5"/>
    <w:rsid w:val="0051399D"/>
    <w:rsid w:val="00513CE4"/>
    <w:rsid w:val="005150F9"/>
    <w:rsid w:val="00515193"/>
    <w:rsid w:val="005167D2"/>
    <w:rsid w:val="0051714D"/>
    <w:rsid w:val="0051740E"/>
    <w:rsid w:val="005201EE"/>
    <w:rsid w:val="00520C3A"/>
    <w:rsid w:val="00520DA6"/>
    <w:rsid w:val="005214D9"/>
    <w:rsid w:val="00521CC6"/>
    <w:rsid w:val="005221F7"/>
    <w:rsid w:val="00522242"/>
    <w:rsid w:val="00522446"/>
    <w:rsid w:val="0052292A"/>
    <w:rsid w:val="005231FB"/>
    <w:rsid w:val="005232C5"/>
    <w:rsid w:val="005239B4"/>
    <w:rsid w:val="00525500"/>
    <w:rsid w:val="005264B9"/>
    <w:rsid w:val="00527CA4"/>
    <w:rsid w:val="00527D1A"/>
    <w:rsid w:val="0053019F"/>
    <w:rsid w:val="005303FA"/>
    <w:rsid w:val="00530821"/>
    <w:rsid w:val="00530D5B"/>
    <w:rsid w:val="00531215"/>
    <w:rsid w:val="0053124D"/>
    <w:rsid w:val="005315AC"/>
    <w:rsid w:val="00532525"/>
    <w:rsid w:val="0053306C"/>
    <w:rsid w:val="005342F8"/>
    <w:rsid w:val="00534C49"/>
    <w:rsid w:val="005353D8"/>
    <w:rsid w:val="005359A9"/>
    <w:rsid w:val="00535BFB"/>
    <w:rsid w:val="00535D38"/>
    <w:rsid w:val="00535E41"/>
    <w:rsid w:val="00535F02"/>
    <w:rsid w:val="00536832"/>
    <w:rsid w:val="00536CD0"/>
    <w:rsid w:val="005374EB"/>
    <w:rsid w:val="00540849"/>
    <w:rsid w:val="00540F2C"/>
    <w:rsid w:val="00541500"/>
    <w:rsid w:val="005415A7"/>
    <w:rsid w:val="00541DDD"/>
    <w:rsid w:val="00541EE8"/>
    <w:rsid w:val="005420F2"/>
    <w:rsid w:val="005422CC"/>
    <w:rsid w:val="005426B7"/>
    <w:rsid w:val="00542B7D"/>
    <w:rsid w:val="005435E2"/>
    <w:rsid w:val="00543C0B"/>
    <w:rsid w:val="00543DB5"/>
    <w:rsid w:val="00543E12"/>
    <w:rsid w:val="005451ED"/>
    <w:rsid w:val="00545992"/>
    <w:rsid w:val="00546335"/>
    <w:rsid w:val="00546CE5"/>
    <w:rsid w:val="00547A84"/>
    <w:rsid w:val="00547BA5"/>
    <w:rsid w:val="00547D46"/>
    <w:rsid w:val="005501A4"/>
    <w:rsid w:val="00551A6D"/>
    <w:rsid w:val="005541F4"/>
    <w:rsid w:val="00554742"/>
    <w:rsid w:val="00554C26"/>
    <w:rsid w:val="005553E1"/>
    <w:rsid w:val="0056049A"/>
    <w:rsid w:val="00560DF5"/>
    <w:rsid w:val="00561175"/>
    <w:rsid w:val="00561BCB"/>
    <w:rsid w:val="00563200"/>
    <w:rsid w:val="005639E7"/>
    <w:rsid w:val="00563B29"/>
    <w:rsid w:val="00563DCF"/>
    <w:rsid w:val="00564266"/>
    <w:rsid w:val="00564294"/>
    <w:rsid w:val="00564BB4"/>
    <w:rsid w:val="005652AE"/>
    <w:rsid w:val="00565784"/>
    <w:rsid w:val="005675D9"/>
    <w:rsid w:val="00567B5D"/>
    <w:rsid w:val="00570669"/>
    <w:rsid w:val="00572256"/>
    <w:rsid w:val="0057285A"/>
    <w:rsid w:val="00572AC9"/>
    <w:rsid w:val="00572ECD"/>
    <w:rsid w:val="00573505"/>
    <w:rsid w:val="005735A2"/>
    <w:rsid w:val="00573C15"/>
    <w:rsid w:val="00573C28"/>
    <w:rsid w:val="00574349"/>
    <w:rsid w:val="00574ADB"/>
    <w:rsid w:val="0057567A"/>
    <w:rsid w:val="00575A38"/>
    <w:rsid w:val="00576E39"/>
    <w:rsid w:val="00580160"/>
    <w:rsid w:val="005801E6"/>
    <w:rsid w:val="00581283"/>
    <w:rsid w:val="00581735"/>
    <w:rsid w:val="00581A75"/>
    <w:rsid w:val="00581ABA"/>
    <w:rsid w:val="00581B60"/>
    <w:rsid w:val="00581D87"/>
    <w:rsid w:val="00582D42"/>
    <w:rsid w:val="00583418"/>
    <w:rsid w:val="005834FA"/>
    <w:rsid w:val="00583BE2"/>
    <w:rsid w:val="005843AD"/>
    <w:rsid w:val="00585ED2"/>
    <w:rsid w:val="00586687"/>
    <w:rsid w:val="00586AE7"/>
    <w:rsid w:val="00586E22"/>
    <w:rsid w:val="0058715B"/>
    <w:rsid w:val="00587538"/>
    <w:rsid w:val="0059019A"/>
    <w:rsid w:val="005919C6"/>
    <w:rsid w:val="00592606"/>
    <w:rsid w:val="0059277A"/>
    <w:rsid w:val="005928E7"/>
    <w:rsid w:val="0059369A"/>
    <w:rsid w:val="0059398C"/>
    <w:rsid w:val="00593B30"/>
    <w:rsid w:val="005948B9"/>
    <w:rsid w:val="00594C7E"/>
    <w:rsid w:val="005958D2"/>
    <w:rsid w:val="00595F2C"/>
    <w:rsid w:val="00596395"/>
    <w:rsid w:val="00596E9C"/>
    <w:rsid w:val="00597774"/>
    <w:rsid w:val="00597CE2"/>
    <w:rsid w:val="005A03DB"/>
    <w:rsid w:val="005A076A"/>
    <w:rsid w:val="005A0CD3"/>
    <w:rsid w:val="005A132E"/>
    <w:rsid w:val="005A1443"/>
    <w:rsid w:val="005A1E28"/>
    <w:rsid w:val="005A2EFD"/>
    <w:rsid w:val="005A2F95"/>
    <w:rsid w:val="005A3224"/>
    <w:rsid w:val="005A3969"/>
    <w:rsid w:val="005A3EDB"/>
    <w:rsid w:val="005A47BB"/>
    <w:rsid w:val="005A4933"/>
    <w:rsid w:val="005A5AD1"/>
    <w:rsid w:val="005A64AA"/>
    <w:rsid w:val="005A78C4"/>
    <w:rsid w:val="005B0983"/>
    <w:rsid w:val="005B1142"/>
    <w:rsid w:val="005B132B"/>
    <w:rsid w:val="005B16DF"/>
    <w:rsid w:val="005B1ACB"/>
    <w:rsid w:val="005B1DBE"/>
    <w:rsid w:val="005B32D5"/>
    <w:rsid w:val="005B3588"/>
    <w:rsid w:val="005B38DD"/>
    <w:rsid w:val="005B3EAA"/>
    <w:rsid w:val="005B4391"/>
    <w:rsid w:val="005B441C"/>
    <w:rsid w:val="005B4793"/>
    <w:rsid w:val="005B4A77"/>
    <w:rsid w:val="005B4E34"/>
    <w:rsid w:val="005B5028"/>
    <w:rsid w:val="005B52C4"/>
    <w:rsid w:val="005B558B"/>
    <w:rsid w:val="005B5EDF"/>
    <w:rsid w:val="005B5F28"/>
    <w:rsid w:val="005B604C"/>
    <w:rsid w:val="005B606A"/>
    <w:rsid w:val="005B6444"/>
    <w:rsid w:val="005B6A1C"/>
    <w:rsid w:val="005B6ED4"/>
    <w:rsid w:val="005B7025"/>
    <w:rsid w:val="005B7068"/>
    <w:rsid w:val="005B77AB"/>
    <w:rsid w:val="005B79B6"/>
    <w:rsid w:val="005C1331"/>
    <w:rsid w:val="005C1ACE"/>
    <w:rsid w:val="005C1D20"/>
    <w:rsid w:val="005C1F3C"/>
    <w:rsid w:val="005C2281"/>
    <w:rsid w:val="005C2D07"/>
    <w:rsid w:val="005C59BD"/>
    <w:rsid w:val="005C6316"/>
    <w:rsid w:val="005C6AC7"/>
    <w:rsid w:val="005C6DBE"/>
    <w:rsid w:val="005C7DB6"/>
    <w:rsid w:val="005D0039"/>
    <w:rsid w:val="005D046A"/>
    <w:rsid w:val="005D1AA3"/>
    <w:rsid w:val="005D2524"/>
    <w:rsid w:val="005D27B7"/>
    <w:rsid w:val="005D2BEE"/>
    <w:rsid w:val="005D2C26"/>
    <w:rsid w:val="005D3325"/>
    <w:rsid w:val="005D41BC"/>
    <w:rsid w:val="005D45DA"/>
    <w:rsid w:val="005D49B2"/>
    <w:rsid w:val="005D4E76"/>
    <w:rsid w:val="005D517C"/>
    <w:rsid w:val="005D58B8"/>
    <w:rsid w:val="005D5FE2"/>
    <w:rsid w:val="005D6DA2"/>
    <w:rsid w:val="005E1D8F"/>
    <w:rsid w:val="005E24B7"/>
    <w:rsid w:val="005E26E9"/>
    <w:rsid w:val="005E4C46"/>
    <w:rsid w:val="005E50FB"/>
    <w:rsid w:val="005E618E"/>
    <w:rsid w:val="005F032B"/>
    <w:rsid w:val="005F03A9"/>
    <w:rsid w:val="005F0686"/>
    <w:rsid w:val="005F07E9"/>
    <w:rsid w:val="005F08FB"/>
    <w:rsid w:val="005F0C18"/>
    <w:rsid w:val="005F173C"/>
    <w:rsid w:val="005F1F46"/>
    <w:rsid w:val="005F278D"/>
    <w:rsid w:val="005F2C44"/>
    <w:rsid w:val="005F2D92"/>
    <w:rsid w:val="005F3C85"/>
    <w:rsid w:val="005F52F1"/>
    <w:rsid w:val="005F5A36"/>
    <w:rsid w:val="005F5A9A"/>
    <w:rsid w:val="005F6248"/>
    <w:rsid w:val="005F7B98"/>
    <w:rsid w:val="0060063F"/>
    <w:rsid w:val="0060067F"/>
    <w:rsid w:val="0060117C"/>
    <w:rsid w:val="00601999"/>
    <w:rsid w:val="00601F89"/>
    <w:rsid w:val="006024AE"/>
    <w:rsid w:val="0060286F"/>
    <w:rsid w:val="006029BE"/>
    <w:rsid w:val="00602DEF"/>
    <w:rsid w:val="00603BE9"/>
    <w:rsid w:val="0060456C"/>
    <w:rsid w:val="006050BE"/>
    <w:rsid w:val="00605A3E"/>
    <w:rsid w:val="00605ABE"/>
    <w:rsid w:val="00605DEC"/>
    <w:rsid w:val="00605F4E"/>
    <w:rsid w:val="00606102"/>
    <w:rsid w:val="00610824"/>
    <w:rsid w:val="006108C6"/>
    <w:rsid w:val="00610F2B"/>
    <w:rsid w:val="006112F3"/>
    <w:rsid w:val="00611E78"/>
    <w:rsid w:val="0061211C"/>
    <w:rsid w:val="00612546"/>
    <w:rsid w:val="00612751"/>
    <w:rsid w:val="00612A3C"/>
    <w:rsid w:val="00612C95"/>
    <w:rsid w:val="0061437C"/>
    <w:rsid w:val="0061468F"/>
    <w:rsid w:val="0061478A"/>
    <w:rsid w:val="00614DC6"/>
    <w:rsid w:val="00615420"/>
    <w:rsid w:val="00615D02"/>
    <w:rsid w:val="00616C8A"/>
    <w:rsid w:val="006171C9"/>
    <w:rsid w:val="00617A67"/>
    <w:rsid w:val="00617C60"/>
    <w:rsid w:val="00617E7B"/>
    <w:rsid w:val="00620E14"/>
    <w:rsid w:val="00621104"/>
    <w:rsid w:val="00621A37"/>
    <w:rsid w:val="006220B5"/>
    <w:rsid w:val="006222D3"/>
    <w:rsid w:val="006223EB"/>
    <w:rsid w:val="00622670"/>
    <w:rsid w:val="00623293"/>
    <w:rsid w:val="00623530"/>
    <w:rsid w:val="006237A3"/>
    <w:rsid w:val="006247A1"/>
    <w:rsid w:val="00624D3B"/>
    <w:rsid w:val="00625528"/>
    <w:rsid w:val="00625A55"/>
    <w:rsid w:val="00625F43"/>
    <w:rsid w:val="00626160"/>
    <w:rsid w:val="00626F8A"/>
    <w:rsid w:val="006301CE"/>
    <w:rsid w:val="00630CF9"/>
    <w:rsid w:val="00630E2A"/>
    <w:rsid w:val="00630F16"/>
    <w:rsid w:val="00631470"/>
    <w:rsid w:val="0063165F"/>
    <w:rsid w:val="00631DFD"/>
    <w:rsid w:val="00631F4A"/>
    <w:rsid w:val="00632DDE"/>
    <w:rsid w:val="00633F7E"/>
    <w:rsid w:val="00634272"/>
    <w:rsid w:val="006350F9"/>
    <w:rsid w:val="0063601C"/>
    <w:rsid w:val="00636214"/>
    <w:rsid w:val="00636453"/>
    <w:rsid w:val="00636590"/>
    <w:rsid w:val="0063685D"/>
    <w:rsid w:val="00637080"/>
    <w:rsid w:val="00637129"/>
    <w:rsid w:val="006371B5"/>
    <w:rsid w:val="00640FEF"/>
    <w:rsid w:val="00641055"/>
    <w:rsid w:val="00642B53"/>
    <w:rsid w:val="00643118"/>
    <w:rsid w:val="00643BF1"/>
    <w:rsid w:val="00643C99"/>
    <w:rsid w:val="0064400F"/>
    <w:rsid w:val="006442F4"/>
    <w:rsid w:val="00644A5E"/>
    <w:rsid w:val="00645123"/>
    <w:rsid w:val="006456AC"/>
    <w:rsid w:val="00647DAA"/>
    <w:rsid w:val="00647FD4"/>
    <w:rsid w:val="00650E54"/>
    <w:rsid w:val="006513EB"/>
    <w:rsid w:val="00651A01"/>
    <w:rsid w:val="006529FB"/>
    <w:rsid w:val="00653CA7"/>
    <w:rsid w:val="00653D47"/>
    <w:rsid w:val="00653D82"/>
    <w:rsid w:val="00654020"/>
    <w:rsid w:val="006541B9"/>
    <w:rsid w:val="00654FDC"/>
    <w:rsid w:val="00655514"/>
    <w:rsid w:val="006556C9"/>
    <w:rsid w:val="00655B27"/>
    <w:rsid w:val="00656F81"/>
    <w:rsid w:val="00660439"/>
    <w:rsid w:val="00660782"/>
    <w:rsid w:val="00660A6A"/>
    <w:rsid w:val="00660D1F"/>
    <w:rsid w:val="00660EC8"/>
    <w:rsid w:val="00660F87"/>
    <w:rsid w:val="00661318"/>
    <w:rsid w:val="00661384"/>
    <w:rsid w:val="00661630"/>
    <w:rsid w:val="00661C3F"/>
    <w:rsid w:val="00662D28"/>
    <w:rsid w:val="006635DF"/>
    <w:rsid w:val="006638CF"/>
    <w:rsid w:val="00663E12"/>
    <w:rsid w:val="006649E4"/>
    <w:rsid w:val="00664AA7"/>
    <w:rsid w:val="00664D83"/>
    <w:rsid w:val="00664D86"/>
    <w:rsid w:val="00665305"/>
    <w:rsid w:val="0066559C"/>
    <w:rsid w:val="00665AA1"/>
    <w:rsid w:val="00665FFA"/>
    <w:rsid w:val="0066600D"/>
    <w:rsid w:val="00667A0E"/>
    <w:rsid w:val="00667D99"/>
    <w:rsid w:val="00670205"/>
    <w:rsid w:val="00670455"/>
    <w:rsid w:val="00670720"/>
    <w:rsid w:val="0067193C"/>
    <w:rsid w:val="00671D01"/>
    <w:rsid w:val="0067245A"/>
    <w:rsid w:val="0067333C"/>
    <w:rsid w:val="00673D52"/>
    <w:rsid w:val="00674229"/>
    <w:rsid w:val="0067497B"/>
    <w:rsid w:val="00675879"/>
    <w:rsid w:val="00675DFA"/>
    <w:rsid w:val="00675E2B"/>
    <w:rsid w:val="00675F15"/>
    <w:rsid w:val="00676882"/>
    <w:rsid w:val="00677D3A"/>
    <w:rsid w:val="0068047E"/>
    <w:rsid w:val="00680512"/>
    <w:rsid w:val="00680796"/>
    <w:rsid w:val="00681173"/>
    <w:rsid w:val="00682035"/>
    <w:rsid w:val="006828C0"/>
    <w:rsid w:val="0068290A"/>
    <w:rsid w:val="00683E28"/>
    <w:rsid w:val="00684127"/>
    <w:rsid w:val="0068528D"/>
    <w:rsid w:val="006856DE"/>
    <w:rsid w:val="00685867"/>
    <w:rsid w:val="00685F0D"/>
    <w:rsid w:val="0068613B"/>
    <w:rsid w:val="0068623D"/>
    <w:rsid w:val="006869C1"/>
    <w:rsid w:val="00686A4E"/>
    <w:rsid w:val="00687C1B"/>
    <w:rsid w:val="00691CA3"/>
    <w:rsid w:val="00691DEF"/>
    <w:rsid w:val="00691F81"/>
    <w:rsid w:val="0069367C"/>
    <w:rsid w:val="00693729"/>
    <w:rsid w:val="00693859"/>
    <w:rsid w:val="00693999"/>
    <w:rsid w:val="00693B91"/>
    <w:rsid w:val="00693EDC"/>
    <w:rsid w:val="00694181"/>
    <w:rsid w:val="006954C4"/>
    <w:rsid w:val="00695964"/>
    <w:rsid w:val="00695EB9"/>
    <w:rsid w:val="00697F08"/>
    <w:rsid w:val="006A027C"/>
    <w:rsid w:val="006A029C"/>
    <w:rsid w:val="006A02BA"/>
    <w:rsid w:val="006A094F"/>
    <w:rsid w:val="006A1399"/>
    <w:rsid w:val="006A155D"/>
    <w:rsid w:val="006A1717"/>
    <w:rsid w:val="006A176B"/>
    <w:rsid w:val="006A21CD"/>
    <w:rsid w:val="006A284F"/>
    <w:rsid w:val="006A2CCF"/>
    <w:rsid w:val="006A3337"/>
    <w:rsid w:val="006A37FA"/>
    <w:rsid w:val="006A3B9D"/>
    <w:rsid w:val="006A4433"/>
    <w:rsid w:val="006A4E7A"/>
    <w:rsid w:val="006A52BB"/>
    <w:rsid w:val="006A5505"/>
    <w:rsid w:val="006A653B"/>
    <w:rsid w:val="006A6919"/>
    <w:rsid w:val="006A6DBD"/>
    <w:rsid w:val="006A7454"/>
    <w:rsid w:val="006A7567"/>
    <w:rsid w:val="006A77BC"/>
    <w:rsid w:val="006A79C1"/>
    <w:rsid w:val="006B0171"/>
    <w:rsid w:val="006B0ADC"/>
    <w:rsid w:val="006B0EB0"/>
    <w:rsid w:val="006B1BEC"/>
    <w:rsid w:val="006B2713"/>
    <w:rsid w:val="006B3805"/>
    <w:rsid w:val="006B3A37"/>
    <w:rsid w:val="006B4146"/>
    <w:rsid w:val="006B470D"/>
    <w:rsid w:val="006B4FF2"/>
    <w:rsid w:val="006B6E1D"/>
    <w:rsid w:val="006B73F4"/>
    <w:rsid w:val="006C04A3"/>
    <w:rsid w:val="006C085E"/>
    <w:rsid w:val="006C0A98"/>
    <w:rsid w:val="006C0D3F"/>
    <w:rsid w:val="006C1AAB"/>
    <w:rsid w:val="006C21FA"/>
    <w:rsid w:val="006C29CD"/>
    <w:rsid w:val="006C333A"/>
    <w:rsid w:val="006C35BF"/>
    <w:rsid w:val="006C3657"/>
    <w:rsid w:val="006C3C54"/>
    <w:rsid w:val="006C3D9F"/>
    <w:rsid w:val="006C406B"/>
    <w:rsid w:val="006C4C68"/>
    <w:rsid w:val="006C4D16"/>
    <w:rsid w:val="006C5075"/>
    <w:rsid w:val="006C588B"/>
    <w:rsid w:val="006C5C99"/>
    <w:rsid w:val="006C5FE3"/>
    <w:rsid w:val="006C64DF"/>
    <w:rsid w:val="006C6541"/>
    <w:rsid w:val="006C6566"/>
    <w:rsid w:val="006C6F2E"/>
    <w:rsid w:val="006C76B2"/>
    <w:rsid w:val="006C78C9"/>
    <w:rsid w:val="006C7A24"/>
    <w:rsid w:val="006C7EF8"/>
    <w:rsid w:val="006C7F5A"/>
    <w:rsid w:val="006D06E5"/>
    <w:rsid w:val="006D1CC9"/>
    <w:rsid w:val="006D3A0D"/>
    <w:rsid w:val="006D3A7C"/>
    <w:rsid w:val="006D3E50"/>
    <w:rsid w:val="006D476F"/>
    <w:rsid w:val="006D48C8"/>
    <w:rsid w:val="006D4A70"/>
    <w:rsid w:val="006D4B02"/>
    <w:rsid w:val="006D7A38"/>
    <w:rsid w:val="006E01DF"/>
    <w:rsid w:val="006E053B"/>
    <w:rsid w:val="006E0C80"/>
    <w:rsid w:val="006E0F08"/>
    <w:rsid w:val="006E1BE7"/>
    <w:rsid w:val="006E22ED"/>
    <w:rsid w:val="006E362D"/>
    <w:rsid w:val="006E3D3E"/>
    <w:rsid w:val="006E46AB"/>
    <w:rsid w:val="006E46EC"/>
    <w:rsid w:val="006E4712"/>
    <w:rsid w:val="006E47EE"/>
    <w:rsid w:val="006E4B90"/>
    <w:rsid w:val="006E4CC6"/>
    <w:rsid w:val="006E4FB8"/>
    <w:rsid w:val="006E5986"/>
    <w:rsid w:val="006E784D"/>
    <w:rsid w:val="006E7AD8"/>
    <w:rsid w:val="006E7FD2"/>
    <w:rsid w:val="006F0982"/>
    <w:rsid w:val="006F1F80"/>
    <w:rsid w:val="006F2141"/>
    <w:rsid w:val="006F2BAF"/>
    <w:rsid w:val="006F2CFA"/>
    <w:rsid w:val="006F4AB3"/>
    <w:rsid w:val="006F4C49"/>
    <w:rsid w:val="006F5956"/>
    <w:rsid w:val="006F5F45"/>
    <w:rsid w:val="006F6430"/>
    <w:rsid w:val="006F68A3"/>
    <w:rsid w:val="006F6D6D"/>
    <w:rsid w:val="00701D64"/>
    <w:rsid w:val="00701E2C"/>
    <w:rsid w:val="007020D5"/>
    <w:rsid w:val="00702225"/>
    <w:rsid w:val="00702B9C"/>
    <w:rsid w:val="00703904"/>
    <w:rsid w:val="00704174"/>
    <w:rsid w:val="0070456C"/>
    <w:rsid w:val="00704BD1"/>
    <w:rsid w:val="00704C32"/>
    <w:rsid w:val="00706325"/>
    <w:rsid w:val="007066AA"/>
    <w:rsid w:val="00706F4E"/>
    <w:rsid w:val="0070716D"/>
    <w:rsid w:val="007071F4"/>
    <w:rsid w:val="00707204"/>
    <w:rsid w:val="007076A8"/>
    <w:rsid w:val="007117F5"/>
    <w:rsid w:val="00711F7E"/>
    <w:rsid w:val="00712D5A"/>
    <w:rsid w:val="00713255"/>
    <w:rsid w:val="0071412D"/>
    <w:rsid w:val="0071494A"/>
    <w:rsid w:val="00714B55"/>
    <w:rsid w:val="00714B5F"/>
    <w:rsid w:val="007160F8"/>
    <w:rsid w:val="007163CB"/>
    <w:rsid w:val="00716889"/>
    <w:rsid w:val="00716EAC"/>
    <w:rsid w:val="007170A7"/>
    <w:rsid w:val="0071710C"/>
    <w:rsid w:val="0072160F"/>
    <w:rsid w:val="00722202"/>
    <w:rsid w:val="00722752"/>
    <w:rsid w:val="00723340"/>
    <w:rsid w:val="0072334F"/>
    <w:rsid w:val="00723D0A"/>
    <w:rsid w:val="00724228"/>
    <w:rsid w:val="00724655"/>
    <w:rsid w:val="00725869"/>
    <w:rsid w:val="00725ADA"/>
    <w:rsid w:val="0072660A"/>
    <w:rsid w:val="007268FF"/>
    <w:rsid w:val="00726A20"/>
    <w:rsid w:val="00726E69"/>
    <w:rsid w:val="0072741A"/>
    <w:rsid w:val="00727F45"/>
    <w:rsid w:val="007306D7"/>
    <w:rsid w:val="0073088A"/>
    <w:rsid w:val="0073094E"/>
    <w:rsid w:val="007328B2"/>
    <w:rsid w:val="00732F8A"/>
    <w:rsid w:val="00733512"/>
    <w:rsid w:val="00733CF5"/>
    <w:rsid w:val="007351C2"/>
    <w:rsid w:val="00735672"/>
    <w:rsid w:val="007366CA"/>
    <w:rsid w:val="00736D66"/>
    <w:rsid w:val="007370EB"/>
    <w:rsid w:val="00737662"/>
    <w:rsid w:val="00737DC4"/>
    <w:rsid w:val="0074340C"/>
    <w:rsid w:val="00744A17"/>
    <w:rsid w:val="0074589E"/>
    <w:rsid w:val="0074671F"/>
    <w:rsid w:val="00747199"/>
    <w:rsid w:val="00747612"/>
    <w:rsid w:val="0074797F"/>
    <w:rsid w:val="00750916"/>
    <w:rsid w:val="007514B9"/>
    <w:rsid w:val="0075150A"/>
    <w:rsid w:val="00751846"/>
    <w:rsid w:val="00751866"/>
    <w:rsid w:val="00751BC6"/>
    <w:rsid w:val="00751ECC"/>
    <w:rsid w:val="007529D9"/>
    <w:rsid w:val="00752A23"/>
    <w:rsid w:val="00752D8C"/>
    <w:rsid w:val="00753431"/>
    <w:rsid w:val="0075373A"/>
    <w:rsid w:val="007541E4"/>
    <w:rsid w:val="007543D9"/>
    <w:rsid w:val="0075453A"/>
    <w:rsid w:val="00754B43"/>
    <w:rsid w:val="007551BB"/>
    <w:rsid w:val="00755F14"/>
    <w:rsid w:val="00756495"/>
    <w:rsid w:val="00756629"/>
    <w:rsid w:val="00756EDE"/>
    <w:rsid w:val="00756F4C"/>
    <w:rsid w:val="0075708C"/>
    <w:rsid w:val="0075743A"/>
    <w:rsid w:val="007576E3"/>
    <w:rsid w:val="00757B1D"/>
    <w:rsid w:val="00757EAC"/>
    <w:rsid w:val="007608FA"/>
    <w:rsid w:val="00761371"/>
    <w:rsid w:val="007615DB"/>
    <w:rsid w:val="00761C08"/>
    <w:rsid w:val="007625D4"/>
    <w:rsid w:val="0076330D"/>
    <w:rsid w:val="00763619"/>
    <w:rsid w:val="007637A0"/>
    <w:rsid w:val="007638FB"/>
    <w:rsid w:val="007640AC"/>
    <w:rsid w:val="00764473"/>
    <w:rsid w:val="00764877"/>
    <w:rsid w:val="007649D0"/>
    <w:rsid w:val="00764EDA"/>
    <w:rsid w:val="0076565F"/>
    <w:rsid w:val="00765ECE"/>
    <w:rsid w:val="00765F98"/>
    <w:rsid w:val="00766034"/>
    <w:rsid w:val="007668A5"/>
    <w:rsid w:val="0076724F"/>
    <w:rsid w:val="007677B8"/>
    <w:rsid w:val="00767A07"/>
    <w:rsid w:val="00767A5C"/>
    <w:rsid w:val="00771EAC"/>
    <w:rsid w:val="00771F4E"/>
    <w:rsid w:val="0077254D"/>
    <w:rsid w:val="00772F39"/>
    <w:rsid w:val="007735B7"/>
    <w:rsid w:val="007745BE"/>
    <w:rsid w:val="0077484A"/>
    <w:rsid w:val="0077568F"/>
    <w:rsid w:val="00775A44"/>
    <w:rsid w:val="007772FC"/>
    <w:rsid w:val="00777463"/>
    <w:rsid w:val="0077750B"/>
    <w:rsid w:val="00777914"/>
    <w:rsid w:val="00777C4F"/>
    <w:rsid w:val="007804D8"/>
    <w:rsid w:val="00780AD1"/>
    <w:rsid w:val="00780E59"/>
    <w:rsid w:val="007814A3"/>
    <w:rsid w:val="00781E73"/>
    <w:rsid w:val="00782499"/>
    <w:rsid w:val="00782798"/>
    <w:rsid w:val="00782C41"/>
    <w:rsid w:val="00784927"/>
    <w:rsid w:val="00784A25"/>
    <w:rsid w:val="00786D7C"/>
    <w:rsid w:val="00786EE8"/>
    <w:rsid w:val="007874B0"/>
    <w:rsid w:val="0078772F"/>
    <w:rsid w:val="007878F2"/>
    <w:rsid w:val="00790015"/>
    <w:rsid w:val="007900E2"/>
    <w:rsid w:val="00790679"/>
    <w:rsid w:val="00790C0C"/>
    <w:rsid w:val="00791632"/>
    <w:rsid w:val="00791664"/>
    <w:rsid w:val="0079239A"/>
    <w:rsid w:val="007923F3"/>
    <w:rsid w:val="00793013"/>
    <w:rsid w:val="0079334A"/>
    <w:rsid w:val="007938EA"/>
    <w:rsid w:val="00793DD2"/>
    <w:rsid w:val="0079467C"/>
    <w:rsid w:val="00794FA1"/>
    <w:rsid w:val="00795241"/>
    <w:rsid w:val="007955DF"/>
    <w:rsid w:val="007961EE"/>
    <w:rsid w:val="007971B2"/>
    <w:rsid w:val="007A0154"/>
    <w:rsid w:val="007A0475"/>
    <w:rsid w:val="007A06EE"/>
    <w:rsid w:val="007A0C1F"/>
    <w:rsid w:val="007A1314"/>
    <w:rsid w:val="007A228B"/>
    <w:rsid w:val="007A23C7"/>
    <w:rsid w:val="007A2712"/>
    <w:rsid w:val="007A279F"/>
    <w:rsid w:val="007A4421"/>
    <w:rsid w:val="007A4E7C"/>
    <w:rsid w:val="007A527B"/>
    <w:rsid w:val="007A5C1B"/>
    <w:rsid w:val="007A5EB6"/>
    <w:rsid w:val="007A6602"/>
    <w:rsid w:val="007A68C0"/>
    <w:rsid w:val="007B0419"/>
    <w:rsid w:val="007B0816"/>
    <w:rsid w:val="007B0C9B"/>
    <w:rsid w:val="007B0CF6"/>
    <w:rsid w:val="007B0DCE"/>
    <w:rsid w:val="007B1890"/>
    <w:rsid w:val="007B1CB8"/>
    <w:rsid w:val="007B1EB3"/>
    <w:rsid w:val="007B23B9"/>
    <w:rsid w:val="007B30B8"/>
    <w:rsid w:val="007B3A22"/>
    <w:rsid w:val="007B3B40"/>
    <w:rsid w:val="007B3F28"/>
    <w:rsid w:val="007B455C"/>
    <w:rsid w:val="007B48D1"/>
    <w:rsid w:val="007B4DAF"/>
    <w:rsid w:val="007B56F6"/>
    <w:rsid w:val="007B7BF4"/>
    <w:rsid w:val="007C02C2"/>
    <w:rsid w:val="007C08CD"/>
    <w:rsid w:val="007C111A"/>
    <w:rsid w:val="007C13A2"/>
    <w:rsid w:val="007C1A32"/>
    <w:rsid w:val="007C380B"/>
    <w:rsid w:val="007C5F05"/>
    <w:rsid w:val="007C61EB"/>
    <w:rsid w:val="007C643F"/>
    <w:rsid w:val="007C666D"/>
    <w:rsid w:val="007C68F7"/>
    <w:rsid w:val="007C6B2A"/>
    <w:rsid w:val="007C7E4B"/>
    <w:rsid w:val="007D0133"/>
    <w:rsid w:val="007D02A1"/>
    <w:rsid w:val="007D08FB"/>
    <w:rsid w:val="007D12BC"/>
    <w:rsid w:val="007D1494"/>
    <w:rsid w:val="007D167E"/>
    <w:rsid w:val="007D200B"/>
    <w:rsid w:val="007D2185"/>
    <w:rsid w:val="007D2716"/>
    <w:rsid w:val="007D28CD"/>
    <w:rsid w:val="007D2AC4"/>
    <w:rsid w:val="007D302A"/>
    <w:rsid w:val="007D3817"/>
    <w:rsid w:val="007D3F3E"/>
    <w:rsid w:val="007D46E5"/>
    <w:rsid w:val="007D47F8"/>
    <w:rsid w:val="007D5B62"/>
    <w:rsid w:val="007D61B2"/>
    <w:rsid w:val="007D6A2D"/>
    <w:rsid w:val="007D7B72"/>
    <w:rsid w:val="007D7FB2"/>
    <w:rsid w:val="007E0D1B"/>
    <w:rsid w:val="007E0D5C"/>
    <w:rsid w:val="007E0F06"/>
    <w:rsid w:val="007E2EB4"/>
    <w:rsid w:val="007E3147"/>
    <w:rsid w:val="007E45E4"/>
    <w:rsid w:val="007E5262"/>
    <w:rsid w:val="007E5CDC"/>
    <w:rsid w:val="007E5DEB"/>
    <w:rsid w:val="007E6816"/>
    <w:rsid w:val="007E6CC2"/>
    <w:rsid w:val="007E6CC4"/>
    <w:rsid w:val="007F0405"/>
    <w:rsid w:val="007F2525"/>
    <w:rsid w:val="007F313E"/>
    <w:rsid w:val="007F4A55"/>
    <w:rsid w:val="007F4C4F"/>
    <w:rsid w:val="007F4DE9"/>
    <w:rsid w:val="007F5458"/>
    <w:rsid w:val="007F5672"/>
    <w:rsid w:val="007F5E5F"/>
    <w:rsid w:val="007F6905"/>
    <w:rsid w:val="007F69EE"/>
    <w:rsid w:val="007F72CF"/>
    <w:rsid w:val="007F7733"/>
    <w:rsid w:val="008007BC"/>
    <w:rsid w:val="00800AC0"/>
    <w:rsid w:val="00800B7C"/>
    <w:rsid w:val="008017A8"/>
    <w:rsid w:val="0080254E"/>
    <w:rsid w:val="008033CF"/>
    <w:rsid w:val="008040D7"/>
    <w:rsid w:val="00804193"/>
    <w:rsid w:val="00804A45"/>
    <w:rsid w:val="0080533A"/>
    <w:rsid w:val="00806146"/>
    <w:rsid w:val="0080621A"/>
    <w:rsid w:val="0080654D"/>
    <w:rsid w:val="00806A7E"/>
    <w:rsid w:val="00806EB3"/>
    <w:rsid w:val="0080742F"/>
    <w:rsid w:val="0081036B"/>
    <w:rsid w:val="008105B8"/>
    <w:rsid w:val="00811503"/>
    <w:rsid w:val="008115EA"/>
    <w:rsid w:val="00811FFE"/>
    <w:rsid w:val="008120B5"/>
    <w:rsid w:val="00814209"/>
    <w:rsid w:val="0081470C"/>
    <w:rsid w:val="008148D3"/>
    <w:rsid w:val="00814A4B"/>
    <w:rsid w:val="00814CB4"/>
    <w:rsid w:val="008150FA"/>
    <w:rsid w:val="00815251"/>
    <w:rsid w:val="0081577D"/>
    <w:rsid w:val="00815B6A"/>
    <w:rsid w:val="00816308"/>
    <w:rsid w:val="00816466"/>
    <w:rsid w:val="008171E3"/>
    <w:rsid w:val="00817652"/>
    <w:rsid w:val="00817BA2"/>
    <w:rsid w:val="008201FD"/>
    <w:rsid w:val="0082039E"/>
    <w:rsid w:val="0082074C"/>
    <w:rsid w:val="008207AE"/>
    <w:rsid w:val="008208FD"/>
    <w:rsid w:val="00820911"/>
    <w:rsid w:val="0082219F"/>
    <w:rsid w:val="00822206"/>
    <w:rsid w:val="008222D6"/>
    <w:rsid w:val="0082234E"/>
    <w:rsid w:val="0082252D"/>
    <w:rsid w:val="008225BD"/>
    <w:rsid w:val="008227F7"/>
    <w:rsid w:val="00823AFE"/>
    <w:rsid w:val="00824415"/>
    <w:rsid w:val="00825431"/>
    <w:rsid w:val="00825606"/>
    <w:rsid w:val="00825C91"/>
    <w:rsid w:val="00825F80"/>
    <w:rsid w:val="00826B24"/>
    <w:rsid w:val="00826F6A"/>
    <w:rsid w:val="008276F6"/>
    <w:rsid w:val="00827BF3"/>
    <w:rsid w:val="0083064A"/>
    <w:rsid w:val="008308B5"/>
    <w:rsid w:val="0083184F"/>
    <w:rsid w:val="008321B3"/>
    <w:rsid w:val="008321E5"/>
    <w:rsid w:val="008324C6"/>
    <w:rsid w:val="00832D72"/>
    <w:rsid w:val="00833994"/>
    <w:rsid w:val="00833B0E"/>
    <w:rsid w:val="00833E1A"/>
    <w:rsid w:val="00834B93"/>
    <w:rsid w:val="00834BF2"/>
    <w:rsid w:val="00835E20"/>
    <w:rsid w:val="00836942"/>
    <w:rsid w:val="00836C07"/>
    <w:rsid w:val="00836EE6"/>
    <w:rsid w:val="00837406"/>
    <w:rsid w:val="00837619"/>
    <w:rsid w:val="008401DE"/>
    <w:rsid w:val="00840731"/>
    <w:rsid w:val="008407BC"/>
    <w:rsid w:val="00840B8B"/>
    <w:rsid w:val="00841140"/>
    <w:rsid w:val="00842364"/>
    <w:rsid w:val="008428CD"/>
    <w:rsid w:val="008430C2"/>
    <w:rsid w:val="008445BE"/>
    <w:rsid w:val="008446F1"/>
    <w:rsid w:val="0084484F"/>
    <w:rsid w:val="00845184"/>
    <w:rsid w:val="008451A9"/>
    <w:rsid w:val="008453C0"/>
    <w:rsid w:val="0084564E"/>
    <w:rsid w:val="00845674"/>
    <w:rsid w:val="0084576A"/>
    <w:rsid w:val="008461EA"/>
    <w:rsid w:val="00846614"/>
    <w:rsid w:val="00846771"/>
    <w:rsid w:val="00846FEF"/>
    <w:rsid w:val="00847278"/>
    <w:rsid w:val="008477AB"/>
    <w:rsid w:val="00847E74"/>
    <w:rsid w:val="008500B6"/>
    <w:rsid w:val="00850726"/>
    <w:rsid w:val="008509BE"/>
    <w:rsid w:val="00851139"/>
    <w:rsid w:val="0085117A"/>
    <w:rsid w:val="008537F1"/>
    <w:rsid w:val="008545E6"/>
    <w:rsid w:val="00854962"/>
    <w:rsid w:val="00855678"/>
    <w:rsid w:val="00855D63"/>
    <w:rsid w:val="00856FB4"/>
    <w:rsid w:val="0085736B"/>
    <w:rsid w:val="00857442"/>
    <w:rsid w:val="008574F0"/>
    <w:rsid w:val="00857763"/>
    <w:rsid w:val="00860643"/>
    <w:rsid w:val="008607A6"/>
    <w:rsid w:val="0086103F"/>
    <w:rsid w:val="00861097"/>
    <w:rsid w:val="00861292"/>
    <w:rsid w:val="008619C1"/>
    <w:rsid w:val="00861A10"/>
    <w:rsid w:val="00861E01"/>
    <w:rsid w:val="00862A18"/>
    <w:rsid w:val="00863894"/>
    <w:rsid w:val="00863E11"/>
    <w:rsid w:val="0086406D"/>
    <w:rsid w:val="00864A13"/>
    <w:rsid w:val="00866F22"/>
    <w:rsid w:val="008704FF"/>
    <w:rsid w:val="00870829"/>
    <w:rsid w:val="00871167"/>
    <w:rsid w:val="008714E7"/>
    <w:rsid w:val="00872487"/>
    <w:rsid w:val="008724F2"/>
    <w:rsid w:val="00872C3A"/>
    <w:rsid w:val="00873966"/>
    <w:rsid w:val="00873D0D"/>
    <w:rsid w:val="00873E71"/>
    <w:rsid w:val="008756B9"/>
    <w:rsid w:val="00875A2E"/>
    <w:rsid w:val="00875ACE"/>
    <w:rsid w:val="008763BE"/>
    <w:rsid w:val="00877DB6"/>
    <w:rsid w:val="00880941"/>
    <w:rsid w:val="00880A45"/>
    <w:rsid w:val="00880C56"/>
    <w:rsid w:val="00881542"/>
    <w:rsid w:val="008817E0"/>
    <w:rsid w:val="00881801"/>
    <w:rsid w:val="00881AA8"/>
    <w:rsid w:val="0088268A"/>
    <w:rsid w:val="008835DF"/>
    <w:rsid w:val="00883915"/>
    <w:rsid w:val="008846A1"/>
    <w:rsid w:val="008847D3"/>
    <w:rsid w:val="00885C58"/>
    <w:rsid w:val="00885D69"/>
    <w:rsid w:val="00885E1C"/>
    <w:rsid w:val="008901FD"/>
    <w:rsid w:val="008907E9"/>
    <w:rsid w:val="00890E80"/>
    <w:rsid w:val="008914F2"/>
    <w:rsid w:val="00891BC2"/>
    <w:rsid w:val="00892ADB"/>
    <w:rsid w:val="008936A6"/>
    <w:rsid w:val="008938DD"/>
    <w:rsid w:val="00894380"/>
    <w:rsid w:val="008948B8"/>
    <w:rsid w:val="008950AC"/>
    <w:rsid w:val="00895187"/>
    <w:rsid w:val="00895255"/>
    <w:rsid w:val="008958C4"/>
    <w:rsid w:val="00896A51"/>
    <w:rsid w:val="00897547"/>
    <w:rsid w:val="008977E2"/>
    <w:rsid w:val="008A0382"/>
    <w:rsid w:val="008A1587"/>
    <w:rsid w:val="008A247D"/>
    <w:rsid w:val="008A2806"/>
    <w:rsid w:val="008A2D1D"/>
    <w:rsid w:val="008A2EF3"/>
    <w:rsid w:val="008A35F4"/>
    <w:rsid w:val="008A425D"/>
    <w:rsid w:val="008A43D2"/>
    <w:rsid w:val="008A4492"/>
    <w:rsid w:val="008A4ECD"/>
    <w:rsid w:val="008A57F7"/>
    <w:rsid w:val="008A59E9"/>
    <w:rsid w:val="008A5DCF"/>
    <w:rsid w:val="008A5E43"/>
    <w:rsid w:val="008A723D"/>
    <w:rsid w:val="008A77F5"/>
    <w:rsid w:val="008A7C56"/>
    <w:rsid w:val="008A7E2E"/>
    <w:rsid w:val="008B09B2"/>
    <w:rsid w:val="008B0EEC"/>
    <w:rsid w:val="008B115F"/>
    <w:rsid w:val="008B1AA9"/>
    <w:rsid w:val="008B24BC"/>
    <w:rsid w:val="008B2729"/>
    <w:rsid w:val="008B3255"/>
    <w:rsid w:val="008B39CB"/>
    <w:rsid w:val="008B3CC6"/>
    <w:rsid w:val="008B3D8E"/>
    <w:rsid w:val="008B43F8"/>
    <w:rsid w:val="008B5004"/>
    <w:rsid w:val="008B5DD3"/>
    <w:rsid w:val="008B6194"/>
    <w:rsid w:val="008B6435"/>
    <w:rsid w:val="008B65D5"/>
    <w:rsid w:val="008B6926"/>
    <w:rsid w:val="008B70B9"/>
    <w:rsid w:val="008B7476"/>
    <w:rsid w:val="008C123F"/>
    <w:rsid w:val="008C136D"/>
    <w:rsid w:val="008C195F"/>
    <w:rsid w:val="008C22F6"/>
    <w:rsid w:val="008C25B0"/>
    <w:rsid w:val="008C2CC7"/>
    <w:rsid w:val="008C35B3"/>
    <w:rsid w:val="008C38FC"/>
    <w:rsid w:val="008C4157"/>
    <w:rsid w:val="008C454A"/>
    <w:rsid w:val="008C4B3F"/>
    <w:rsid w:val="008C50DE"/>
    <w:rsid w:val="008C54A3"/>
    <w:rsid w:val="008C5C42"/>
    <w:rsid w:val="008C6DC1"/>
    <w:rsid w:val="008C747D"/>
    <w:rsid w:val="008C74F7"/>
    <w:rsid w:val="008D18B4"/>
    <w:rsid w:val="008D198E"/>
    <w:rsid w:val="008D2F12"/>
    <w:rsid w:val="008D361A"/>
    <w:rsid w:val="008D3D9A"/>
    <w:rsid w:val="008D404D"/>
    <w:rsid w:val="008D4448"/>
    <w:rsid w:val="008D541A"/>
    <w:rsid w:val="008D5F03"/>
    <w:rsid w:val="008D6461"/>
    <w:rsid w:val="008D7CA6"/>
    <w:rsid w:val="008E0273"/>
    <w:rsid w:val="008E13BC"/>
    <w:rsid w:val="008E14D6"/>
    <w:rsid w:val="008E29EE"/>
    <w:rsid w:val="008E33D6"/>
    <w:rsid w:val="008E3B9F"/>
    <w:rsid w:val="008E3BBC"/>
    <w:rsid w:val="008E3E79"/>
    <w:rsid w:val="008E3F41"/>
    <w:rsid w:val="008E4470"/>
    <w:rsid w:val="008E4671"/>
    <w:rsid w:val="008E4701"/>
    <w:rsid w:val="008E51CA"/>
    <w:rsid w:val="008E51F3"/>
    <w:rsid w:val="008E5DAA"/>
    <w:rsid w:val="008E5DAB"/>
    <w:rsid w:val="008E605F"/>
    <w:rsid w:val="008E68AD"/>
    <w:rsid w:val="008E6ABD"/>
    <w:rsid w:val="008E7B42"/>
    <w:rsid w:val="008F0CDD"/>
    <w:rsid w:val="008F15A8"/>
    <w:rsid w:val="008F19B5"/>
    <w:rsid w:val="008F1B46"/>
    <w:rsid w:val="008F38AC"/>
    <w:rsid w:val="008F45C7"/>
    <w:rsid w:val="008F4652"/>
    <w:rsid w:val="008F51AA"/>
    <w:rsid w:val="008F546A"/>
    <w:rsid w:val="008F5A89"/>
    <w:rsid w:val="008F5DC3"/>
    <w:rsid w:val="008F5FAF"/>
    <w:rsid w:val="008F6096"/>
    <w:rsid w:val="008F6AB0"/>
    <w:rsid w:val="008F6D4C"/>
    <w:rsid w:val="008F721C"/>
    <w:rsid w:val="008F7AA0"/>
    <w:rsid w:val="008F7E39"/>
    <w:rsid w:val="00900305"/>
    <w:rsid w:val="009008DC"/>
    <w:rsid w:val="00901807"/>
    <w:rsid w:val="009018A4"/>
    <w:rsid w:val="00901EFD"/>
    <w:rsid w:val="00902F9E"/>
    <w:rsid w:val="00903029"/>
    <w:rsid w:val="0090360D"/>
    <w:rsid w:val="0090525C"/>
    <w:rsid w:val="00905279"/>
    <w:rsid w:val="00906434"/>
    <w:rsid w:val="00906EEB"/>
    <w:rsid w:val="00907E19"/>
    <w:rsid w:val="0091043B"/>
    <w:rsid w:val="00910F36"/>
    <w:rsid w:val="009110A5"/>
    <w:rsid w:val="009120FD"/>
    <w:rsid w:val="0091310D"/>
    <w:rsid w:val="009131F7"/>
    <w:rsid w:val="00913A66"/>
    <w:rsid w:val="00913D22"/>
    <w:rsid w:val="00913EE6"/>
    <w:rsid w:val="00913EF6"/>
    <w:rsid w:val="009150B7"/>
    <w:rsid w:val="009153D4"/>
    <w:rsid w:val="009155D4"/>
    <w:rsid w:val="009158B0"/>
    <w:rsid w:val="00915EE5"/>
    <w:rsid w:val="0091629A"/>
    <w:rsid w:val="00916642"/>
    <w:rsid w:val="00916E80"/>
    <w:rsid w:val="00916FAC"/>
    <w:rsid w:val="00917340"/>
    <w:rsid w:val="00917388"/>
    <w:rsid w:val="0092040F"/>
    <w:rsid w:val="009206C9"/>
    <w:rsid w:val="00921A6B"/>
    <w:rsid w:val="00921B50"/>
    <w:rsid w:val="00921EFD"/>
    <w:rsid w:val="009220E7"/>
    <w:rsid w:val="00923701"/>
    <w:rsid w:val="00923966"/>
    <w:rsid w:val="00924F11"/>
    <w:rsid w:val="009253DE"/>
    <w:rsid w:val="009258DC"/>
    <w:rsid w:val="00926627"/>
    <w:rsid w:val="00926DF0"/>
    <w:rsid w:val="009272F0"/>
    <w:rsid w:val="00927A9E"/>
    <w:rsid w:val="00927EA1"/>
    <w:rsid w:val="00930F5C"/>
    <w:rsid w:val="00931542"/>
    <w:rsid w:val="00931F3F"/>
    <w:rsid w:val="0093219E"/>
    <w:rsid w:val="00932C21"/>
    <w:rsid w:val="00933592"/>
    <w:rsid w:val="00933674"/>
    <w:rsid w:val="009336FB"/>
    <w:rsid w:val="00933B92"/>
    <w:rsid w:val="00934709"/>
    <w:rsid w:val="00934DC1"/>
    <w:rsid w:val="0093583D"/>
    <w:rsid w:val="00935B43"/>
    <w:rsid w:val="00940070"/>
    <w:rsid w:val="009401CE"/>
    <w:rsid w:val="00940C2E"/>
    <w:rsid w:val="009412A6"/>
    <w:rsid w:val="00941613"/>
    <w:rsid w:val="0094206A"/>
    <w:rsid w:val="00942C1E"/>
    <w:rsid w:val="00942F55"/>
    <w:rsid w:val="00943D7E"/>
    <w:rsid w:val="009449C5"/>
    <w:rsid w:val="00945213"/>
    <w:rsid w:val="0094545E"/>
    <w:rsid w:val="00945CEA"/>
    <w:rsid w:val="009500F3"/>
    <w:rsid w:val="00950505"/>
    <w:rsid w:val="00951355"/>
    <w:rsid w:val="00951395"/>
    <w:rsid w:val="009518D5"/>
    <w:rsid w:val="0095207B"/>
    <w:rsid w:val="00952AE2"/>
    <w:rsid w:val="00952BBA"/>
    <w:rsid w:val="00953044"/>
    <w:rsid w:val="00953721"/>
    <w:rsid w:val="00953C2F"/>
    <w:rsid w:val="00954E21"/>
    <w:rsid w:val="00954FFE"/>
    <w:rsid w:val="009557BC"/>
    <w:rsid w:val="00956AD1"/>
    <w:rsid w:val="00956B3B"/>
    <w:rsid w:val="0095770C"/>
    <w:rsid w:val="00957801"/>
    <w:rsid w:val="00957870"/>
    <w:rsid w:val="00960BE4"/>
    <w:rsid w:val="009612DB"/>
    <w:rsid w:val="00961A96"/>
    <w:rsid w:val="00961C58"/>
    <w:rsid w:val="009624F6"/>
    <w:rsid w:val="00962850"/>
    <w:rsid w:val="00962948"/>
    <w:rsid w:val="00962B94"/>
    <w:rsid w:val="009633F7"/>
    <w:rsid w:val="00963868"/>
    <w:rsid w:val="00963FF1"/>
    <w:rsid w:val="00964F92"/>
    <w:rsid w:val="00965185"/>
    <w:rsid w:val="009655C1"/>
    <w:rsid w:val="00965E86"/>
    <w:rsid w:val="009660CE"/>
    <w:rsid w:val="009661C6"/>
    <w:rsid w:val="00966857"/>
    <w:rsid w:val="009679F1"/>
    <w:rsid w:val="009701C4"/>
    <w:rsid w:val="009703EB"/>
    <w:rsid w:val="0097047F"/>
    <w:rsid w:val="00970FD7"/>
    <w:rsid w:val="00972AD9"/>
    <w:rsid w:val="00973EB9"/>
    <w:rsid w:val="009743FF"/>
    <w:rsid w:val="009749FC"/>
    <w:rsid w:val="00975800"/>
    <w:rsid w:val="00975F0E"/>
    <w:rsid w:val="00977F99"/>
    <w:rsid w:val="0098016F"/>
    <w:rsid w:val="0098040D"/>
    <w:rsid w:val="00980649"/>
    <w:rsid w:val="009806C1"/>
    <w:rsid w:val="00980ABD"/>
    <w:rsid w:val="00980CDC"/>
    <w:rsid w:val="00980F5D"/>
    <w:rsid w:val="00981DBF"/>
    <w:rsid w:val="0098288A"/>
    <w:rsid w:val="00982A8D"/>
    <w:rsid w:val="00983189"/>
    <w:rsid w:val="00983385"/>
    <w:rsid w:val="009836DF"/>
    <w:rsid w:val="00984201"/>
    <w:rsid w:val="00984355"/>
    <w:rsid w:val="00984F14"/>
    <w:rsid w:val="00984F82"/>
    <w:rsid w:val="009852CF"/>
    <w:rsid w:val="0098592E"/>
    <w:rsid w:val="00985E1B"/>
    <w:rsid w:val="00986883"/>
    <w:rsid w:val="00987030"/>
    <w:rsid w:val="0099281F"/>
    <w:rsid w:val="009928F2"/>
    <w:rsid w:val="00992B08"/>
    <w:rsid w:val="00993431"/>
    <w:rsid w:val="009945A4"/>
    <w:rsid w:val="00994803"/>
    <w:rsid w:val="00994D77"/>
    <w:rsid w:val="009960D7"/>
    <w:rsid w:val="00997236"/>
    <w:rsid w:val="009A006A"/>
    <w:rsid w:val="009A0541"/>
    <w:rsid w:val="009A0794"/>
    <w:rsid w:val="009A0A25"/>
    <w:rsid w:val="009A11D6"/>
    <w:rsid w:val="009A1513"/>
    <w:rsid w:val="009A195A"/>
    <w:rsid w:val="009A2647"/>
    <w:rsid w:val="009A3815"/>
    <w:rsid w:val="009A411E"/>
    <w:rsid w:val="009A43BF"/>
    <w:rsid w:val="009A50A1"/>
    <w:rsid w:val="009A61DC"/>
    <w:rsid w:val="009A64CD"/>
    <w:rsid w:val="009A79E2"/>
    <w:rsid w:val="009B15C3"/>
    <w:rsid w:val="009B1BB0"/>
    <w:rsid w:val="009B1CC6"/>
    <w:rsid w:val="009B1F0B"/>
    <w:rsid w:val="009B2E16"/>
    <w:rsid w:val="009B315A"/>
    <w:rsid w:val="009B3535"/>
    <w:rsid w:val="009B3A43"/>
    <w:rsid w:val="009B4C04"/>
    <w:rsid w:val="009B4FD5"/>
    <w:rsid w:val="009B50D7"/>
    <w:rsid w:val="009B56EB"/>
    <w:rsid w:val="009B64E7"/>
    <w:rsid w:val="009B6863"/>
    <w:rsid w:val="009B6929"/>
    <w:rsid w:val="009B6D1E"/>
    <w:rsid w:val="009B74F9"/>
    <w:rsid w:val="009B7B88"/>
    <w:rsid w:val="009C1157"/>
    <w:rsid w:val="009C16BE"/>
    <w:rsid w:val="009C1ADC"/>
    <w:rsid w:val="009C25F5"/>
    <w:rsid w:val="009C2686"/>
    <w:rsid w:val="009C3539"/>
    <w:rsid w:val="009C3907"/>
    <w:rsid w:val="009C3F19"/>
    <w:rsid w:val="009C41EF"/>
    <w:rsid w:val="009C4E39"/>
    <w:rsid w:val="009C4FF2"/>
    <w:rsid w:val="009C6381"/>
    <w:rsid w:val="009C64D8"/>
    <w:rsid w:val="009C6614"/>
    <w:rsid w:val="009C6D6A"/>
    <w:rsid w:val="009C7758"/>
    <w:rsid w:val="009C7F8F"/>
    <w:rsid w:val="009D02E5"/>
    <w:rsid w:val="009D0556"/>
    <w:rsid w:val="009D0E6A"/>
    <w:rsid w:val="009D1736"/>
    <w:rsid w:val="009D1BB3"/>
    <w:rsid w:val="009D1DE7"/>
    <w:rsid w:val="009D2F5E"/>
    <w:rsid w:val="009D45B1"/>
    <w:rsid w:val="009D6CA3"/>
    <w:rsid w:val="009D740D"/>
    <w:rsid w:val="009D760B"/>
    <w:rsid w:val="009D774E"/>
    <w:rsid w:val="009D7A16"/>
    <w:rsid w:val="009E0457"/>
    <w:rsid w:val="009E0684"/>
    <w:rsid w:val="009E0D2D"/>
    <w:rsid w:val="009E1077"/>
    <w:rsid w:val="009E20B5"/>
    <w:rsid w:val="009E21E4"/>
    <w:rsid w:val="009E250C"/>
    <w:rsid w:val="009E281D"/>
    <w:rsid w:val="009E296B"/>
    <w:rsid w:val="009E313A"/>
    <w:rsid w:val="009E3D9E"/>
    <w:rsid w:val="009E410B"/>
    <w:rsid w:val="009E52CA"/>
    <w:rsid w:val="009E592F"/>
    <w:rsid w:val="009E5A9A"/>
    <w:rsid w:val="009E60EA"/>
    <w:rsid w:val="009E7215"/>
    <w:rsid w:val="009E72A1"/>
    <w:rsid w:val="009E7D39"/>
    <w:rsid w:val="009F03EF"/>
    <w:rsid w:val="009F0CC3"/>
    <w:rsid w:val="009F15C8"/>
    <w:rsid w:val="009F1C3D"/>
    <w:rsid w:val="009F2788"/>
    <w:rsid w:val="009F3526"/>
    <w:rsid w:val="009F3C35"/>
    <w:rsid w:val="009F47C9"/>
    <w:rsid w:val="009F4C5C"/>
    <w:rsid w:val="009F50D3"/>
    <w:rsid w:val="009F5101"/>
    <w:rsid w:val="009F53BC"/>
    <w:rsid w:val="009F5628"/>
    <w:rsid w:val="009F6780"/>
    <w:rsid w:val="009F7333"/>
    <w:rsid w:val="009F7D07"/>
    <w:rsid w:val="00A005C0"/>
    <w:rsid w:val="00A00D30"/>
    <w:rsid w:val="00A011EF"/>
    <w:rsid w:val="00A01452"/>
    <w:rsid w:val="00A01CBD"/>
    <w:rsid w:val="00A0288F"/>
    <w:rsid w:val="00A02F41"/>
    <w:rsid w:val="00A03398"/>
    <w:rsid w:val="00A03641"/>
    <w:rsid w:val="00A04E82"/>
    <w:rsid w:val="00A05902"/>
    <w:rsid w:val="00A059DD"/>
    <w:rsid w:val="00A05ED2"/>
    <w:rsid w:val="00A06126"/>
    <w:rsid w:val="00A06733"/>
    <w:rsid w:val="00A07307"/>
    <w:rsid w:val="00A076E4"/>
    <w:rsid w:val="00A07AF6"/>
    <w:rsid w:val="00A07DE7"/>
    <w:rsid w:val="00A108E6"/>
    <w:rsid w:val="00A10942"/>
    <w:rsid w:val="00A139A2"/>
    <w:rsid w:val="00A13F51"/>
    <w:rsid w:val="00A14B79"/>
    <w:rsid w:val="00A14BAF"/>
    <w:rsid w:val="00A16203"/>
    <w:rsid w:val="00A16D95"/>
    <w:rsid w:val="00A16ECA"/>
    <w:rsid w:val="00A17077"/>
    <w:rsid w:val="00A171E0"/>
    <w:rsid w:val="00A17CDA"/>
    <w:rsid w:val="00A2128F"/>
    <w:rsid w:val="00A21997"/>
    <w:rsid w:val="00A236B8"/>
    <w:rsid w:val="00A23A7F"/>
    <w:rsid w:val="00A23D53"/>
    <w:rsid w:val="00A24132"/>
    <w:rsid w:val="00A24DD9"/>
    <w:rsid w:val="00A26E39"/>
    <w:rsid w:val="00A27183"/>
    <w:rsid w:val="00A273BF"/>
    <w:rsid w:val="00A2758B"/>
    <w:rsid w:val="00A277C2"/>
    <w:rsid w:val="00A27E03"/>
    <w:rsid w:val="00A302CE"/>
    <w:rsid w:val="00A312D7"/>
    <w:rsid w:val="00A31B5A"/>
    <w:rsid w:val="00A31CD3"/>
    <w:rsid w:val="00A31FD1"/>
    <w:rsid w:val="00A3305E"/>
    <w:rsid w:val="00A33843"/>
    <w:rsid w:val="00A339F2"/>
    <w:rsid w:val="00A348DF"/>
    <w:rsid w:val="00A351BA"/>
    <w:rsid w:val="00A35354"/>
    <w:rsid w:val="00A36226"/>
    <w:rsid w:val="00A36E92"/>
    <w:rsid w:val="00A37344"/>
    <w:rsid w:val="00A379E5"/>
    <w:rsid w:val="00A40A1D"/>
    <w:rsid w:val="00A40B6C"/>
    <w:rsid w:val="00A41E5A"/>
    <w:rsid w:val="00A42161"/>
    <w:rsid w:val="00A42A36"/>
    <w:rsid w:val="00A42D57"/>
    <w:rsid w:val="00A43751"/>
    <w:rsid w:val="00A43AFC"/>
    <w:rsid w:val="00A44251"/>
    <w:rsid w:val="00A4425C"/>
    <w:rsid w:val="00A44A78"/>
    <w:rsid w:val="00A4582F"/>
    <w:rsid w:val="00A45B7F"/>
    <w:rsid w:val="00A464FA"/>
    <w:rsid w:val="00A46547"/>
    <w:rsid w:val="00A4691F"/>
    <w:rsid w:val="00A46DB5"/>
    <w:rsid w:val="00A47BBF"/>
    <w:rsid w:val="00A50584"/>
    <w:rsid w:val="00A50BDA"/>
    <w:rsid w:val="00A50D5A"/>
    <w:rsid w:val="00A51530"/>
    <w:rsid w:val="00A51820"/>
    <w:rsid w:val="00A5198A"/>
    <w:rsid w:val="00A52C2A"/>
    <w:rsid w:val="00A5317D"/>
    <w:rsid w:val="00A53272"/>
    <w:rsid w:val="00A53451"/>
    <w:rsid w:val="00A53A1E"/>
    <w:rsid w:val="00A53B57"/>
    <w:rsid w:val="00A5426F"/>
    <w:rsid w:val="00A54580"/>
    <w:rsid w:val="00A55B52"/>
    <w:rsid w:val="00A560B4"/>
    <w:rsid w:val="00A56B5E"/>
    <w:rsid w:val="00A56DE4"/>
    <w:rsid w:val="00A60CA2"/>
    <w:rsid w:val="00A62C68"/>
    <w:rsid w:val="00A64955"/>
    <w:rsid w:val="00A649FD"/>
    <w:rsid w:val="00A65100"/>
    <w:rsid w:val="00A65B00"/>
    <w:rsid w:val="00A660E6"/>
    <w:rsid w:val="00A66120"/>
    <w:rsid w:val="00A66331"/>
    <w:rsid w:val="00A67948"/>
    <w:rsid w:val="00A70266"/>
    <w:rsid w:val="00A703A5"/>
    <w:rsid w:val="00A70444"/>
    <w:rsid w:val="00A7142A"/>
    <w:rsid w:val="00A71F64"/>
    <w:rsid w:val="00A7224D"/>
    <w:rsid w:val="00A730EB"/>
    <w:rsid w:val="00A7403B"/>
    <w:rsid w:val="00A74207"/>
    <w:rsid w:val="00A742E3"/>
    <w:rsid w:val="00A7594D"/>
    <w:rsid w:val="00A75D45"/>
    <w:rsid w:val="00A75D70"/>
    <w:rsid w:val="00A770D0"/>
    <w:rsid w:val="00A77705"/>
    <w:rsid w:val="00A77787"/>
    <w:rsid w:val="00A778A2"/>
    <w:rsid w:val="00A77B57"/>
    <w:rsid w:val="00A80C31"/>
    <w:rsid w:val="00A8135B"/>
    <w:rsid w:val="00A825E0"/>
    <w:rsid w:val="00A82E61"/>
    <w:rsid w:val="00A82EB4"/>
    <w:rsid w:val="00A83076"/>
    <w:rsid w:val="00A84BD7"/>
    <w:rsid w:val="00A85AE3"/>
    <w:rsid w:val="00A86EDB"/>
    <w:rsid w:val="00A907F0"/>
    <w:rsid w:val="00A90ADD"/>
    <w:rsid w:val="00A90E29"/>
    <w:rsid w:val="00A90EA1"/>
    <w:rsid w:val="00A9106A"/>
    <w:rsid w:val="00A91A42"/>
    <w:rsid w:val="00A91E74"/>
    <w:rsid w:val="00A92378"/>
    <w:rsid w:val="00A92D4B"/>
    <w:rsid w:val="00A92E74"/>
    <w:rsid w:val="00A92FD6"/>
    <w:rsid w:val="00A92FFE"/>
    <w:rsid w:val="00A93F46"/>
    <w:rsid w:val="00A94BA1"/>
    <w:rsid w:val="00A94C65"/>
    <w:rsid w:val="00A95148"/>
    <w:rsid w:val="00A954A9"/>
    <w:rsid w:val="00A95A6E"/>
    <w:rsid w:val="00A95B01"/>
    <w:rsid w:val="00A9606E"/>
    <w:rsid w:val="00A96579"/>
    <w:rsid w:val="00A965B3"/>
    <w:rsid w:val="00A96FC5"/>
    <w:rsid w:val="00A973FF"/>
    <w:rsid w:val="00AA0371"/>
    <w:rsid w:val="00AA0429"/>
    <w:rsid w:val="00AA2126"/>
    <w:rsid w:val="00AA2A87"/>
    <w:rsid w:val="00AA3611"/>
    <w:rsid w:val="00AA3812"/>
    <w:rsid w:val="00AA3E5D"/>
    <w:rsid w:val="00AA4676"/>
    <w:rsid w:val="00AA4DE3"/>
    <w:rsid w:val="00AA58B9"/>
    <w:rsid w:val="00AA5C40"/>
    <w:rsid w:val="00AA7418"/>
    <w:rsid w:val="00AA78DF"/>
    <w:rsid w:val="00AB1113"/>
    <w:rsid w:val="00AB1A5B"/>
    <w:rsid w:val="00AB22E7"/>
    <w:rsid w:val="00AB254A"/>
    <w:rsid w:val="00AB2A4C"/>
    <w:rsid w:val="00AB3259"/>
    <w:rsid w:val="00AB3281"/>
    <w:rsid w:val="00AB365A"/>
    <w:rsid w:val="00AB3F85"/>
    <w:rsid w:val="00AB4A5B"/>
    <w:rsid w:val="00AB4DC1"/>
    <w:rsid w:val="00AB565B"/>
    <w:rsid w:val="00AB56B8"/>
    <w:rsid w:val="00AB57B8"/>
    <w:rsid w:val="00AB5C7F"/>
    <w:rsid w:val="00AB6202"/>
    <w:rsid w:val="00AB7B8A"/>
    <w:rsid w:val="00AB7E70"/>
    <w:rsid w:val="00AC04CD"/>
    <w:rsid w:val="00AC07A1"/>
    <w:rsid w:val="00AC14FA"/>
    <w:rsid w:val="00AC1F5D"/>
    <w:rsid w:val="00AC242C"/>
    <w:rsid w:val="00AC2430"/>
    <w:rsid w:val="00AC265B"/>
    <w:rsid w:val="00AC296E"/>
    <w:rsid w:val="00AC2D89"/>
    <w:rsid w:val="00AC4B75"/>
    <w:rsid w:val="00AC51F0"/>
    <w:rsid w:val="00AC538B"/>
    <w:rsid w:val="00AC578A"/>
    <w:rsid w:val="00AC58FA"/>
    <w:rsid w:val="00AC5BE3"/>
    <w:rsid w:val="00AC5E72"/>
    <w:rsid w:val="00AC5F63"/>
    <w:rsid w:val="00AC6289"/>
    <w:rsid w:val="00AC6B22"/>
    <w:rsid w:val="00AC72ED"/>
    <w:rsid w:val="00AC7BA8"/>
    <w:rsid w:val="00AD0509"/>
    <w:rsid w:val="00AD0C31"/>
    <w:rsid w:val="00AD1161"/>
    <w:rsid w:val="00AD117F"/>
    <w:rsid w:val="00AD1742"/>
    <w:rsid w:val="00AD233F"/>
    <w:rsid w:val="00AD2E5D"/>
    <w:rsid w:val="00AD2FBD"/>
    <w:rsid w:val="00AD41D7"/>
    <w:rsid w:val="00AD44DF"/>
    <w:rsid w:val="00AD4642"/>
    <w:rsid w:val="00AD55AA"/>
    <w:rsid w:val="00AD5610"/>
    <w:rsid w:val="00AD5AD9"/>
    <w:rsid w:val="00AD5EA6"/>
    <w:rsid w:val="00AD6649"/>
    <w:rsid w:val="00AD6F20"/>
    <w:rsid w:val="00AE00CA"/>
    <w:rsid w:val="00AE075A"/>
    <w:rsid w:val="00AE0F1E"/>
    <w:rsid w:val="00AE11AF"/>
    <w:rsid w:val="00AE11EA"/>
    <w:rsid w:val="00AE15F4"/>
    <w:rsid w:val="00AE1C7D"/>
    <w:rsid w:val="00AE23C4"/>
    <w:rsid w:val="00AE2726"/>
    <w:rsid w:val="00AE2C61"/>
    <w:rsid w:val="00AE3B0E"/>
    <w:rsid w:val="00AE400F"/>
    <w:rsid w:val="00AE48B3"/>
    <w:rsid w:val="00AE4AB8"/>
    <w:rsid w:val="00AE532D"/>
    <w:rsid w:val="00AE64F0"/>
    <w:rsid w:val="00AE714C"/>
    <w:rsid w:val="00AE71A5"/>
    <w:rsid w:val="00AE72DC"/>
    <w:rsid w:val="00AF1CEC"/>
    <w:rsid w:val="00AF27C7"/>
    <w:rsid w:val="00AF2A98"/>
    <w:rsid w:val="00AF3E7D"/>
    <w:rsid w:val="00AF4038"/>
    <w:rsid w:val="00AF50CD"/>
    <w:rsid w:val="00AF5B3B"/>
    <w:rsid w:val="00AF6336"/>
    <w:rsid w:val="00AF6D46"/>
    <w:rsid w:val="00AF7598"/>
    <w:rsid w:val="00AF7AD8"/>
    <w:rsid w:val="00AF7DC9"/>
    <w:rsid w:val="00AF7E4A"/>
    <w:rsid w:val="00B00AE0"/>
    <w:rsid w:val="00B010D5"/>
    <w:rsid w:val="00B01C4C"/>
    <w:rsid w:val="00B01FB1"/>
    <w:rsid w:val="00B02B19"/>
    <w:rsid w:val="00B03765"/>
    <w:rsid w:val="00B03AB2"/>
    <w:rsid w:val="00B03E83"/>
    <w:rsid w:val="00B0423A"/>
    <w:rsid w:val="00B04240"/>
    <w:rsid w:val="00B04257"/>
    <w:rsid w:val="00B0440E"/>
    <w:rsid w:val="00B0470A"/>
    <w:rsid w:val="00B04769"/>
    <w:rsid w:val="00B057DE"/>
    <w:rsid w:val="00B0678D"/>
    <w:rsid w:val="00B076B2"/>
    <w:rsid w:val="00B07BEC"/>
    <w:rsid w:val="00B10738"/>
    <w:rsid w:val="00B10BFF"/>
    <w:rsid w:val="00B10E1A"/>
    <w:rsid w:val="00B11551"/>
    <w:rsid w:val="00B13D6B"/>
    <w:rsid w:val="00B1420E"/>
    <w:rsid w:val="00B14DB6"/>
    <w:rsid w:val="00B168E6"/>
    <w:rsid w:val="00B16907"/>
    <w:rsid w:val="00B16B7F"/>
    <w:rsid w:val="00B16D27"/>
    <w:rsid w:val="00B178B8"/>
    <w:rsid w:val="00B20043"/>
    <w:rsid w:val="00B2018F"/>
    <w:rsid w:val="00B201F8"/>
    <w:rsid w:val="00B20201"/>
    <w:rsid w:val="00B20C3D"/>
    <w:rsid w:val="00B21BA4"/>
    <w:rsid w:val="00B21C8D"/>
    <w:rsid w:val="00B2204B"/>
    <w:rsid w:val="00B227E0"/>
    <w:rsid w:val="00B22BF1"/>
    <w:rsid w:val="00B2357B"/>
    <w:rsid w:val="00B2371E"/>
    <w:rsid w:val="00B23859"/>
    <w:rsid w:val="00B23A4B"/>
    <w:rsid w:val="00B23AF1"/>
    <w:rsid w:val="00B2422F"/>
    <w:rsid w:val="00B2454D"/>
    <w:rsid w:val="00B24A21"/>
    <w:rsid w:val="00B2507C"/>
    <w:rsid w:val="00B2591D"/>
    <w:rsid w:val="00B26E30"/>
    <w:rsid w:val="00B30535"/>
    <w:rsid w:val="00B31339"/>
    <w:rsid w:val="00B3275D"/>
    <w:rsid w:val="00B3298C"/>
    <w:rsid w:val="00B32A60"/>
    <w:rsid w:val="00B32FFE"/>
    <w:rsid w:val="00B33221"/>
    <w:rsid w:val="00B334D8"/>
    <w:rsid w:val="00B33784"/>
    <w:rsid w:val="00B33F1D"/>
    <w:rsid w:val="00B34D1C"/>
    <w:rsid w:val="00B352F9"/>
    <w:rsid w:val="00B36212"/>
    <w:rsid w:val="00B366EE"/>
    <w:rsid w:val="00B369F7"/>
    <w:rsid w:val="00B371C4"/>
    <w:rsid w:val="00B37BF2"/>
    <w:rsid w:val="00B37D06"/>
    <w:rsid w:val="00B4009A"/>
    <w:rsid w:val="00B40D9B"/>
    <w:rsid w:val="00B411A4"/>
    <w:rsid w:val="00B41C7B"/>
    <w:rsid w:val="00B424B6"/>
    <w:rsid w:val="00B427B0"/>
    <w:rsid w:val="00B4314F"/>
    <w:rsid w:val="00B44881"/>
    <w:rsid w:val="00B44E2A"/>
    <w:rsid w:val="00B46252"/>
    <w:rsid w:val="00B4644B"/>
    <w:rsid w:val="00B4690F"/>
    <w:rsid w:val="00B4741F"/>
    <w:rsid w:val="00B47874"/>
    <w:rsid w:val="00B47AF8"/>
    <w:rsid w:val="00B47FC6"/>
    <w:rsid w:val="00B512A7"/>
    <w:rsid w:val="00B524E4"/>
    <w:rsid w:val="00B52F08"/>
    <w:rsid w:val="00B52FB2"/>
    <w:rsid w:val="00B530D9"/>
    <w:rsid w:val="00B531B8"/>
    <w:rsid w:val="00B5334F"/>
    <w:rsid w:val="00B53D69"/>
    <w:rsid w:val="00B5440C"/>
    <w:rsid w:val="00B54AA4"/>
    <w:rsid w:val="00B54FC4"/>
    <w:rsid w:val="00B55385"/>
    <w:rsid w:val="00B5564B"/>
    <w:rsid w:val="00B565C7"/>
    <w:rsid w:val="00B570E7"/>
    <w:rsid w:val="00B5714C"/>
    <w:rsid w:val="00B5774C"/>
    <w:rsid w:val="00B5793C"/>
    <w:rsid w:val="00B605A7"/>
    <w:rsid w:val="00B60F14"/>
    <w:rsid w:val="00B60F4C"/>
    <w:rsid w:val="00B610FD"/>
    <w:rsid w:val="00B616ED"/>
    <w:rsid w:val="00B61702"/>
    <w:rsid w:val="00B617A9"/>
    <w:rsid w:val="00B62E25"/>
    <w:rsid w:val="00B62E6A"/>
    <w:rsid w:val="00B63E2D"/>
    <w:rsid w:val="00B646C2"/>
    <w:rsid w:val="00B64FFC"/>
    <w:rsid w:val="00B652FC"/>
    <w:rsid w:val="00B6571E"/>
    <w:rsid w:val="00B65885"/>
    <w:rsid w:val="00B66785"/>
    <w:rsid w:val="00B66E19"/>
    <w:rsid w:val="00B679A7"/>
    <w:rsid w:val="00B67EB5"/>
    <w:rsid w:val="00B7026B"/>
    <w:rsid w:val="00B70ABA"/>
    <w:rsid w:val="00B71F43"/>
    <w:rsid w:val="00B73125"/>
    <w:rsid w:val="00B73754"/>
    <w:rsid w:val="00B7452B"/>
    <w:rsid w:val="00B746BE"/>
    <w:rsid w:val="00B74B1A"/>
    <w:rsid w:val="00B74B37"/>
    <w:rsid w:val="00B75C1A"/>
    <w:rsid w:val="00B75FF4"/>
    <w:rsid w:val="00B767DC"/>
    <w:rsid w:val="00B76E0E"/>
    <w:rsid w:val="00B773F2"/>
    <w:rsid w:val="00B77A3C"/>
    <w:rsid w:val="00B80B3D"/>
    <w:rsid w:val="00B8111B"/>
    <w:rsid w:val="00B81EE1"/>
    <w:rsid w:val="00B82107"/>
    <w:rsid w:val="00B82DED"/>
    <w:rsid w:val="00B83C48"/>
    <w:rsid w:val="00B83EE8"/>
    <w:rsid w:val="00B84657"/>
    <w:rsid w:val="00B853B6"/>
    <w:rsid w:val="00B864C7"/>
    <w:rsid w:val="00B867C6"/>
    <w:rsid w:val="00B8765B"/>
    <w:rsid w:val="00B90F83"/>
    <w:rsid w:val="00B9107F"/>
    <w:rsid w:val="00B91B2B"/>
    <w:rsid w:val="00B91C2B"/>
    <w:rsid w:val="00B91D4B"/>
    <w:rsid w:val="00B926F8"/>
    <w:rsid w:val="00B95409"/>
    <w:rsid w:val="00B95FDA"/>
    <w:rsid w:val="00B96244"/>
    <w:rsid w:val="00B96B5E"/>
    <w:rsid w:val="00BA08E0"/>
    <w:rsid w:val="00BA1060"/>
    <w:rsid w:val="00BA18A2"/>
    <w:rsid w:val="00BA1BCA"/>
    <w:rsid w:val="00BA1D6E"/>
    <w:rsid w:val="00BA26FC"/>
    <w:rsid w:val="00BA2907"/>
    <w:rsid w:val="00BA49DD"/>
    <w:rsid w:val="00BA4ABD"/>
    <w:rsid w:val="00BA5ACF"/>
    <w:rsid w:val="00BA603D"/>
    <w:rsid w:val="00BA6FED"/>
    <w:rsid w:val="00BB03DD"/>
    <w:rsid w:val="00BB0BA5"/>
    <w:rsid w:val="00BB106E"/>
    <w:rsid w:val="00BB110C"/>
    <w:rsid w:val="00BB3291"/>
    <w:rsid w:val="00BB3733"/>
    <w:rsid w:val="00BB39AB"/>
    <w:rsid w:val="00BB4A9C"/>
    <w:rsid w:val="00BB7666"/>
    <w:rsid w:val="00BC02A1"/>
    <w:rsid w:val="00BC2C64"/>
    <w:rsid w:val="00BC2E47"/>
    <w:rsid w:val="00BC340E"/>
    <w:rsid w:val="00BC42E7"/>
    <w:rsid w:val="00BC4DE5"/>
    <w:rsid w:val="00BC4E5D"/>
    <w:rsid w:val="00BC5312"/>
    <w:rsid w:val="00BC5967"/>
    <w:rsid w:val="00BC6177"/>
    <w:rsid w:val="00BC65EE"/>
    <w:rsid w:val="00BC7448"/>
    <w:rsid w:val="00BC7EDE"/>
    <w:rsid w:val="00BD00B9"/>
    <w:rsid w:val="00BD00CB"/>
    <w:rsid w:val="00BD202B"/>
    <w:rsid w:val="00BD26B8"/>
    <w:rsid w:val="00BD29F7"/>
    <w:rsid w:val="00BD2AD6"/>
    <w:rsid w:val="00BD2ED3"/>
    <w:rsid w:val="00BD3062"/>
    <w:rsid w:val="00BD4351"/>
    <w:rsid w:val="00BD45D9"/>
    <w:rsid w:val="00BD4FBD"/>
    <w:rsid w:val="00BD5190"/>
    <w:rsid w:val="00BD5907"/>
    <w:rsid w:val="00BD59F9"/>
    <w:rsid w:val="00BD67B9"/>
    <w:rsid w:val="00BD6849"/>
    <w:rsid w:val="00BD691A"/>
    <w:rsid w:val="00BD6B6B"/>
    <w:rsid w:val="00BD7377"/>
    <w:rsid w:val="00BD75C0"/>
    <w:rsid w:val="00BE08D6"/>
    <w:rsid w:val="00BE0BB4"/>
    <w:rsid w:val="00BE198E"/>
    <w:rsid w:val="00BE1B2D"/>
    <w:rsid w:val="00BE2149"/>
    <w:rsid w:val="00BE26A0"/>
    <w:rsid w:val="00BE2916"/>
    <w:rsid w:val="00BE343A"/>
    <w:rsid w:val="00BE3E0F"/>
    <w:rsid w:val="00BE43F5"/>
    <w:rsid w:val="00BE442F"/>
    <w:rsid w:val="00BE50D0"/>
    <w:rsid w:val="00BE5924"/>
    <w:rsid w:val="00BE59D0"/>
    <w:rsid w:val="00BE607D"/>
    <w:rsid w:val="00BE61DC"/>
    <w:rsid w:val="00BE7F85"/>
    <w:rsid w:val="00BF08E6"/>
    <w:rsid w:val="00BF09BC"/>
    <w:rsid w:val="00BF18D3"/>
    <w:rsid w:val="00BF21D4"/>
    <w:rsid w:val="00BF2931"/>
    <w:rsid w:val="00BF2C3C"/>
    <w:rsid w:val="00BF3100"/>
    <w:rsid w:val="00BF414B"/>
    <w:rsid w:val="00BF4E09"/>
    <w:rsid w:val="00BF5365"/>
    <w:rsid w:val="00BF536A"/>
    <w:rsid w:val="00BF5854"/>
    <w:rsid w:val="00BF6D87"/>
    <w:rsid w:val="00BF6E30"/>
    <w:rsid w:val="00BF7367"/>
    <w:rsid w:val="00BF766B"/>
    <w:rsid w:val="00BF7968"/>
    <w:rsid w:val="00C01724"/>
    <w:rsid w:val="00C020BD"/>
    <w:rsid w:val="00C021E2"/>
    <w:rsid w:val="00C0244A"/>
    <w:rsid w:val="00C02A96"/>
    <w:rsid w:val="00C02E80"/>
    <w:rsid w:val="00C0315A"/>
    <w:rsid w:val="00C036EA"/>
    <w:rsid w:val="00C042CD"/>
    <w:rsid w:val="00C0433A"/>
    <w:rsid w:val="00C04801"/>
    <w:rsid w:val="00C04C27"/>
    <w:rsid w:val="00C05075"/>
    <w:rsid w:val="00C0529F"/>
    <w:rsid w:val="00C0564A"/>
    <w:rsid w:val="00C05A3C"/>
    <w:rsid w:val="00C06094"/>
    <w:rsid w:val="00C07A16"/>
    <w:rsid w:val="00C07ED1"/>
    <w:rsid w:val="00C10D3A"/>
    <w:rsid w:val="00C11AE3"/>
    <w:rsid w:val="00C11EB9"/>
    <w:rsid w:val="00C1287A"/>
    <w:rsid w:val="00C131B0"/>
    <w:rsid w:val="00C14381"/>
    <w:rsid w:val="00C14471"/>
    <w:rsid w:val="00C1460A"/>
    <w:rsid w:val="00C1512D"/>
    <w:rsid w:val="00C15B71"/>
    <w:rsid w:val="00C16215"/>
    <w:rsid w:val="00C1629F"/>
    <w:rsid w:val="00C172BF"/>
    <w:rsid w:val="00C1749D"/>
    <w:rsid w:val="00C20230"/>
    <w:rsid w:val="00C20C66"/>
    <w:rsid w:val="00C21584"/>
    <w:rsid w:val="00C22989"/>
    <w:rsid w:val="00C22BC8"/>
    <w:rsid w:val="00C22C5B"/>
    <w:rsid w:val="00C248DE"/>
    <w:rsid w:val="00C24CC7"/>
    <w:rsid w:val="00C257E0"/>
    <w:rsid w:val="00C259D9"/>
    <w:rsid w:val="00C25CC9"/>
    <w:rsid w:val="00C26069"/>
    <w:rsid w:val="00C26115"/>
    <w:rsid w:val="00C2668D"/>
    <w:rsid w:val="00C2737C"/>
    <w:rsid w:val="00C27451"/>
    <w:rsid w:val="00C2778E"/>
    <w:rsid w:val="00C30572"/>
    <w:rsid w:val="00C3089A"/>
    <w:rsid w:val="00C3092A"/>
    <w:rsid w:val="00C31211"/>
    <w:rsid w:val="00C32B70"/>
    <w:rsid w:val="00C32EC9"/>
    <w:rsid w:val="00C3343A"/>
    <w:rsid w:val="00C33AFA"/>
    <w:rsid w:val="00C34DB7"/>
    <w:rsid w:val="00C34FF1"/>
    <w:rsid w:val="00C35234"/>
    <w:rsid w:val="00C35CEA"/>
    <w:rsid w:val="00C35EA2"/>
    <w:rsid w:val="00C36584"/>
    <w:rsid w:val="00C367F2"/>
    <w:rsid w:val="00C3699D"/>
    <w:rsid w:val="00C40141"/>
    <w:rsid w:val="00C403E6"/>
    <w:rsid w:val="00C4052A"/>
    <w:rsid w:val="00C40A79"/>
    <w:rsid w:val="00C40E46"/>
    <w:rsid w:val="00C418CA"/>
    <w:rsid w:val="00C42399"/>
    <w:rsid w:val="00C42CDE"/>
    <w:rsid w:val="00C42DF2"/>
    <w:rsid w:val="00C42E1C"/>
    <w:rsid w:val="00C430A6"/>
    <w:rsid w:val="00C438A0"/>
    <w:rsid w:val="00C43972"/>
    <w:rsid w:val="00C44415"/>
    <w:rsid w:val="00C44B3A"/>
    <w:rsid w:val="00C44C5A"/>
    <w:rsid w:val="00C45238"/>
    <w:rsid w:val="00C45D8E"/>
    <w:rsid w:val="00C46020"/>
    <w:rsid w:val="00C460A2"/>
    <w:rsid w:val="00C46D92"/>
    <w:rsid w:val="00C4722F"/>
    <w:rsid w:val="00C475F6"/>
    <w:rsid w:val="00C50155"/>
    <w:rsid w:val="00C505C0"/>
    <w:rsid w:val="00C510BA"/>
    <w:rsid w:val="00C51BF9"/>
    <w:rsid w:val="00C526AC"/>
    <w:rsid w:val="00C528EC"/>
    <w:rsid w:val="00C53BC4"/>
    <w:rsid w:val="00C53F44"/>
    <w:rsid w:val="00C54184"/>
    <w:rsid w:val="00C54768"/>
    <w:rsid w:val="00C54FFE"/>
    <w:rsid w:val="00C557DC"/>
    <w:rsid w:val="00C55C36"/>
    <w:rsid w:val="00C564D1"/>
    <w:rsid w:val="00C566A3"/>
    <w:rsid w:val="00C57012"/>
    <w:rsid w:val="00C57776"/>
    <w:rsid w:val="00C57A4F"/>
    <w:rsid w:val="00C60B3E"/>
    <w:rsid w:val="00C60CA4"/>
    <w:rsid w:val="00C61377"/>
    <w:rsid w:val="00C6147E"/>
    <w:rsid w:val="00C616F1"/>
    <w:rsid w:val="00C61C2E"/>
    <w:rsid w:val="00C61FFF"/>
    <w:rsid w:val="00C62BF7"/>
    <w:rsid w:val="00C6319D"/>
    <w:rsid w:val="00C63699"/>
    <w:rsid w:val="00C639C1"/>
    <w:rsid w:val="00C64153"/>
    <w:rsid w:val="00C65A40"/>
    <w:rsid w:val="00C65AB4"/>
    <w:rsid w:val="00C65D46"/>
    <w:rsid w:val="00C675E2"/>
    <w:rsid w:val="00C700C0"/>
    <w:rsid w:val="00C700E3"/>
    <w:rsid w:val="00C70815"/>
    <w:rsid w:val="00C70AAF"/>
    <w:rsid w:val="00C7126D"/>
    <w:rsid w:val="00C72174"/>
    <w:rsid w:val="00C72389"/>
    <w:rsid w:val="00C728D3"/>
    <w:rsid w:val="00C72B18"/>
    <w:rsid w:val="00C7491C"/>
    <w:rsid w:val="00C74FA9"/>
    <w:rsid w:val="00C755B6"/>
    <w:rsid w:val="00C755CB"/>
    <w:rsid w:val="00C759E6"/>
    <w:rsid w:val="00C75A5D"/>
    <w:rsid w:val="00C7635B"/>
    <w:rsid w:val="00C7672C"/>
    <w:rsid w:val="00C7708E"/>
    <w:rsid w:val="00C77509"/>
    <w:rsid w:val="00C77DA6"/>
    <w:rsid w:val="00C82191"/>
    <w:rsid w:val="00C831FF"/>
    <w:rsid w:val="00C83A22"/>
    <w:rsid w:val="00C83D27"/>
    <w:rsid w:val="00C852DE"/>
    <w:rsid w:val="00C871FD"/>
    <w:rsid w:val="00C87C9D"/>
    <w:rsid w:val="00C87CD4"/>
    <w:rsid w:val="00C901B0"/>
    <w:rsid w:val="00C911B8"/>
    <w:rsid w:val="00C91407"/>
    <w:rsid w:val="00C921EE"/>
    <w:rsid w:val="00C924EF"/>
    <w:rsid w:val="00C92BC8"/>
    <w:rsid w:val="00C940CE"/>
    <w:rsid w:val="00C9525E"/>
    <w:rsid w:val="00C953ED"/>
    <w:rsid w:val="00C96338"/>
    <w:rsid w:val="00C9641E"/>
    <w:rsid w:val="00C96E2B"/>
    <w:rsid w:val="00C96E44"/>
    <w:rsid w:val="00C971D5"/>
    <w:rsid w:val="00C97FE1"/>
    <w:rsid w:val="00CA0485"/>
    <w:rsid w:val="00CA0B5A"/>
    <w:rsid w:val="00CA0CE1"/>
    <w:rsid w:val="00CA1A84"/>
    <w:rsid w:val="00CA23FB"/>
    <w:rsid w:val="00CA2B2C"/>
    <w:rsid w:val="00CA2EF2"/>
    <w:rsid w:val="00CA3124"/>
    <w:rsid w:val="00CA3D57"/>
    <w:rsid w:val="00CA3F3D"/>
    <w:rsid w:val="00CA3FF9"/>
    <w:rsid w:val="00CA42B2"/>
    <w:rsid w:val="00CA4887"/>
    <w:rsid w:val="00CA4D84"/>
    <w:rsid w:val="00CA5831"/>
    <w:rsid w:val="00CA627B"/>
    <w:rsid w:val="00CA6642"/>
    <w:rsid w:val="00CA73F9"/>
    <w:rsid w:val="00CA7B0D"/>
    <w:rsid w:val="00CB0BAA"/>
    <w:rsid w:val="00CB0E11"/>
    <w:rsid w:val="00CB1291"/>
    <w:rsid w:val="00CB133B"/>
    <w:rsid w:val="00CB147D"/>
    <w:rsid w:val="00CB2724"/>
    <w:rsid w:val="00CB3079"/>
    <w:rsid w:val="00CB33D7"/>
    <w:rsid w:val="00CB3666"/>
    <w:rsid w:val="00CB3D97"/>
    <w:rsid w:val="00CB3E4D"/>
    <w:rsid w:val="00CB48C2"/>
    <w:rsid w:val="00CB6162"/>
    <w:rsid w:val="00CB6877"/>
    <w:rsid w:val="00CB6DA6"/>
    <w:rsid w:val="00CC07B3"/>
    <w:rsid w:val="00CC08E4"/>
    <w:rsid w:val="00CC0C78"/>
    <w:rsid w:val="00CC1D2F"/>
    <w:rsid w:val="00CC225F"/>
    <w:rsid w:val="00CC246E"/>
    <w:rsid w:val="00CC2D40"/>
    <w:rsid w:val="00CC3241"/>
    <w:rsid w:val="00CC33F5"/>
    <w:rsid w:val="00CC3511"/>
    <w:rsid w:val="00CC3CDA"/>
    <w:rsid w:val="00CC3E1B"/>
    <w:rsid w:val="00CC535A"/>
    <w:rsid w:val="00CC5822"/>
    <w:rsid w:val="00CC5ED3"/>
    <w:rsid w:val="00CC5FEC"/>
    <w:rsid w:val="00CC67D5"/>
    <w:rsid w:val="00CC7266"/>
    <w:rsid w:val="00CC7A53"/>
    <w:rsid w:val="00CC7C92"/>
    <w:rsid w:val="00CD05F4"/>
    <w:rsid w:val="00CD2181"/>
    <w:rsid w:val="00CD285F"/>
    <w:rsid w:val="00CD29A9"/>
    <w:rsid w:val="00CD422F"/>
    <w:rsid w:val="00CD4E8D"/>
    <w:rsid w:val="00CD4F5B"/>
    <w:rsid w:val="00CD53D2"/>
    <w:rsid w:val="00CD5742"/>
    <w:rsid w:val="00CD62A2"/>
    <w:rsid w:val="00CD68DB"/>
    <w:rsid w:val="00CD6EAC"/>
    <w:rsid w:val="00CD71C9"/>
    <w:rsid w:val="00CD729A"/>
    <w:rsid w:val="00CD74BC"/>
    <w:rsid w:val="00CD7649"/>
    <w:rsid w:val="00CD79C7"/>
    <w:rsid w:val="00CE061B"/>
    <w:rsid w:val="00CE16C4"/>
    <w:rsid w:val="00CE2713"/>
    <w:rsid w:val="00CE2FBF"/>
    <w:rsid w:val="00CE3A18"/>
    <w:rsid w:val="00CE43C3"/>
    <w:rsid w:val="00CE4AD3"/>
    <w:rsid w:val="00CE6101"/>
    <w:rsid w:val="00CE714D"/>
    <w:rsid w:val="00CE71F4"/>
    <w:rsid w:val="00CE7E7A"/>
    <w:rsid w:val="00CF00ED"/>
    <w:rsid w:val="00CF06EE"/>
    <w:rsid w:val="00CF0998"/>
    <w:rsid w:val="00CF1485"/>
    <w:rsid w:val="00CF1FD5"/>
    <w:rsid w:val="00CF24DC"/>
    <w:rsid w:val="00CF29FF"/>
    <w:rsid w:val="00CF2D43"/>
    <w:rsid w:val="00CF397A"/>
    <w:rsid w:val="00CF4309"/>
    <w:rsid w:val="00CF4A12"/>
    <w:rsid w:val="00CF4E9F"/>
    <w:rsid w:val="00CF57C6"/>
    <w:rsid w:val="00CF5A77"/>
    <w:rsid w:val="00CF5EDE"/>
    <w:rsid w:val="00CF674C"/>
    <w:rsid w:val="00CF7015"/>
    <w:rsid w:val="00CF7188"/>
    <w:rsid w:val="00CF7AFD"/>
    <w:rsid w:val="00CF7D74"/>
    <w:rsid w:val="00D00A8C"/>
    <w:rsid w:val="00D00C25"/>
    <w:rsid w:val="00D010A6"/>
    <w:rsid w:val="00D010A9"/>
    <w:rsid w:val="00D01564"/>
    <w:rsid w:val="00D0160A"/>
    <w:rsid w:val="00D01BE4"/>
    <w:rsid w:val="00D03407"/>
    <w:rsid w:val="00D0345C"/>
    <w:rsid w:val="00D0348C"/>
    <w:rsid w:val="00D051D7"/>
    <w:rsid w:val="00D05A85"/>
    <w:rsid w:val="00D06C3E"/>
    <w:rsid w:val="00D06FF9"/>
    <w:rsid w:val="00D0747E"/>
    <w:rsid w:val="00D07658"/>
    <w:rsid w:val="00D076DB"/>
    <w:rsid w:val="00D076FF"/>
    <w:rsid w:val="00D07EAA"/>
    <w:rsid w:val="00D106D8"/>
    <w:rsid w:val="00D10B41"/>
    <w:rsid w:val="00D10B81"/>
    <w:rsid w:val="00D1119D"/>
    <w:rsid w:val="00D11A95"/>
    <w:rsid w:val="00D121B0"/>
    <w:rsid w:val="00D12926"/>
    <w:rsid w:val="00D12DAB"/>
    <w:rsid w:val="00D13988"/>
    <w:rsid w:val="00D144CE"/>
    <w:rsid w:val="00D14E43"/>
    <w:rsid w:val="00D16748"/>
    <w:rsid w:val="00D205C8"/>
    <w:rsid w:val="00D212A3"/>
    <w:rsid w:val="00D21569"/>
    <w:rsid w:val="00D21A0B"/>
    <w:rsid w:val="00D236A9"/>
    <w:rsid w:val="00D2373C"/>
    <w:rsid w:val="00D24A2E"/>
    <w:rsid w:val="00D25547"/>
    <w:rsid w:val="00D255B7"/>
    <w:rsid w:val="00D26DB3"/>
    <w:rsid w:val="00D26EF1"/>
    <w:rsid w:val="00D2791A"/>
    <w:rsid w:val="00D30B12"/>
    <w:rsid w:val="00D30F38"/>
    <w:rsid w:val="00D317A1"/>
    <w:rsid w:val="00D31CCB"/>
    <w:rsid w:val="00D31F9E"/>
    <w:rsid w:val="00D3293B"/>
    <w:rsid w:val="00D329A1"/>
    <w:rsid w:val="00D32F84"/>
    <w:rsid w:val="00D333F4"/>
    <w:rsid w:val="00D334D3"/>
    <w:rsid w:val="00D335DB"/>
    <w:rsid w:val="00D339B7"/>
    <w:rsid w:val="00D33F94"/>
    <w:rsid w:val="00D33FAE"/>
    <w:rsid w:val="00D346FE"/>
    <w:rsid w:val="00D359EB"/>
    <w:rsid w:val="00D35FE4"/>
    <w:rsid w:val="00D362BF"/>
    <w:rsid w:val="00D402F6"/>
    <w:rsid w:val="00D404E7"/>
    <w:rsid w:val="00D404EE"/>
    <w:rsid w:val="00D407DD"/>
    <w:rsid w:val="00D417BC"/>
    <w:rsid w:val="00D41E6A"/>
    <w:rsid w:val="00D42E62"/>
    <w:rsid w:val="00D42E70"/>
    <w:rsid w:val="00D433BA"/>
    <w:rsid w:val="00D434BB"/>
    <w:rsid w:val="00D43584"/>
    <w:rsid w:val="00D441AA"/>
    <w:rsid w:val="00D45149"/>
    <w:rsid w:val="00D45CB3"/>
    <w:rsid w:val="00D45DDF"/>
    <w:rsid w:val="00D4606C"/>
    <w:rsid w:val="00D46222"/>
    <w:rsid w:val="00D46643"/>
    <w:rsid w:val="00D46E53"/>
    <w:rsid w:val="00D4763F"/>
    <w:rsid w:val="00D50F21"/>
    <w:rsid w:val="00D515E7"/>
    <w:rsid w:val="00D51B1D"/>
    <w:rsid w:val="00D521FD"/>
    <w:rsid w:val="00D52E93"/>
    <w:rsid w:val="00D5311E"/>
    <w:rsid w:val="00D5381A"/>
    <w:rsid w:val="00D53A72"/>
    <w:rsid w:val="00D53FBB"/>
    <w:rsid w:val="00D54DD4"/>
    <w:rsid w:val="00D55511"/>
    <w:rsid w:val="00D56045"/>
    <w:rsid w:val="00D560C4"/>
    <w:rsid w:val="00D5635D"/>
    <w:rsid w:val="00D5690F"/>
    <w:rsid w:val="00D57159"/>
    <w:rsid w:val="00D611D2"/>
    <w:rsid w:val="00D619CC"/>
    <w:rsid w:val="00D61E9B"/>
    <w:rsid w:val="00D6216A"/>
    <w:rsid w:val="00D62752"/>
    <w:rsid w:val="00D62B4F"/>
    <w:rsid w:val="00D631D6"/>
    <w:rsid w:val="00D63C37"/>
    <w:rsid w:val="00D64D93"/>
    <w:rsid w:val="00D64FD9"/>
    <w:rsid w:val="00D654BA"/>
    <w:rsid w:val="00D65D2F"/>
    <w:rsid w:val="00D661A2"/>
    <w:rsid w:val="00D66E12"/>
    <w:rsid w:val="00D6757F"/>
    <w:rsid w:val="00D67896"/>
    <w:rsid w:val="00D71344"/>
    <w:rsid w:val="00D7140F"/>
    <w:rsid w:val="00D71773"/>
    <w:rsid w:val="00D71FDF"/>
    <w:rsid w:val="00D72D16"/>
    <w:rsid w:val="00D72D82"/>
    <w:rsid w:val="00D7345B"/>
    <w:rsid w:val="00D7353E"/>
    <w:rsid w:val="00D75209"/>
    <w:rsid w:val="00D75C1C"/>
    <w:rsid w:val="00D75C91"/>
    <w:rsid w:val="00D75C9C"/>
    <w:rsid w:val="00D75D6E"/>
    <w:rsid w:val="00D761C1"/>
    <w:rsid w:val="00D76528"/>
    <w:rsid w:val="00D76FC5"/>
    <w:rsid w:val="00D77CE8"/>
    <w:rsid w:val="00D77E9E"/>
    <w:rsid w:val="00D800D8"/>
    <w:rsid w:val="00D80E45"/>
    <w:rsid w:val="00D814C4"/>
    <w:rsid w:val="00D816CD"/>
    <w:rsid w:val="00D818AF"/>
    <w:rsid w:val="00D839A5"/>
    <w:rsid w:val="00D842C7"/>
    <w:rsid w:val="00D8432B"/>
    <w:rsid w:val="00D84398"/>
    <w:rsid w:val="00D84B00"/>
    <w:rsid w:val="00D84B4A"/>
    <w:rsid w:val="00D85C5E"/>
    <w:rsid w:val="00D86455"/>
    <w:rsid w:val="00D86F90"/>
    <w:rsid w:val="00D86FF8"/>
    <w:rsid w:val="00D87022"/>
    <w:rsid w:val="00D8706C"/>
    <w:rsid w:val="00D87DA1"/>
    <w:rsid w:val="00D9059E"/>
    <w:rsid w:val="00D9125E"/>
    <w:rsid w:val="00D91322"/>
    <w:rsid w:val="00D92748"/>
    <w:rsid w:val="00D92F34"/>
    <w:rsid w:val="00D93C59"/>
    <w:rsid w:val="00D94C12"/>
    <w:rsid w:val="00D9529B"/>
    <w:rsid w:val="00D96241"/>
    <w:rsid w:val="00D963AE"/>
    <w:rsid w:val="00D96BFF"/>
    <w:rsid w:val="00D96DB4"/>
    <w:rsid w:val="00D97AA9"/>
    <w:rsid w:val="00DA06F3"/>
    <w:rsid w:val="00DA1371"/>
    <w:rsid w:val="00DA13F1"/>
    <w:rsid w:val="00DA1E45"/>
    <w:rsid w:val="00DA2221"/>
    <w:rsid w:val="00DA33AF"/>
    <w:rsid w:val="00DA3757"/>
    <w:rsid w:val="00DA4813"/>
    <w:rsid w:val="00DA49C8"/>
    <w:rsid w:val="00DA5192"/>
    <w:rsid w:val="00DA5F4F"/>
    <w:rsid w:val="00DA5FE4"/>
    <w:rsid w:val="00DA63A9"/>
    <w:rsid w:val="00DA693E"/>
    <w:rsid w:val="00DA7243"/>
    <w:rsid w:val="00DA76BF"/>
    <w:rsid w:val="00DB3730"/>
    <w:rsid w:val="00DB41FE"/>
    <w:rsid w:val="00DB4917"/>
    <w:rsid w:val="00DB5980"/>
    <w:rsid w:val="00DC0144"/>
    <w:rsid w:val="00DC0A1F"/>
    <w:rsid w:val="00DC0AF5"/>
    <w:rsid w:val="00DC0B85"/>
    <w:rsid w:val="00DC1F80"/>
    <w:rsid w:val="00DC229F"/>
    <w:rsid w:val="00DC28EF"/>
    <w:rsid w:val="00DC3712"/>
    <w:rsid w:val="00DC3954"/>
    <w:rsid w:val="00DC5FE5"/>
    <w:rsid w:val="00DC612A"/>
    <w:rsid w:val="00DC6457"/>
    <w:rsid w:val="00DC6D44"/>
    <w:rsid w:val="00DC6DBE"/>
    <w:rsid w:val="00DC768B"/>
    <w:rsid w:val="00DD0033"/>
    <w:rsid w:val="00DD0069"/>
    <w:rsid w:val="00DD0380"/>
    <w:rsid w:val="00DD0927"/>
    <w:rsid w:val="00DD2032"/>
    <w:rsid w:val="00DD2D79"/>
    <w:rsid w:val="00DD3316"/>
    <w:rsid w:val="00DD383E"/>
    <w:rsid w:val="00DD45E0"/>
    <w:rsid w:val="00DD487E"/>
    <w:rsid w:val="00DD4A4B"/>
    <w:rsid w:val="00DD4AC9"/>
    <w:rsid w:val="00DD527A"/>
    <w:rsid w:val="00DD53D0"/>
    <w:rsid w:val="00DD599F"/>
    <w:rsid w:val="00DD7161"/>
    <w:rsid w:val="00DD7D20"/>
    <w:rsid w:val="00DD7DF8"/>
    <w:rsid w:val="00DE0166"/>
    <w:rsid w:val="00DE0F63"/>
    <w:rsid w:val="00DE1542"/>
    <w:rsid w:val="00DE1FD7"/>
    <w:rsid w:val="00DE2562"/>
    <w:rsid w:val="00DE28A4"/>
    <w:rsid w:val="00DE3E09"/>
    <w:rsid w:val="00DE3FA6"/>
    <w:rsid w:val="00DE493C"/>
    <w:rsid w:val="00DE6B11"/>
    <w:rsid w:val="00DE6EFF"/>
    <w:rsid w:val="00DE71C4"/>
    <w:rsid w:val="00DF075C"/>
    <w:rsid w:val="00DF1689"/>
    <w:rsid w:val="00DF18F3"/>
    <w:rsid w:val="00DF1D1C"/>
    <w:rsid w:val="00DF1E6C"/>
    <w:rsid w:val="00DF238D"/>
    <w:rsid w:val="00DF2704"/>
    <w:rsid w:val="00DF2E8A"/>
    <w:rsid w:val="00DF323E"/>
    <w:rsid w:val="00DF3D36"/>
    <w:rsid w:val="00DF3DAD"/>
    <w:rsid w:val="00DF5CB8"/>
    <w:rsid w:val="00DF6772"/>
    <w:rsid w:val="00DF6A08"/>
    <w:rsid w:val="00E0048D"/>
    <w:rsid w:val="00E013F8"/>
    <w:rsid w:val="00E01CF0"/>
    <w:rsid w:val="00E0246A"/>
    <w:rsid w:val="00E02672"/>
    <w:rsid w:val="00E04F11"/>
    <w:rsid w:val="00E05142"/>
    <w:rsid w:val="00E05900"/>
    <w:rsid w:val="00E061A7"/>
    <w:rsid w:val="00E06CD5"/>
    <w:rsid w:val="00E11177"/>
    <w:rsid w:val="00E115FD"/>
    <w:rsid w:val="00E12A91"/>
    <w:rsid w:val="00E12FE8"/>
    <w:rsid w:val="00E13146"/>
    <w:rsid w:val="00E13F43"/>
    <w:rsid w:val="00E149AE"/>
    <w:rsid w:val="00E14A37"/>
    <w:rsid w:val="00E14EE0"/>
    <w:rsid w:val="00E152AE"/>
    <w:rsid w:val="00E1622E"/>
    <w:rsid w:val="00E163F2"/>
    <w:rsid w:val="00E165F1"/>
    <w:rsid w:val="00E16CDD"/>
    <w:rsid w:val="00E1760C"/>
    <w:rsid w:val="00E20798"/>
    <w:rsid w:val="00E21105"/>
    <w:rsid w:val="00E21644"/>
    <w:rsid w:val="00E21AFE"/>
    <w:rsid w:val="00E22F57"/>
    <w:rsid w:val="00E2306A"/>
    <w:rsid w:val="00E232AD"/>
    <w:rsid w:val="00E23B76"/>
    <w:rsid w:val="00E24561"/>
    <w:rsid w:val="00E24C68"/>
    <w:rsid w:val="00E24E39"/>
    <w:rsid w:val="00E264CA"/>
    <w:rsid w:val="00E30104"/>
    <w:rsid w:val="00E3127D"/>
    <w:rsid w:val="00E319B2"/>
    <w:rsid w:val="00E320F6"/>
    <w:rsid w:val="00E324D0"/>
    <w:rsid w:val="00E32AD5"/>
    <w:rsid w:val="00E32D08"/>
    <w:rsid w:val="00E3305D"/>
    <w:rsid w:val="00E33796"/>
    <w:rsid w:val="00E33F77"/>
    <w:rsid w:val="00E34826"/>
    <w:rsid w:val="00E34ECD"/>
    <w:rsid w:val="00E35693"/>
    <w:rsid w:val="00E3585B"/>
    <w:rsid w:val="00E36C05"/>
    <w:rsid w:val="00E3753E"/>
    <w:rsid w:val="00E37932"/>
    <w:rsid w:val="00E402DD"/>
    <w:rsid w:val="00E40483"/>
    <w:rsid w:val="00E4075A"/>
    <w:rsid w:val="00E407FE"/>
    <w:rsid w:val="00E40DA6"/>
    <w:rsid w:val="00E41154"/>
    <w:rsid w:val="00E4186E"/>
    <w:rsid w:val="00E41B33"/>
    <w:rsid w:val="00E41E7E"/>
    <w:rsid w:val="00E42960"/>
    <w:rsid w:val="00E430A1"/>
    <w:rsid w:val="00E43513"/>
    <w:rsid w:val="00E441A4"/>
    <w:rsid w:val="00E44D73"/>
    <w:rsid w:val="00E45268"/>
    <w:rsid w:val="00E45335"/>
    <w:rsid w:val="00E462A8"/>
    <w:rsid w:val="00E465D1"/>
    <w:rsid w:val="00E500FA"/>
    <w:rsid w:val="00E50165"/>
    <w:rsid w:val="00E50366"/>
    <w:rsid w:val="00E50C0C"/>
    <w:rsid w:val="00E51A4F"/>
    <w:rsid w:val="00E51E50"/>
    <w:rsid w:val="00E52F9C"/>
    <w:rsid w:val="00E531F2"/>
    <w:rsid w:val="00E5501B"/>
    <w:rsid w:val="00E5520E"/>
    <w:rsid w:val="00E55619"/>
    <w:rsid w:val="00E557D9"/>
    <w:rsid w:val="00E55B7D"/>
    <w:rsid w:val="00E56990"/>
    <w:rsid w:val="00E56A89"/>
    <w:rsid w:val="00E56FAC"/>
    <w:rsid w:val="00E57307"/>
    <w:rsid w:val="00E57C45"/>
    <w:rsid w:val="00E57E4D"/>
    <w:rsid w:val="00E60CB5"/>
    <w:rsid w:val="00E61832"/>
    <w:rsid w:val="00E61A8F"/>
    <w:rsid w:val="00E62785"/>
    <w:rsid w:val="00E632AB"/>
    <w:rsid w:val="00E634BF"/>
    <w:rsid w:val="00E636CD"/>
    <w:rsid w:val="00E64631"/>
    <w:rsid w:val="00E64824"/>
    <w:rsid w:val="00E64FBA"/>
    <w:rsid w:val="00E65993"/>
    <w:rsid w:val="00E667F6"/>
    <w:rsid w:val="00E670E3"/>
    <w:rsid w:val="00E7027C"/>
    <w:rsid w:val="00E7065A"/>
    <w:rsid w:val="00E707ED"/>
    <w:rsid w:val="00E7122A"/>
    <w:rsid w:val="00E728EC"/>
    <w:rsid w:val="00E72910"/>
    <w:rsid w:val="00E730B6"/>
    <w:rsid w:val="00E737DC"/>
    <w:rsid w:val="00E73881"/>
    <w:rsid w:val="00E738D4"/>
    <w:rsid w:val="00E73994"/>
    <w:rsid w:val="00E74961"/>
    <w:rsid w:val="00E75683"/>
    <w:rsid w:val="00E75864"/>
    <w:rsid w:val="00E75AFA"/>
    <w:rsid w:val="00E76FC3"/>
    <w:rsid w:val="00E77801"/>
    <w:rsid w:val="00E77B01"/>
    <w:rsid w:val="00E77B7D"/>
    <w:rsid w:val="00E77F03"/>
    <w:rsid w:val="00E8039F"/>
    <w:rsid w:val="00E809B0"/>
    <w:rsid w:val="00E823A7"/>
    <w:rsid w:val="00E82923"/>
    <w:rsid w:val="00E835C5"/>
    <w:rsid w:val="00E837C3"/>
    <w:rsid w:val="00E83BD9"/>
    <w:rsid w:val="00E83CD2"/>
    <w:rsid w:val="00E840D6"/>
    <w:rsid w:val="00E845E8"/>
    <w:rsid w:val="00E8478D"/>
    <w:rsid w:val="00E84B28"/>
    <w:rsid w:val="00E84D1E"/>
    <w:rsid w:val="00E8582C"/>
    <w:rsid w:val="00E86151"/>
    <w:rsid w:val="00E869B1"/>
    <w:rsid w:val="00E86AF3"/>
    <w:rsid w:val="00E87B66"/>
    <w:rsid w:val="00E87E30"/>
    <w:rsid w:val="00E90D81"/>
    <w:rsid w:val="00E91CDE"/>
    <w:rsid w:val="00E93AD8"/>
    <w:rsid w:val="00E9403B"/>
    <w:rsid w:val="00E94D59"/>
    <w:rsid w:val="00E94D97"/>
    <w:rsid w:val="00E94F09"/>
    <w:rsid w:val="00E951AA"/>
    <w:rsid w:val="00E95678"/>
    <w:rsid w:val="00E96107"/>
    <w:rsid w:val="00E9655D"/>
    <w:rsid w:val="00E97378"/>
    <w:rsid w:val="00E97504"/>
    <w:rsid w:val="00EA00FD"/>
    <w:rsid w:val="00EA010F"/>
    <w:rsid w:val="00EA0EFE"/>
    <w:rsid w:val="00EA169B"/>
    <w:rsid w:val="00EA18C2"/>
    <w:rsid w:val="00EA21BF"/>
    <w:rsid w:val="00EA273C"/>
    <w:rsid w:val="00EA2CAB"/>
    <w:rsid w:val="00EA30E0"/>
    <w:rsid w:val="00EA3C33"/>
    <w:rsid w:val="00EA3E7D"/>
    <w:rsid w:val="00EA5122"/>
    <w:rsid w:val="00EA5AD5"/>
    <w:rsid w:val="00EA5D43"/>
    <w:rsid w:val="00EA5FF9"/>
    <w:rsid w:val="00EA6375"/>
    <w:rsid w:val="00EA6406"/>
    <w:rsid w:val="00EA67A6"/>
    <w:rsid w:val="00EB184A"/>
    <w:rsid w:val="00EB18FC"/>
    <w:rsid w:val="00EB1B58"/>
    <w:rsid w:val="00EB1CB0"/>
    <w:rsid w:val="00EB2F86"/>
    <w:rsid w:val="00EB3368"/>
    <w:rsid w:val="00EB4EDF"/>
    <w:rsid w:val="00EB54AB"/>
    <w:rsid w:val="00EB586E"/>
    <w:rsid w:val="00EC0014"/>
    <w:rsid w:val="00EC03E8"/>
    <w:rsid w:val="00EC0986"/>
    <w:rsid w:val="00EC15A4"/>
    <w:rsid w:val="00EC1A5B"/>
    <w:rsid w:val="00EC1B6D"/>
    <w:rsid w:val="00EC1F7F"/>
    <w:rsid w:val="00EC272B"/>
    <w:rsid w:val="00EC278C"/>
    <w:rsid w:val="00EC2EF3"/>
    <w:rsid w:val="00EC33B2"/>
    <w:rsid w:val="00EC3661"/>
    <w:rsid w:val="00EC3A54"/>
    <w:rsid w:val="00EC3B8F"/>
    <w:rsid w:val="00EC3EF8"/>
    <w:rsid w:val="00EC450C"/>
    <w:rsid w:val="00EC47E8"/>
    <w:rsid w:val="00EC48E4"/>
    <w:rsid w:val="00EC49D8"/>
    <w:rsid w:val="00EC4E84"/>
    <w:rsid w:val="00EC58E3"/>
    <w:rsid w:val="00EC6276"/>
    <w:rsid w:val="00EC66AD"/>
    <w:rsid w:val="00EC6C2B"/>
    <w:rsid w:val="00ED07CB"/>
    <w:rsid w:val="00ED0F42"/>
    <w:rsid w:val="00ED1119"/>
    <w:rsid w:val="00ED14E7"/>
    <w:rsid w:val="00ED1CEC"/>
    <w:rsid w:val="00ED4002"/>
    <w:rsid w:val="00ED4692"/>
    <w:rsid w:val="00ED4A85"/>
    <w:rsid w:val="00ED4E31"/>
    <w:rsid w:val="00ED54D3"/>
    <w:rsid w:val="00ED5B8A"/>
    <w:rsid w:val="00ED6280"/>
    <w:rsid w:val="00ED66A1"/>
    <w:rsid w:val="00ED68BB"/>
    <w:rsid w:val="00ED70A4"/>
    <w:rsid w:val="00ED75C8"/>
    <w:rsid w:val="00ED7AE4"/>
    <w:rsid w:val="00ED7BDD"/>
    <w:rsid w:val="00ED7E6E"/>
    <w:rsid w:val="00EE05E3"/>
    <w:rsid w:val="00EE1039"/>
    <w:rsid w:val="00EE15F1"/>
    <w:rsid w:val="00EE1FD3"/>
    <w:rsid w:val="00EE2356"/>
    <w:rsid w:val="00EE243C"/>
    <w:rsid w:val="00EE2638"/>
    <w:rsid w:val="00EE34E8"/>
    <w:rsid w:val="00EE39BD"/>
    <w:rsid w:val="00EE3D96"/>
    <w:rsid w:val="00EE3DD0"/>
    <w:rsid w:val="00EE59A6"/>
    <w:rsid w:val="00EF0945"/>
    <w:rsid w:val="00EF0A25"/>
    <w:rsid w:val="00EF0CF5"/>
    <w:rsid w:val="00EF0D6E"/>
    <w:rsid w:val="00EF1A64"/>
    <w:rsid w:val="00EF1A75"/>
    <w:rsid w:val="00EF1FF0"/>
    <w:rsid w:val="00EF39A9"/>
    <w:rsid w:val="00EF43C3"/>
    <w:rsid w:val="00EF4BAE"/>
    <w:rsid w:val="00EF4BE0"/>
    <w:rsid w:val="00EF4DD9"/>
    <w:rsid w:val="00EF585A"/>
    <w:rsid w:val="00EF5BB5"/>
    <w:rsid w:val="00EF5C84"/>
    <w:rsid w:val="00EF6715"/>
    <w:rsid w:val="00F00EBA"/>
    <w:rsid w:val="00F01652"/>
    <w:rsid w:val="00F01ABA"/>
    <w:rsid w:val="00F0220C"/>
    <w:rsid w:val="00F02271"/>
    <w:rsid w:val="00F025CF"/>
    <w:rsid w:val="00F026C8"/>
    <w:rsid w:val="00F04E15"/>
    <w:rsid w:val="00F04FAF"/>
    <w:rsid w:val="00F05DC4"/>
    <w:rsid w:val="00F05E2F"/>
    <w:rsid w:val="00F060DE"/>
    <w:rsid w:val="00F07644"/>
    <w:rsid w:val="00F1034E"/>
    <w:rsid w:val="00F103DB"/>
    <w:rsid w:val="00F108B6"/>
    <w:rsid w:val="00F10EAC"/>
    <w:rsid w:val="00F10EEE"/>
    <w:rsid w:val="00F114C2"/>
    <w:rsid w:val="00F114FD"/>
    <w:rsid w:val="00F11553"/>
    <w:rsid w:val="00F11E80"/>
    <w:rsid w:val="00F126B9"/>
    <w:rsid w:val="00F130E0"/>
    <w:rsid w:val="00F13FCD"/>
    <w:rsid w:val="00F14106"/>
    <w:rsid w:val="00F14A9F"/>
    <w:rsid w:val="00F15577"/>
    <w:rsid w:val="00F15A48"/>
    <w:rsid w:val="00F15B8B"/>
    <w:rsid w:val="00F15DAB"/>
    <w:rsid w:val="00F16149"/>
    <w:rsid w:val="00F16C13"/>
    <w:rsid w:val="00F172F5"/>
    <w:rsid w:val="00F17482"/>
    <w:rsid w:val="00F2047C"/>
    <w:rsid w:val="00F21310"/>
    <w:rsid w:val="00F21A98"/>
    <w:rsid w:val="00F21DA3"/>
    <w:rsid w:val="00F224F6"/>
    <w:rsid w:val="00F22DD7"/>
    <w:rsid w:val="00F22F5D"/>
    <w:rsid w:val="00F23911"/>
    <w:rsid w:val="00F23E7A"/>
    <w:rsid w:val="00F2417B"/>
    <w:rsid w:val="00F24837"/>
    <w:rsid w:val="00F248EE"/>
    <w:rsid w:val="00F2508D"/>
    <w:rsid w:val="00F2539C"/>
    <w:rsid w:val="00F25758"/>
    <w:rsid w:val="00F26191"/>
    <w:rsid w:val="00F27896"/>
    <w:rsid w:val="00F27CAE"/>
    <w:rsid w:val="00F3192C"/>
    <w:rsid w:val="00F31A19"/>
    <w:rsid w:val="00F340BD"/>
    <w:rsid w:val="00F344A8"/>
    <w:rsid w:val="00F347F2"/>
    <w:rsid w:val="00F34BE6"/>
    <w:rsid w:val="00F34C12"/>
    <w:rsid w:val="00F3515B"/>
    <w:rsid w:val="00F35AD0"/>
    <w:rsid w:val="00F35F7A"/>
    <w:rsid w:val="00F3612D"/>
    <w:rsid w:val="00F36946"/>
    <w:rsid w:val="00F36ECC"/>
    <w:rsid w:val="00F36FC3"/>
    <w:rsid w:val="00F37250"/>
    <w:rsid w:val="00F37256"/>
    <w:rsid w:val="00F3736F"/>
    <w:rsid w:val="00F3785C"/>
    <w:rsid w:val="00F40240"/>
    <w:rsid w:val="00F419C8"/>
    <w:rsid w:val="00F41C5D"/>
    <w:rsid w:val="00F42B26"/>
    <w:rsid w:val="00F42E84"/>
    <w:rsid w:val="00F42F23"/>
    <w:rsid w:val="00F43416"/>
    <w:rsid w:val="00F45C5F"/>
    <w:rsid w:val="00F45FD8"/>
    <w:rsid w:val="00F464E2"/>
    <w:rsid w:val="00F46D8E"/>
    <w:rsid w:val="00F46EBA"/>
    <w:rsid w:val="00F4781F"/>
    <w:rsid w:val="00F479A9"/>
    <w:rsid w:val="00F508F2"/>
    <w:rsid w:val="00F50917"/>
    <w:rsid w:val="00F50960"/>
    <w:rsid w:val="00F50A5C"/>
    <w:rsid w:val="00F50CA6"/>
    <w:rsid w:val="00F51487"/>
    <w:rsid w:val="00F51DC6"/>
    <w:rsid w:val="00F5220B"/>
    <w:rsid w:val="00F52729"/>
    <w:rsid w:val="00F52E18"/>
    <w:rsid w:val="00F53226"/>
    <w:rsid w:val="00F54247"/>
    <w:rsid w:val="00F54638"/>
    <w:rsid w:val="00F54C90"/>
    <w:rsid w:val="00F55663"/>
    <w:rsid w:val="00F56347"/>
    <w:rsid w:val="00F56C8F"/>
    <w:rsid w:val="00F56DF6"/>
    <w:rsid w:val="00F57345"/>
    <w:rsid w:val="00F57485"/>
    <w:rsid w:val="00F5758D"/>
    <w:rsid w:val="00F5780F"/>
    <w:rsid w:val="00F600EF"/>
    <w:rsid w:val="00F60198"/>
    <w:rsid w:val="00F61DC1"/>
    <w:rsid w:val="00F62045"/>
    <w:rsid w:val="00F620EA"/>
    <w:rsid w:val="00F6259F"/>
    <w:rsid w:val="00F62C9D"/>
    <w:rsid w:val="00F637E5"/>
    <w:rsid w:val="00F63885"/>
    <w:rsid w:val="00F63F3E"/>
    <w:rsid w:val="00F63F90"/>
    <w:rsid w:val="00F6467D"/>
    <w:rsid w:val="00F67099"/>
    <w:rsid w:val="00F67722"/>
    <w:rsid w:val="00F70153"/>
    <w:rsid w:val="00F7131A"/>
    <w:rsid w:val="00F71406"/>
    <w:rsid w:val="00F71B00"/>
    <w:rsid w:val="00F72237"/>
    <w:rsid w:val="00F7260B"/>
    <w:rsid w:val="00F729CC"/>
    <w:rsid w:val="00F73492"/>
    <w:rsid w:val="00F73D92"/>
    <w:rsid w:val="00F74A80"/>
    <w:rsid w:val="00F750D1"/>
    <w:rsid w:val="00F75185"/>
    <w:rsid w:val="00F759E7"/>
    <w:rsid w:val="00F76588"/>
    <w:rsid w:val="00F7660B"/>
    <w:rsid w:val="00F778E7"/>
    <w:rsid w:val="00F80357"/>
    <w:rsid w:val="00F80A60"/>
    <w:rsid w:val="00F816C0"/>
    <w:rsid w:val="00F82249"/>
    <w:rsid w:val="00F824F9"/>
    <w:rsid w:val="00F8292C"/>
    <w:rsid w:val="00F82968"/>
    <w:rsid w:val="00F82CB8"/>
    <w:rsid w:val="00F82E5F"/>
    <w:rsid w:val="00F833DD"/>
    <w:rsid w:val="00F84361"/>
    <w:rsid w:val="00F84D39"/>
    <w:rsid w:val="00F860CC"/>
    <w:rsid w:val="00F86761"/>
    <w:rsid w:val="00F86F16"/>
    <w:rsid w:val="00F87152"/>
    <w:rsid w:val="00F90C8D"/>
    <w:rsid w:val="00F91BDB"/>
    <w:rsid w:val="00F91C4A"/>
    <w:rsid w:val="00F923B7"/>
    <w:rsid w:val="00F923E8"/>
    <w:rsid w:val="00F92810"/>
    <w:rsid w:val="00F9377B"/>
    <w:rsid w:val="00F93946"/>
    <w:rsid w:val="00F944ED"/>
    <w:rsid w:val="00F949BA"/>
    <w:rsid w:val="00F94AB4"/>
    <w:rsid w:val="00F95565"/>
    <w:rsid w:val="00F96010"/>
    <w:rsid w:val="00F96750"/>
    <w:rsid w:val="00F97258"/>
    <w:rsid w:val="00F97D23"/>
    <w:rsid w:val="00F97DC8"/>
    <w:rsid w:val="00FA0217"/>
    <w:rsid w:val="00FA0A7A"/>
    <w:rsid w:val="00FA13B6"/>
    <w:rsid w:val="00FA1446"/>
    <w:rsid w:val="00FA14D5"/>
    <w:rsid w:val="00FA17FC"/>
    <w:rsid w:val="00FA1C3C"/>
    <w:rsid w:val="00FA2050"/>
    <w:rsid w:val="00FA2164"/>
    <w:rsid w:val="00FA24CC"/>
    <w:rsid w:val="00FA29D0"/>
    <w:rsid w:val="00FA2B88"/>
    <w:rsid w:val="00FA34C5"/>
    <w:rsid w:val="00FA3BFE"/>
    <w:rsid w:val="00FA4429"/>
    <w:rsid w:val="00FA4482"/>
    <w:rsid w:val="00FA46AA"/>
    <w:rsid w:val="00FA4D1C"/>
    <w:rsid w:val="00FA5A2F"/>
    <w:rsid w:val="00FA66F9"/>
    <w:rsid w:val="00FB017F"/>
    <w:rsid w:val="00FB07F8"/>
    <w:rsid w:val="00FB086A"/>
    <w:rsid w:val="00FB0AA9"/>
    <w:rsid w:val="00FB12D8"/>
    <w:rsid w:val="00FB1609"/>
    <w:rsid w:val="00FB22E7"/>
    <w:rsid w:val="00FB23D7"/>
    <w:rsid w:val="00FB2DFE"/>
    <w:rsid w:val="00FB4E23"/>
    <w:rsid w:val="00FB57A3"/>
    <w:rsid w:val="00FB5A16"/>
    <w:rsid w:val="00FB64B6"/>
    <w:rsid w:val="00FB77D3"/>
    <w:rsid w:val="00FB7AFB"/>
    <w:rsid w:val="00FC0A39"/>
    <w:rsid w:val="00FC212E"/>
    <w:rsid w:val="00FC22F0"/>
    <w:rsid w:val="00FC31DA"/>
    <w:rsid w:val="00FC3226"/>
    <w:rsid w:val="00FC32E2"/>
    <w:rsid w:val="00FC333A"/>
    <w:rsid w:val="00FC3664"/>
    <w:rsid w:val="00FC372E"/>
    <w:rsid w:val="00FC3A27"/>
    <w:rsid w:val="00FC3D02"/>
    <w:rsid w:val="00FC3E65"/>
    <w:rsid w:val="00FC3EF8"/>
    <w:rsid w:val="00FC440A"/>
    <w:rsid w:val="00FC550E"/>
    <w:rsid w:val="00FC6027"/>
    <w:rsid w:val="00FC6D76"/>
    <w:rsid w:val="00FC71BD"/>
    <w:rsid w:val="00FD0AB2"/>
    <w:rsid w:val="00FD2BE2"/>
    <w:rsid w:val="00FD2EE8"/>
    <w:rsid w:val="00FD3237"/>
    <w:rsid w:val="00FD369E"/>
    <w:rsid w:val="00FD39B9"/>
    <w:rsid w:val="00FD3C07"/>
    <w:rsid w:val="00FD437D"/>
    <w:rsid w:val="00FD46D4"/>
    <w:rsid w:val="00FD4C7E"/>
    <w:rsid w:val="00FD4E63"/>
    <w:rsid w:val="00FD4FA0"/>
    <w:rsid w:val="00FD6183"/>
    <w:rsid w:val="00FD61A2"/>
    <w:rsid w:val="00FD647D"/>
    <w:rsid w:val="00FD6506"/>
    <w:rsid w:val="00FD675C"/>
    <w:rsid w:val="00FD6927"/>
    <w:rsid w:val="00FD6F46"/>
    <w:rsid w:val="00FD7054"/>
    <w:rsid w:val="00FE1982"/>
    <w:rsid w:val="00FE19FC"/>
    <w:rsid w:val="00FE1EA0"/>
    <w:rsid w:val="00FE2003"/>
    <w:rsid w:val="00FE2CC2"/>
    <w:rsid w:val="00FE31A7"/>
    <w:rsid w:val="00FE33D9"/>
    <w:rsid w:val="00FE3477"/>
    <w:rsid w:val="00FE358C"/>
    <w:rsid w:val="00FE37A7"/>
    <w:rsid w:val="00FE39A4"/>
    <w:rsid w:val="00FE3B48"/>
    <w:rsid w:val="00FE4298"/>
    <w:rsid w:val="00FE4787"/>
    <w:rsid w:val="00FE55EC"/>
    <w:rsid w:val="00FE636A"/>
    <w:rsid w:val="00FE698F"/>
    <w:rsid w:val="00FE6BDB"/>
    <w:rsid w:val="00FE6CC6"/>
    <w:rsid w:val="00FE76DA"/>
    <w:rsid w:val="00FE781E"/>
    <w:rsid w:val="00FE7C04"/>
    <w:rsid w:val="00FE7FB4"/>
    <w:rsid w:val="00FF0184"/>
    <w:rsid w:val="00FF02B8"/>
    <w:rsid w:val="00FF03A8"/>
    <w:rsid w:val="00FF2645"/>
    <w:rsid w:val="00FF2960"/>
    <w:rsid w:val="00FF2B68"/>
    <w:rsid w:val="00FF34D3"/>
    <w:rsid w:val="00FF37A7"/>
    <w:rsid w:val="00FF3A3F"/>
    <w:rsid w:val="00FF4094"/>
    <w:rsid w:val="00FF46D4"/>
    <w:rsid w:val="00FF552B"/>
    <w:rsid w:val="00FF5874"/>
    <w:rsid w:val="00FF5D7F"/>
    <w:rsid w:val="00FF7A84"/>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B4FCBC2"/>
  <w15:chartTrackingRefBased/>
  <w15:docId w15:val="{EB8CDE8E-BBF8-4346-A8F7-B7123EB42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B604C"/>
    <w:pPr>
      <w:spacing w:before="80" w:after="80" w:line="280" w:lineRule="exact"/>
    </w:pPr>
    <w:rPr>
      <w:rFonts w:ascii="Arial" w:eastAsia="Times New Roman" w:hAnsi="Arial" w:cs="Times New Roman"/>
      <w:color w:val="595959"/>
      <w:sz w:val="18"/>
      <w:szCs w:val="20"/>
    </w:rPr>
  </w:style>
  <w:style w:type="paragraph" w:styleId="Heading1">
    <w:name w:val="heading 1"/>
    <w:basedOn w:val="Normal"/>
    <w:next w:val="Normal"/>
    <w:link w:val="Heading1Char"/>
    <w:uiPriority w:val="9"/>
    <w:qFormat/>
    <w:rsid w:val="00EE3DD0"/>
    <w:pPr>
      <w:spacing w:before="0" w:after="340" w:line="680" w:lineRule="exact"/>
      <w:outlineLvl w:val="0"/>
    </w:pPr>
    <w:rPr>
      <w:color w:val="003F5F" w:themeColor="accent1"/>
      <w:sz w:val="52"/>
    </w:rPr>
  </w:style>
  <w:style w:type="paragraph" w:styleId="Heading2">
    <w:name w:val="heading 2"/>
    <w:basedOn w:val="Introtext"/>
    <w:next w:val="Normal"/>
    <w:link w:val="Heading2Char"/>
    <w:uiPriority w:val="9"/>
    <w:qFormat/>
    <w:rsid w:val="00B867C6"/>
    <w:pPr>
      <w:keepNext/>
      <w:spacing w:before="360" w:after="240" w:line="440" w:lineRule="exact"/>
      <w:ind w:left="0"/>
    </w:pPr>
    <w:rPr>
      <w:b/>
      <w:color w:val="003F5F" w:themeColor="accent1"/>
      <w:sz w:val="32"/>
      <w:szCs w:val="30"/>
      <w:lang w:eastAsia="en-NZ"/>
    </w:rPr>
  </w:style>
  <w:style w:type="paragraph" w:styleId="Heading3">
    <w:name w:val="heading 3"/>
    <w:basedOn w:val="Introtext"/>
    <w:next w:val="Normal"/>
    <w:link w:val="Heading3Char"/>
    <w:uiPriority w:val="9"/>
    <w:qFormat/>
    <w:rsid w:val="00B867C6"/>
    <w:pPr>
      <w:keepNext/>
      <w:spacing w:before="240" w:after="240" w:line="340" w:lineRule="exact"/>
      <w:ind w:left="0"/>
      <w:outlineLvl w:val="2"/>
    </w:pPr>
    <w:rPr>
      <w:rFonts w:ascii="Arial Bold" w:hAnsi="Arial Bold"/>
      <w:b/>
      <w:bCs/>
      <w:color w:val="003F5F" w:themeColor="accent1"/>
      <w:spacing w:val="2"/>
    </w:rPr>
  </w:style>
  <w:style w:type="paragraph" w:styleId="Heading4">
    <w:name w:val="heading 4"/>
    <w:basedOn w:val="Introtext"/>
    <w:next w:val="Normal"/>
    <w:link w:val="Heading4Char"/>
    <w:qFormat/>
    <w:rsid w:val="0020061B"/>
    <w:pPr>
      <w:keepNext/>
      <w:spacing w:before="300" w:after="360" w:line="340" w:lineRule="exact"/>
      <w:ind w:left="0"/>
      <w:outlineLvl w:val="3"/>
    </w:pPr>
    <w:rPr>
      <w:rFonts w:ascii="Arial Bold" w:hAnsi="Arial Bold"/>
      <w:b/>
      <w:bCs/>
      <w:color w:val="003F5F" w:themeColor="accent1"/>
      <w:sz w:val="22"/>
    </w:rPr>
  </w:style>
  <w:style w:type="paragraph" w:styleId="Heading5">
    <w:name w:val="heading 5"/>
    <w:basedOn w:val="Heading3"/>
    <w:next w:val="Normal"/>
    <w:link w:val="Heading5Char"/>
    <w:qFormat/>
    <w:rsid w:val="00C528EC"/>
    <w:pPr>
      <w:tabs>
        <w:tab w:val="left" w:pos="680"/>
      </w:tabs>
      <w:spacing w:before="120" w:after="120"/>
      <w:ind w:left="680"/>
      <w:outlineLvl w:val="4"/>
    </w:pPr>
    <w:rPr>
      <w:b w:val="0"/>
      <w:color w:val="4A4A4A" w:themeColor="text1"/>
      <w:sz w:val="20"/>
    </w:rPr>
  </w:style>
  <w:style w:type="paragraph" w:styleId="Heading6">
    <w:name w:val="heading 6"/>
    <w:basedOn w:val="BodycopyNES"/>
    <w:next w:val="Normal"/>
    <w:link w:val="Heading6Char"/>
    <w:qFormat/>
    <w:rsid w:val="00065484"/>
    <w:pPr>
      <w:spacing w:before="120" w:after="80"/>
      <w:ind w:right="85"/>
      <w:outlineLvl w:val="5"/>
    </w:pPr>
    <w:rPr>
      <w:rFonts w:ascii="Arial Bold" w:hAnsi="Arial Bold"/>
      <w:b/>
      <w:bCs/>
      <w:color w:val="003F5F" w:themeColor="accent1"/>
      <w:sz w:val="18"/>
    </w:rPr>
  </w:style>
  <w:style w:type="paragraph" w:styleId="Heading7">
    <w:name w:val="heading 7"/>
    <w:basedOn w:val="BodycopyNES"/>
    <w:next w:val="Normal"/>
    <w:link w:val="Heading7Char"/>
    <w:qFormat/>
    <w:rsid w:val="00CB48C2"/>
    <w:pPr>
      <w:spacing w:after="0"/>
      <w:outlineLvl w:val="6"/>
    </w:pPr>
    <w:rPr>
      <w:b/>
      <w:bCs/>
      <w:color w:val="003F5F" w:themeColor="accent1"/>
    </w:rPr>
  </w:style>
  <w:style w:type="paragraph" w:styleId="Heading8">
    <w:name w:val="heading 8"/>
    <w:basedOn w:val="Heading6"/>
    <w:next w:val="Normal"/>
    <w:link w:val="Heading8Char"/>
    <w:qFormat/>
    <w:rsid w:val="00CB48C2"/>
    <w:pPr>
      <w:spacing w:before="0" w:after="0"/>
      <w:outlineLvl w:val="7"/>
    </w:pPr>
    <w:rPr>
      <w:rFonts w:ascii="Arial" w:hAnsi="Arial"/>
      <w:b w:val="0"/>
      <w:bCs w:val="0"/>
      <w:sz w:val="20"/>
      <w:lang w:eastAsia="en-NZ"/>
    </w:rPr>
  </w:style>
  <w:style w:type="paragraph" w:styleId="Heading9">
    <w:name w:val="heading 9"/>
    <w:basedOn w:val="Tableheadblue11"/>
    <w:next w:val="Normal"/>
    <w:link w:val="Heading9Char"/>
    <w:qFormat/>
    <w:rsid w:val="00A2758B"/>
    <w:pPr>
      <w:spacing w:after="40"/>
      <w:outlineLvl w:val="8"/>
    </w:pPr>
    <w:rPr>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E3DD0"/>
    <w:rPr>
      <w:rFonts w:ascii="Arial" w:eastAsia="Times New Roman" w:hAnsi="Arial" w:cs="Times New Roman"/>
      <w:color w:val="003F5F" w:themeColor="accent1"/>
      <w:sz w:val="52"/>
      <w:szCs w:val="20"/>
    </w:rPr>
  </w:style>
  <w:style w:type="character" w:customStyle="1" w:styleId="Heading2Char">
    <w:name w:val="Heading 2 Char"/>
    <w:basedOn w:val="DefaultParagraphFont"/>
    <w:link w:val="Heading2"/>
    <w:uiPriority w:val="9"/>
    <w:rsid w:val="00B867C6"/>
    <w:rPr>
      <w:rFonts w:ascii="Arial" w:eastAsia="Times New Roman" w:hAnsi="Arial" w:cs="Arial"/>
      <w:b/>
      <w:color w:val="003F5F" w:themeColor="accent1"/>
      <w:sz w:val="32"/>
      <w:szCs w:val="30"/>
      <w:lang w:eastAsia="en-NZ"/>
    </w:rPr>
  </w:style>
  <w:style w:type="character" w:customStyle="1" w:styleId="Heading3Char">
    <w:name w:val="Heading 3 Char"/>
    <w:basedOn w:val="DefaultParagraphFont"/>
    <w:link w:val="Heading3"/>
    <w:uiPriority w:val="9"/>
    <w:rsid w:val="00B867C6"/>
    <w:rPr>
      <w:rFonts w:ascii="Arial Bold" w:eastAsia="Times New Roman" w:hAnsi="Arial Bold" w:cs="Arial"/>
      <w:b/>
      <w:bCs/>
      <w:color w:val="003F5F" w:themeColor="accent1"/>
      <w:spacing w:val="2"/>
      <w:sz w:val="24"/>
      <w:szCs w:val="24"/>
    </w:rPr>
  </w:style>
  <w:style w:type="character" w:customStyle="1" w:styleId="Heading4Char">
    <w:name w:val="Heading 4 Char"/>
    <w:basedOn w:val="DefaultParagraphFont"/>
    <w:link w:val="Heading4"/>
    <w:rsid w:val="0020061B"/>
    <w:rPr>
      <w:rFonts w:ascii="Arial Bold" w:eastAsia="Times New Roman" w:hAnsi="Arial Bold" w:cs="Arial"/>
      <w:b/>
      <w:bCs/>
      <w:color w:val="003F5F" w:themeColor="accent1"/>
      <w:szCs w:val="24"/>
    </w:rPr>
  </w:style>
  <w:style w:type="character" w:customStyle="1" w:styleId="Heading5Char">
    <w:name w:val="Heading 5 Char"/>
    <w:basedOn w:val="DefaultParagraphFont"/>
    <w:link w:val="Heading5"/>
    <w:rsid w:val="00C528EC"/>
    <w:rPr>
      <w:rFonts w:ascii="Arial Bold" w:eastAsia="Times New Roman" w:hAnsi="Arial Bold" w:cs="Arial"/>
      <w:bCs/>
      <w:color w:val="4A4A4A" w:themeColor="text1"/>
      <w:spacing w:val="2"/>
      <w:sz w:val="20"/>
      <w:szCs w:val="24"/>
    </w:rPr>
  </w:style>
  <w:style w:type="character" w:customStyle="1" w:styleId="Heading6Char">
    <w:name w:val="Heading 6 Char"/>
    <w:basedOn w:val="DefaultParagraphFont"/>
    <w:link w:val="Heading6"/>
    <w:rsid w:val="00065484"/>
    <w:rPr>
      <w:rFonts w:ascii="Arial Bold" w:eastAsia="Times New Roman" w:hAnsi="Arial Bold" w:cs="Arial"/>
      <w:b/>
      <w:bCs/>
      <w:color w:val="003F5F" w:themeColor="accent1"/>
      <w:sz w:val="18"/>
      <w:szCs w:val="20"/>
    </w:rPr>
  </w:style>
  <w:style w:type="character" w:customStyle="1" w:styleId="Heading7Char">
    <w:name w:val="Heading 7 Char"/>
    <w:basedOn w:val="DefaultParagraphFont"/>
    <w:link w:val="Heading7"/>
    <w:rsid w:val="00CB48C2"/>
    <w:rPr>
      <w:rFonts w:ascii="Arial" w:eastAsia="Times New Roman" w:hAnsi="Arial" w:cs="Arial"/>
      <w:b/>
      <w:bCs/>
      <w:color w:val="003F5F" w:themeColor="accent1"/>
      <w:sz w:val="20"/>
      <w:szCs w:val="20"/>
    </w:rPr>
  </w:style>
  <w:style w:type="character" w:customStyle="1" w:styleId="Heading8Char">
    <w:name w:val="Heading 8 Char"/>
    <w:basedOn w:val="DefaultParagraphFont"/>
    <w:link w:val="Heading8"/>
    <w:rsid w:val="00CB48C2"/>
    <w:rPr>
      <w:rFonts w:ascii="Arial" w:eastAsia="Times New Roman" w:hAnsi="Arial" w:cs="Arial"/>
      <w:color w:val="003F5F" w:themeColor="accent1"/>
      <w:sz w:val="20"/>
      <w:szCs w:val="20"/>
      <w:lang w:eastAsia="en-NZ"/>
    </w:rPr>
  </w:style>
  <w:style w:type="character" w:customStyle="1" w:styleId="Heading9Char">
    <w:name w:val="Heading 9 Char"/>
    <w:basedOn w:val="DefaultParagraphFont"/>
    <w:link w:val="Heading9"/>
    <w:rsid w:val="00A2758B"/>
    <w:rPr>
      <w:rFonts w:ascii="Arial Bold" w:eastAsia="Times New Roman" w:hAnsi="Arial Bold" w:cs="Arial"/>
      <w:b/>
      <w:bCs/>
      <w:color w:val="003F5F" w:themeColor="accent1"/>
      <w:sz w:val="20"/>
      <w:szCs w:val="20"/>
      <w:lang w:eastAsia="en-NZ"/>
    </w:rPr>
  </w:style>
  <w:style w:type="paragraph" w:styleId="Header">
    <w:name w:val="header"/>
    <w:aliases w:val="Header blue"/>
    <w:link w:val="HeaderChar"/>
    <w:uiPriority w:val="99"/>
    <w:qFormat/>
    <w:rsid w:val="005D41BC"/>
    <w:pPr>
      <w:spacing w:after="0" w:line="180" w:lineRule="exact"/>
    </w:pPr>
    <w:rPr>
      <w:rFonts w:ascii="Arial" w:eastAsia="Times New Roman" w:hAnsi="Arial" w:cs="Times New Roman"/>
      <w:b/>
      <w:color w:val="406F87"/>
      <w:sz w:val="16"/>
      <w:szCs w:val="20"/>
    </w:rPr>
  </w:style>
  <w:style w:type="character" w:customStyle="1" w:styleId="HeaderChar">
    <w:name w:val="Header Char"/>
    <w:aliases w:val="Header blue Char"/>
    <w:basedOn w:val="DefaultParagraphFont"/>
    <w:link w:val="Header"/>
    <w:uiPriority w:val="99"/>
    <w:rsid w:val="005D41BC"/>
    <w:rPr>
      <w:rFonts w:ascii="Arial" w:eastAsia="Times New Roman" w:hAnsi="Arial" w:cs="Times New Roman"/>
      <w:b/>
      <w:color w:val="406F87"/>
      <w:sz w:val="16"/>
      <w:szCs w:val="20"/>
    </w:rPr>
  </w:style>
  <w:style w:type="paragraph" w:styleId="Footer">
    <w:name w:val="footer"/>
    <w:aliases w:val="Footer left"/>
    <w:basedOn w:val="Header"/>
    <w:link w:val="FooterChar"/>
    <w:uiPriority w:val="99"/>
    <w:qFormat/>
    <w:rsid w:val="00B75FF4"/>
    <w:rPr>
      <w:b w:val="0"/>
    </w:rPr>
  </w:style>
  <w:style w:type="character" w:customStyle="1" w:styleId="FooterChar">
    <w:name w:val="Footer Char"/>
    <w:aliases w:val="Footer left Char"/>
    <w:basedOn w:val="DefaultParagraphFont"/>
    <w:link w:val="Footer"/>
    <w:uiPriority w:val="99"/>
    <w:rsid w:val="00B75FF4"/>
    <w:rPr>
      <w:rFonts w:ascii="Arial" w:eastAsia="Times New Roman" w:hAnsi="Arial" w:cs="Times New Roman"/>
      <w:color w:val="406F87"/>
      <w:sz w:val="16"/>
      <w:szCs w:val="20"/>
    </w:rPr>
  </w:style>
  <w:style w:type="character" w:styleId="PageNumber">
    <w:name w:val="page number"/>
    <w:rsid w:val="0008544F"/>
    <w:rPr>
      <w:rFonts w:ascii="Arial" w:hAnsi="Arial"/>
      <w:b/>
      <w:sz w:val="24"/>
    </w:rPr>
  </w:style>
  <w:style w:type="paragraph" w:customStyle="1" w:styleId="Bullet">
    <w:name w:val="Bullet"/>
    <w:basedOn w:val="Normal"/>
    <w:link w:val="BulletChar"/>
    <w:qFormat/>
    <w:rsid w:val="0008544F"/>
    <w:pPr>
      <w:numPr>
        <w:numId w:val="1"/>
      </w:numPr>
      <w:spacing w:before="120"/>
    </w:pPr>
  </w:style>
  <w:style w:type="character" w:customStyle="1" w:styleId="BulletChar">
    <w:name w:val="Bullet Char"/>
    <w:link w:val="Bullet"/>
    <w:locked/>
    <w:rsid w:val="0008544F"/>
    <w:rPr>
      <w:rFonts w:ascii="Arial" w:eastAsia="Times New Roman" w:hAnsi="Arial" w:cs="Times New Roman"/>
      <w:color w:val="595959"/>
      <w:sz w:val="18"/>
      <w:szCs w:val="20"/>
    </w:rPr>
  </w:style>
  <w:style w:type="paragraph" w:styleId="TOC1">
    <w:name w:val="toc 1"/>
    <w:basedOn w:val="Heading4"/>
    <w:next w:val="Normal"/>
    <w:uiPriority w:val="39"/>
    <w:rsid w:val="00CA3124"/>
    <w:pPr>
      <w:keepLines/>
      <w:tabs>
        <w:tab w:val="left" w:pos="680"/>
        <w:tab w:val="right" w:leader="dot" w:pos="13325"/>
      </w:tabs>
      <w:spacing w:before="120" w:after="20"/>
      <w:ind w:left="680" w:hanging="680"/>
      <w:outlineLvl w:val="9"/>
    </w:pPr>
    <w:rPr>
      <w:rFonts w:ascii="Arial" w:hAnsi="Arial" w:cstheme="minorHAnsi"/>
      <w:bCs w:val="0"/>
      <w:sz w:val="20"/>
    </w:rPr>
  </w:style>
  <w:style w:type="paragraph" w:styleId="FootnoteText">
    <w:name w:val="footnote text"/>
    <w:basedOn w:val="Normal"/>
    <w:link w:val="FootnoteTextChar"/>
    <w:uiPriority w:val="99"/>
    <w:rsid w:val="00F84361"/>
    <w:pPr>
      <w:tabs>
        <w:tab w:val="left" w:pos="284"/>
      </w:tabs>
      <w:spacing w:before="0" w:after="60" w:line="170" w:lineRule="exact"/>
      <w:ind w:left="284" w:hanging="284"/>
    </w:pPr>
    <w:rPr>
      <w:color w:val="4A4A4A" w:themeColor="text1"/>
      <w:sz w:val="14"/>
    </w:rPr>
  </w:style>
  <w:style w:type="character" w:customStyle="1" w:styleId="FootnoteTextChar">
    <w:name w:val="Footnote Text Char"/>
    <w:basedOn w:val="DefaultParagraphFont"/>
    <w:link w:val="FootnoteText"/>
    <w:uiPriority w:val="99"/>
    <w:rsid w:val="00F84361"/>
    <w:rPr>
      <w:rFonts w:ascii="Arial" w:eastAsia="Times New Roman" w:hAnsi="Arial" w:cs="Times New Roman"/>
      <w:color w:val="4A4A4A" w:themeColor="text1"/>
      <w:sz w:val="14"/>
      <w:szCs w:val="20"/>
    </w:rPr>
  </w:style>
  <w:style w:type="character" w:styleId="FootnoteReference">
    <w:name w:val="footnote reference"/>
    <w:uiPriority w:val="99"/>
    <w:rsid w:val="00F84361"/>
    <w:rPr>
      <w:b/>
      <w:color w:val="4A4A4A" w:themeColor="text1"/>
      <w:vertAlign w:val="superscript"/>
    </w:rPr>
  </w:style>
  <w:style w:type="character" w:styleId="Hyperlink">
    <w:name w:val="Hyperlink"/>
    <w:uiPriority w:val="99"/>
    <w:rsid w:val="009743FF"/>
    <w:rPr>
      <w:color w:val="265C77"/>
      <w:u w:val="none"/>
    </w:rPr>
  </w:style>
  <w:style w:type="paragraph" w:customStyle="1" w:styleId="Imprint">
    <w:name w:val="Imprint"/>
    <w:basedOn w:val="Normal"/>
    <w:next w:val="Normal"/>
    <w:qFormat/>
    <w:rsid w:val="0008544F"/>
    <w:pPr>
      <w:spacing w:before="0" w:after="240"/>
      <w:jc w:val="center"/>
    </w:pPr>
  </w:style>
  <w:style w:type="paragraph" w:customStyle="1" w:styleId="Heading">
    <w:name w:val="Heading"/>
    <w:basedOn w:val="Heading1"/>
    <w:rsid w:val="0008544F"/>
  </w:style>
  <w:style w:type="paragraph" w:customStyle="1" w:styleId="Box">
    <w:name w:val="Box"/>
    <w:basedOn w:val="Normal"/>
    <w:qFormat/>
    <w:rsid w:val="0008544F"/>
    <w:pPr>
      <w:pBdr>
        <w:top w:val="single" w:sz="4" w:space="6" w:color="auto"/>
        <w:left w:val="single" w:sz="4" w:space="6" w:color="auto"/>
        <w:bottom w:val="single" w:sz="4" w:space="6" w:color="auto"/>
        <w:right w:val="single" w:sz="4" w:space="6" w:color="auto"/>
      </w:pBdr>
      <w:spacing w:before="180"/>
      <w:ind w:left="992" w:right="142"/>
    </w:pPr>
  </w:style>
  <w:style w:type="paragraph" w:customStyle="1" w:styleId="Number">
    <w:name w:val="Number"/>
    <w:basedOn w:val="Normal"/>
    <w:link w:val="NumberChar"/>
    <w:qFormat/>
    <w:rsid w:val="0008544F"/>
    <w:pPr>
      <w:numPr>
        <w:ilvl w:val="3"/>
        <w:numId w:val="2"/>
      </w:numPr>
      <w:spacing w:before="240"/>
    </w:pPr>
    <w:rPr>
      <w:rFonts w:cs="Arial"/>
    </w:rPr>
  </w:style>
  <w:style w:type="character" w:customStyle="1" w:styleId="NumberChar">
    <w:name w:val="Number Char"/>
    <w:basedOn w:val="DefaultParagraphFont"/>
    <w:link w:val="Number"/>
    <w:rsid w:val="0008544F"/>
    <w:rPr>
      <w:rFonts w:ascii="Arial" w:eastAsia="Times New Roman" w:hAnsi="Arial" w:cs="Arial"/>
      <w:color w:val="595959"/>
      <w:sz w:val="18"/>
      <w:szCs w:val="20"/>
    </w:rPr>
  </w:style>
  <w:style w:type="character" w:styleId="CommentReference">
    <w:name w:val="annotation reference"/>
    <w:basedOn w:val="DefaultParagraphFont"/>
    <w:uiPriority w:val="99"/>
    <w:semiHidden/>
    <w:unhideWhenUsed/>
    <w:rsid w:val="0008544F"/>
    <w:rPr>
      <w:sz w:val="16"/>
      <w:szCs w:val="16"/>
    </w:rPr>
  </w:style>
  <w:style w:type="paragraph" w:customStyle="1" w:styleId="Default">
    <w:name w:val="Default"/>
    <w:rsid w:val="0008544F"/>
    <w:pPr>
      <w:autoSpaceDE w:val="0"/>
      <w:autoSpaceDN w:val="0"/>
      <w:adjustRightInd w:val="0"/>
      <w:spacing w:after="0" w:line="240" w:lineRule="auto"/>
    </w:pPr>
    <w:rPr>
      <w:rFonts w:ascii="Arial" w:eastAsia="Times New Roman" w:hAnsi="Arial" w:cs="Arial"/>
      <w:color w:val="000000"/>
      <w:sz w:val="24"/>
      <w:szCs w:val="24"/>
      <w:lang w:eastAsia="en-NZ"/>
    </w:rPr>
  </w:style>
  <w:style w:type="paragraph" w:styleId="CommentText">
    <w:name w:val="annotation text"/>
    <w:basedOn w:val="Normal"/>
    <w:link w:val="CommentTextChar"/>
    <w:uiPriority w:val="99"/>
    <w:unhideWhenUsed/>
    <w:rsid w:val="0008544F"/>
    <w:rPr>
      <w:sz w:val="20"/>
    </w:rPr>
  </w:style>
  <w:style w:type="character" w:customStyle="1" w:styleId="CommentTextChar">
    <w:name w:val="Comment Text Char"/>
    <w:basedOn w:val="DefaultParagraphFont"/>
    <w:link w:val="CommentText"/>
    <w:uiPriority w:val="99"/>
    <w:rsid w:val="0008544F"/>
    <w:rPr>
      <w:rFonts w:ascii="Arial" w:eastAsia="Times New Roman" w:hAnsi="Arial" w:cs="Times New Roman"/>
      <w:sz w:val="20"/>
      <w:szCs w:val="20"/>
    </w:rPr>
  </w:style>
  <w:style w:type="paragraph" w:styleId="ListParagraph">
    <w:name w:val="List Paragraph"/>
    <w:basedOn w:val="Normal"/>
    <w:link w:val="ListParagraphChar"/>
    <w:uiPriority w:val="34"/>
    <w:qFormat/>
    <w:rsid w:val="0008544F"/>
    <w:pPr>
      <w:ind w:left="720"/>
      <w:contextualSpacing/>
    </w:pPr>
  </w:style>
  <w:style w:type="paragraph" w:customStyle="1" w:styleId="large">
    <w:name w:val="large"/>
    <w:basedOn w:val="Normal"/>
    <w:rsid w:val="0008544F"/>
    <w:pPr>
      <w:spacing w:before="100" w:beforeAutospacing="1" w:after="100" w:afterAutospacing="1"/>
    </w:pPr>
    <w:rPr>
      <w:rFonts w:ascii="Times New Roman" w:hAnsi="Times New Roman"/>
      <w:sz w:val="24"/>
      <w:szCs w:val="24"/>
      <w:lang w:eastAsia="en-NZ"/>
    </w:rPr>
  </w:style>
  <w:style w:type="paragraph" w:styleId="NormalWeb">
    <w:name w:val="Normal (Web)"/>
    <w:basedOn w:val="Normal"/>
    <w:uiPriority w:val="99"/>
    <w:unhideWhenUsed/>
    <w:rsid w:val="0008544F"/>
    <w:pPr>
      <w:spacing w:before="100" w:beforeAutospacing="1" w:after="100" w:afterAutospacing="1"/>
    </w:pPr>
    <w:rPr>
      <w:rFonts w:ascii="Times New Roman" w:hAnsi="Times New Roman"/>
      <w:sz w:val="24"/>
      <w:szCs w:val="24"/>
      <w:lang w:eastAsia="en-NZ"/>
    </w:rPr>
  </w:style>
  <w:style w:type="paragraph" w:styleId="BalloonText">
    <w:name w:val="Balloon Text"/>
    <w:basedOn w:val="Normal"/>
    <w:link w:val="BalloonTextChar"/>
    <w:uiPriority w:val="99"/>
    <w:semiHidden/>
    <w:unhideWhenUsed/>
    <w:rsid w:val="0008544F"/>
    <w:pPr>
      <w:spacing w:before="0"/>
    </w:pPr>
    <w:rPr>
      <w:rFonts w:ascii="Segoe UI" w:hAnsi="Segoe UI" w:cs="Segoe UI"/>
      <w:szCs w:val="18"/>
    </w:rPr>
  </w:style>
  <w:style w:type="character" w:customStyle="1" w:styleId="BalloonTextChar">
    <w:name w:val="Balloon Text Char"/>
    <w:basedOn w:val="DefaultParagraphFont"/>
    <w:link w:val="BalloonText"/>
    <w:uiPriority w:val="99"/>
    <w:semiHidden/>
    <w:rsid w:val="0008544F"/>
    <w:rPr>
      <w:rFonts w:ascii="Segoe UI" w:eastAsia="Times New Roman" w:hAnsi="Segoe UI" w:cs="Segoe UI"/>
      <w:sz w:val="18"/>
      <w:szCs w:val="18"/>
    </w:rPr>
  </w:style>
  <w:style w:type="paragraph" w:customStyle="1" w:styleId="BoxBullet">
    <w:name w:val="BoxBullet"/>
    <w:basedOn w:val="Box"/>
    <w:qFormat/>
    <w:rsid w:val="0008544F"/>
    <w:pPr>
      <w:numPr>
        <w:numId w:val="3"/>
      </w:numPr>
      <w:spacing w:before="120" w:line="264" w:lineRule="auto"/>
    </w:pPr>
    <w:rPr>
      <w:lang w:eastAsia="en-GB"/>
    </w:rPr>
  </w:style>
  <w:style w:type="paragraph" w:customStyle="1" w:styleId="Boxheading">
    <w:name w:val="Box heading"/>
    <w:basedOn w:val="Normal"/>
    <w:next w:val="Normal"/>
    <w:qFormat/>
    <w:rsid w:val="005639E7"/>
    <w:pPr>
      <w:keepNext/>
      <w:spacing w:after="120"/>
    </w:pPr>
    <w:rPr>
      <w:b/>
    </w:rPr>
  </w:style>
  <w:style w:type="paragraph" w:styleId="BodyText">
    <w:name w:val="Body Text"/>
    <w:basedOn w:val="Normal"/>
    <w:link w:val="BodyTextChar"/>
    <w:uiPriority w:val="1"/>
    <w:qFormat/>
    <w:rsid w:val="005639E7"/>
    <w:pPr>
      <w:widowControl w:val="0"/>
      <w:spacing w:before="0"/>
      <w:ind w:left="128"/>
    </w:pPr>
    <w:rPr>
      <w:rFonts w:eastAsia="Arial" w:cstheme="minorBidi"/>
      <w:sz w:val="21"/>
      <w:szCs w:val="21"/>
      <w:lang w:val="en-US"/>
    </w:rPr>
  </w:style>
  <w:style w:type="character" w:customStyle="1" w:styleId="BodyTextChar">
    <w:name w:val="Body Text Char"/>
    <w:basedOn w:val="DefaultParagraphFont"/>
    <w:link w:val="BodyText"/>
    <w:uiPriority w:val="1"/>
    <w:rsid w:val="005639E7"/>
    <w:rPr>
      <w:rFonts w:ascii="Arial" w:eastAsia="Arial" w:hAnsi="Arial"/>
      <w:sz w:val="21"/>
      <w:szCs w:val="21"/>
      <w:lang w:val="en-US"/>
    </w:rPr>
  </w:style>
  <w:style w:type="paragraph" w:customStyle="1" w:styleId="Figure">
    <w:name w:val="Figure"/>
    <w:basedOn w:val="Normal"/>
    <w:next w:val="Normal"/>
    <w:qFormat/>
    <w:rsid w:val="00B867C6"/>
    <w:pPr>
      <w:keepNext/>
      <w:spacing w:after="120"/>
    </w:pPr>
    <w:rPr>
      <w:b/>
      <w:color w:val="003F5F" w:themeColor="accent1"/>
    </w:rPr>
  </w:style>
  <w:style w:type="paragraph" w:customStyle="1" w:styleId="BoxHeading0">
    <w:name w:val="BoxHeading"/>
    <w:basedOn w:val="Box"/>
    <w:qFormat/>
    <w:rsid w:val="001F392E"/>
    <w:pPr>
      <w:spacing w:line="264" w:lineRule="auto"/>
    </w:pPr>
    <w:rPr>
      <w:b/>
      <w:sz w:val="24"/>
      <w:lang w:eastAsia="en-GB"/>
    </w:rPr>
  </w:style>
  <w:style w:type="paragraph" w:styleId="NoSpacing">
    <w:name w:val="No Spacing"/>
    <w:uiPriority w:val="1"/>
    <w:qFormat/>
    <w:rsid w:val="001F392E"/>
    <w:pPr>
      <w:spacing w:after="0" w:line="240" w:lineRule="auto"/>
      <w:ind w:left="851"/>
    </w:pPr>
    <w:rPr>
      <w:rFonts w:ascii="Arial" w:eastAsia="Times New Roman" w:hAnsi="Arial" w:cs="Times New Roman"/>
      <w:szCs w:val="20"/>
    </w:rPr>
  </w:style>
  <w:style w:type="paragraph" w:styleId="TOC3">
    <w:name w:val="toc 3"/>
    <w:basedOn w:val="TOC2"/>
    <w:next w:val="Normal"/>
    <w:uiPriority w:val="39"/>
    <w:rsid w:val="00CA3124"/>
    <w:pPr>
      <w:keepLines/>
      <w:ind w:left="1021"/>
    </w:pPr>
    <w:rPr>
      <w:noProof/>
    </w:rPr>
  </w:style>
  <w:style w:type="paragraph" w:styleId="Quote">
    <w:name w:val="Quote"/>
    <w:basedOn w:val="Normal"/>
    <w:link w:val="QuoteChar"/>
    <w:qFormat/>
    <w:rsid w:val="001F392E"/>
    <w:pPr>
      <w:spacing w:before="120"/>
      <w:ind w:left="1276" w:right="567"/>
    </w:pPr>
    <w:rPr>
      <w:i/>
    </w:rPr>
  </w:style>
  <w:style w:type="character" w:customStyle="1" w:styleId="QuoteChar">
    <w:name w:val="Quote Char"/>
    <w:basedOn w:val="DefaultParagraphFont"/>
    <w:link w:val="Quote"/>
    <w:rsid w:val="001F392E"/>
    <w:rPr>
      <w:rFonts w:ascii="Arial" w:eastAsia="Times New Roman" w:hAnsi="Arial" w:cs="Times New Roman"/>
      <w:i/>
      <w:szCs w:val="20"/>
    </w:rPr>
  </w:style>
  <w:style w:type="paragraph" w:styleId="TOC2">
    <w:name w:val="toc 2"/>
    <w:basedOn w:val="Heading5"/>
    <w:next w:val="Normal"/>
    <w:uiPriority w:val="39"/>
    <w:rsid w:val="00CA3124"/>
    <w:pPr>
      <w:tabs>
        <w:tab w:val="right" w:leader="dot" w:pos="13325"/>
      </w:tabs>
      <w:spacing w:before="0" w:after="0" w:line="280" w:lineRule="exact"/>
      <w:contextualSpacing/>
      <w:outlineLvl w:val="9"/>
    </w:pPr>
    <w:rPr>
      <w:rFonts w:ascii="Arial" w:hAnsi="Arial" w:cstheme="minorHAnsi"/>
    </w:rPr>
  </w:style>
  <w:style w:type="paragraph" w:customStyle="1" w:styleId="Table">
    <w:name w:val="Table"/>
    <w:basedOn w:val="Normal"/>
    <w:qFormat/>
    <w:rsid w:val="001F392E"/>
    <w:pPr>
      <w:keepNext/>
      <w:spacing w:before="240" w:after="120"/>
    </w:pPr>
    <w:rPr>
      <w:b/>
    </w:rPr>
  </w:style>
  <w:style w:type="paragraph" w:customStyle="1" w:styleId="TableText">
    <w:name w:val="TableText"/>
    <w:basedOn w:val="Normal"/>
    <w:link w:val="TableTextChar"/>
    <w:qFormat/>
    <w:rsid w:val="008E29EE"/>
    <w:pPr>
      <w:spacing w:before="100" w:after="100"/>
    </w:pPr>
  </w:style>
  <w:style w:type="character" w:customStyle="1" w:styleId="TableTextChar">
    <w:name w:val="TableText Char"/>
    <w:link w:val="TableText"/>
    <w:rsid w:val="008E29EE"/>
    <w:rPr>
      <w:rFonts w:ascii="Arial" w:eastAsia="Times New Roman" w:hAnsi="Arial" w:cs="Times New Roman"/>
      <w:color w:val="4A4A4A" w:themeColor="text1"/>
      <w:sz w:val="18"/>
      <w:szCs w:val="20"/>
    </w:rPr>
  </w:style>
  <w:style w:type="paragraph" w:customStyle="1" w:styleId="TableBullet">
    <w:name w:val="TableBullet"/>
    <w:basedOn w:val="TableText"/>
    <w:qFormat/>
    <w:rsid w:val="001F392E"/>
    <w:pPr>
      <w:numPr>
        <w:numId w:val="6"/>
      </w:numPr>
      <w:tabs>
        <w:tab w:val="left" w:pos="284"/>
      </w:tabs>
      <w:spacing w:before="0"/>
      <w:ind w:left="284" w:hanging="284"/>
    </w:pPr>
  </w:style>
  <w:style w:type="paragraph" w:customStyle="1" w:styleId="Dash">
    <w:name w:val="Dash"/>
    <w:basedOn w:val="Bullet"/>
    <w:qFormat/>
    <w:rsid w:val="001F392E"/>
    <w:pPr>
      <w:numPr>
        <w:numId w:val="5"/>
      </w:numPr>
      <w:spacing w:before="60"/>
      <w:ind w:left="1560" w:hanging="284"/>
    </w:pPr>
  </w:style>
  <w:style w:type="paragraph" w:customStyle="1" w:styleId="Source">
    <w:name w:val="Source"/>
    <w:basedOn w:val="Normal"/>
    <w:qFormat/>
    <w:rsid w:val="001F392E"/>
    <w:rPr>
      <w:sz w:val="16"/>
    </w:rPr>
  </w:style>
  <w:style w:type="paragraph" w:styleId="TOC4">
    <w:name w:val="toc 4"/>
    <w:basedOn w:val="BodycopyNES"/>
    <w:autoRedefine/>
    <w:uiPriority w:val="39"/>
    <w:qFormat/>
    <w:rsid w:val="00F8292C"/>
    <w:pPr>
      <w:spacing w:after="0" w:line="400" w:lineRule="exact"/>
      <w:ind w:left="0"/>
    </w:pPr>
    <w:rPr>
      <w:rFonts w:cstheme="minorHAnsi"/>
      <w:i/>
      <w:color w:val="595959"/>
      <w:szCs w:val="18"/>
      <w:lang w:eastAsia="en-NZ"/>
    </w:rPr>
  </w:style>
  <w:style w:type="table" w:styleId="TableGrid">
    <w:name w:val="Table Grid"/>
    <w:basedOn w:val="TableNormal"/>
    <w:uiPriority w:val="39"/>
    <w:rsid w:val="0032167F"/>
    <w:pPr>
      <w:spacing w:before="200" w:after="0" w:line="240" w:lineRule="auto"/>
      <w:ind w:left="709"/>
    </w:pPr>
    <w:rPr>
      <w:rFonts w:ascii="Times New Roman" w:eastAsia="Times New Roman" w:hAnsi="Times New Roman" w:cs="Times New Roman"/>
      <w:sz w:val="20"/>
      <w:szCs w:val="20"/>
      <w:lang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C1D82F" w:themeFill="accent2"/>
      </w:tcPr>
    </w:tblStylePr>
  </w:style>
  <w:style w:type="paragraph" w:styleId="Title">
    <w:name w:val="Title"/>
    <w:basedOn w:val="Normal"/>
    <w:next w:val="Normal"/>
    <w:link w:val="TitleChar"/>
    <w:qFormat/>
    <w:rsid w:val="001F392E"/>
    <w:pPr>
      <w:spacing w:before="0" w:after="200"/>
      <w:contextualSpacing/>
    </w:pPr>
    <w:rPr>
      <w:rFonts w:eastAsiaTheme="majorEastAsia" w:cstheme="majorBidi"/>
      <w:b/>
      <w:spacing w:val="-10"/>
      <w:kern w:val="28"/>
      <w:sz w:val="96"/>
      <w:szCs w:val="56"/>
    </w:rPr>
  </w:style>
  <w:style w:type="character" w:customStyle="1" w:styleId="TitleChar">
    <w:name w:val="Title Char"/>
    <w:basedOn w:val="DefaultParagraphFont"/>
    <w:link w:val="Title"/>
    <w:rsid w:val="001F392E"/>
    <w:rPr>
      <w:rFonts w:ascii="Arial" w:eastAsiaTheme="majorEastAsia" w:hAnsi="Arial" w:cstheme="majorBidi"/>
      <w:b/>
      <w:spacing w:val="-10"/>
      <w:kern w:val="28"/>
      <w:sz w:val="96"/>
      <w:szCs w:val="56"/>
    </w:rPr>
  </w:style>
  <w:style w:type="paragraph" w:styleId="Revision">
    <w:name w:val="Revision"/>
    <w:hidden/>
    <w:uiPriority w:val="99"/>
    <w:semiHidden/>
    <w:rsid w:val="001F392E"/>
    <w:pPr>
      <w:spacing w:after="0" w:line="240" w:lineRule="auto"/>
    </w:pPr>
    <w:rPr>
      <w:rFonts w:ascii="Arial" w:hAnsi="Arial"/>
    </w:rPr>
  </w:style>
  <w:style w:type="paragraph" w:customStyle="1" w:styleId="References">
    <w:name w:val="References"/>
    <w:basedOn w:val="Normal"/>
    <w:qFormat/>
    <w:rsid w:val="007C643F"/>
    <w:pPr>
      <w:spacing w:before="0" w:after="240" w:line="300" w:lineRule="exact"/>
      <w:ind w:left="1360" w:hanging="680"/>
    </w:pPr>
    <w:rPr>
      <w:color w:val="4A4A4A"/>
      <w:sz w:val="20"/>
      <w:lang w:eastAsia="en-GB"/>
    </w:rPr>
  </w:style>
  <w:style w:type="paragraph" w:customStyle="1" w:styleId="VersoFooter">
    <w:name w:val="Verso Footer"/>
    <w:basedOn w:val="Footer"/>
    <w:rsid w:val="001F392E"/>
    <w:pPr>
      <w:pBdr>
        <w:top w:val="single" w:sz="4" w:space="4" w:color="auto"/>
      </w:pBdr>
      <w:spacing w:line="264" w:lineRule="auto"/>
      <w:ind w:left="709" w:hanging="709"/>
    </w:pPr>
    <w:rPr>
      <w:rFonts w:ascii="Georgia" w:hAnsi="Georgia"/>
      <w:lang w:eastAsia="en-GB"/>
    </w:rPr>
  </w:style>
  <w:style w:type="paragraph" w:customStyle="1" w:styleId="RectoFooter">
    <w:name w:val="Recto Footer"/>
    <w:basedOn w:val="Footer"/>
    <w:rsid w:val="001F392E"/>
    <w:pPr>
      <w:pBdr>
        <w:top w:val="single" w:sz="4" w:space="4" w:color="auto"/>
      </w:pBdr>
      <w:tabs>
        <w:tab w:val="right" w:pos="8647"/>
        <w:tab w:val="right" w:pos="9356"/>
      </w:tabs>
    </w:pPr>
    <w:rPr>
      <w:rFonts w:ascii="Georgia" w:hAnsi="Georgia"/>
      <w:lang w:eastAsia="en-GB"/>
    </w:rPr>
  </w:style>
  <w:style w:type="paragraph" w:customStyle="1" w:styleId="IntroHead">
    <w:name w:val="IntroHead"/>
    <w:basedOn w:val="Heading1"/>
    <w:next w:val="Normal"/>
    <w:qFormat/>
    <w:rsid w:val="001F392E"/>
    <w:pPr>
      <w:pBdr>
        <w:top w:val="single" w:sz="48" w:space="16" w:color="auto"/>
      </w:pBdr>
      <w:spacing w:line="264" w:lineRule="auto"/>
      <w:outlineLvl w:val="9"/>
    </w:pPr>
    <w:rPr>
      <w:rFonts w:ascii="Georgia" w:hAnsi="Georgia"/>
      <w:sz w:val="60"/>
      <w:lang w:eastAsia="en-GB"/>
    </w:rPr>
  </w:style>
  <w:style w:type="paragraph" w:customStyle="1" w:styleId="Note">
    <w:name w:val="Note"/>
    <w:basedOn w:val="Normal"/>
    <w:next w:val="Normal"/>
    <w:link w:val="NoteChar"/>
    <w:qFormat/>
    <w:rsid w:val="00265C77"/>
    <w:pPr>
      <w:spacing w:line="264" w:lineRule="auto"/>
      <w:ind w:left="426" w:right="113" w:hanging="284"/>
    </w:pPr>
    <w:rPr>
      <w:sz w:val="14"/>
      <w:lang w:eastAsia="en-GB"/>
    </w:rPr>
  </w:style>
  <w:style w:type="character" w:customStyle="1" w:styleId="NoteChar">
    <w:name w:val="Note Char"/>
    <w:link w:val="Note"/>
    <w:rsid w:val="00265C77"/>
    <w:rPr>
      <w:rFonts w:ascii="Arial" w:eastAsia="Times New Roman" w:hAnsi="Arial" w:cs="Times New Roman"/>
      <w:color w:val="4A4A4A" w:themeColor="text1"/>
      <w:sz w:val="14"/>
      <w:szCs w:val="20"/>
      <w:lang w:eastAsia="en-GB"/>
    </w:rPr>
  </w:style>
  <w:style w:type="paragraph" w:customStyle="1" w:styleId="Subhead">
    <w:name w:val="Subhead"/>
    <w:basedOn w:val="Normal"/>
    <w:next w:val="Normal"/>
    <w:qFormat/>
    <w:rsid w:val="001F392E"/>
    <w:pPr>
      <w:spacing w:before="180" w:line="264" w:lineRule="auto"/>
      <w:ind w:right="1701"/>
    </w:pPr>
    <w:rPr>
      <w:rFonts w:ascii="Georgia" w:hAnsi="Georgia"/>
      <w:sz w:val="48"/>
      <w:lang w:eastAsia="en-GB"/>
    </w:rPr>
  </w:style>
  <w:style w:type="paragraph" w:customStyle="1" w:styleId="TableDash">
    <w:name w:val="TableDash"/>
    <w:basedOn w:val="TableText"/>
    <w:qFormat/>
    <w:rsid w:val="001F392E"/>
    <w:pPr>
      <w:numPr>
        <w:numId w:val="4"/>
      </w:numPr>
      <w:tabs>
        <w:tab w:val="clear" w:pos="567"/>
        <w:tab w:val="num" w:pos="360"/>
      </w:tabs>
      <w:spacing w:before="40" w:after="0"/>
      <w:ind w:left="284" w:hanging="284"/>
    </w:pPr>
    <w:rPr>
      <w:szCs w:val="22"/>
      <w:lang w:eastAsia="en-GB"/>
    </w:rPr>
  </w:style>
  <w:style w:type="paragraph" w:customStyle="1" w:styleId="Year">
    <w:name w:val="Year"/>
    <w:basedOn w:val="Subhead"/>
    <w:next w:val="Subhead"/>
    <w:qFormat/>
    <w:rsid w:val="001F392E"/>
    <w:pPr>
      <w:pBdr>
        <w:bottom w:val="single" w:sz="48" w:space="6" w:color="auto"/>
      </w:pBdr>
      <w:spacing w:after="120"/>
    </w:pPr>
    <w:rPr>
      <w:sz w:val="56"/>
    </w:rPr>
  </w:style>
  <w:style w:type="character" w:styleId="FollowedHyperlink">
    <w:name w:val="FollowedHyperlink"/>
    <w:basedOn w:val="DefaultParagraphFont"/>
    <w:uiPriority w:val="99"/>
    <w:semiHidden/>
    <w:unhideWhenUsed/>
    <w:rsid w:val="001F392E"/>
    <w:rPr>
      <w:color w:val="003F5F" w:themeColor="followedHyperlink"/>
      <w:u w:val="single"/>
    </w:rPr>
  </w:style>
  <w:style w:type="character" w:customStyle="1" w:styleId="help-block">
    <w:name w:val="help-block"/>
    <w:basedOn w:val="DefaultParagraphFont"/>
    <w:rsid w:val="001F392E"/>
  </w:style>
  <w:style w:type="paragraph" w:styleId="CommentSubject">
    <w:name w:val="annotation subject"/>
    <w:basedOn w:val="CommentText"/>
    <w:next w:val="CommentText"/>
    <w:link w:val="CommentSubjectChar"/>
    <w:uiPriority w:val="99"/>
    <w:semiHidden/>
    <w:unhideWhenUsed/>
    <w:rsid w:val="001F392E"/>
    <w:rPr>
      <w:b/>
      <w:bCs/>
    </w:rPr>
  </w:style>
  <w:style w:type="character" w:customStyle="1" w:styleId="CommentSubjectChar">
    <w:name w:val="Comment Subject Char"/>
    <w:basedOn w:val="CommentTextChar"/>
    <w:link w:val="CommentSubject"/>
    <w:uiPriority w:val="99"/>
    <w:semiHidden/>
    <w:rsid w:val="001F392E"/>
    <w:rPr>
      <w:rFonts w:ascii="Arial" w:eastAsia="Times New Roman" w:hAnsi="Arial" w:cs="Times New Roman"/>
      <w:b/>
      <w:bCs/>
      <w:sz w:val="20"/>
      <w:szCs w:val="20"/>
    </w:rPr>
  </w:style>
  <w:style w:type="character" w:styleId="Emphasis">
    <w:name w:val="Emphasis"/>
    <w:basedOn w:val="DefaultParagraphFont"/>
    <w:uiPriority w:val="20"/>
    <w:qFormat/>
    <w:rsid w:val="001F392E"/>
    <w:rPr>
      <w:i/>
      <w:iCs/>
    </w:rPr>
  </w:style>
  <w:style w:type="paragraph" w:customStyle="1" w:styleId="subhead0">
    <w:name w:val="subhead"/>
    <w:basedOn w:val="Number"/>
    <w:next w:val="Number"/>
    <w:link w:val="subheadChar"/>
    <w:qFormat/>
    <w:rsid w:val="001F392E"/>
    <w:pPr>
      <w:numPr>
        <w:ilvl w:val="0"/>
        <w:numId w:val="0"/>
      </w:numPr>
    </w:pPr>
  </w:style>
  <w:style w:type="character" w:customStyle="1" w:styleId="subheadChar">
    <w:name w:val="subhead Char"/>
    <w:basedOn w:val="NumberChar"/>
    <w:link w:val="subhead0"/>
    <w:rsid w:val="001F392E"/>
    <w:rPr>
      <w:rFonts w:ascii="Arial" w:eastAsia="Times New Roman" w:hAnsi="Arial" w:cs="Arial"/>
      <w:color w:val="4A4A4A" w:themeColor="text1"/>
      <w:sz w:val="18"/>
      <w:szCs w:val="20"/>
    </w:rPr>
  </w:style>
  <w:style w:type="table" w:styleId="PlainTable3">
    <w:name w:val="Plain Table 3"/>
    <w:basedOn w:val="TableNormal"/>
    <w:uiPriority w:val="43"/>
    <w:rsid w:val="004E7065"/>
    <w:pPr>
      <w:spacing w:after="0" w:line="240" w:lineRule="auto"/>
    </w:pPr>
    <w:tblPr>
      <w:tblStyleRowBandSize w:val="1"/>
      <w:tblStyleColBandSize w:val="1"/>
    </w:tblPr>
    <w:tblStylePr w:type="firstRow">
      <w:rPr>
        <w:b/>
        <w:bCs/>
        <w:caps/>
      </w:rPr>
      <w:tblPr/>
      <w:tcPr>
        <w:tcBorders>
          <w:bottom w:val="single" w:sz="4" w:space="0" w:color="A4A4A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4A4A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2E3CD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4A4A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4A4A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4A4A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4A4A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Accent5">
    <w:name w:val="Grid Table 1 Light Accent 5"/>
    <w:basedOn w:val="TableNormal"/>
    <w:uiPriority w:val="46"/>
    <w:rsid w:val="002E3CDC"/>
    <w:pPr>
      <w:spacing w:after="0" w:line="240" w:lineRule="auto"/>
    </w:pPr>
    <w:tblPr>
      <w:tblStyleRowBandSize w:val="1"/>
      <w:tblStyleColBandSize w:val="1"/>
      <w:tblBorders>
        <w:top w:val="single" w:sz="4" w:space="0" w:color="EAEFF2" w:themeColor="accent5" w:themeTint="66"/>
        <w:left w:val="single" w:sz="4" w:space="0" w:color="EAEFF2" w:themeColor="accent5" w:themeTint="66"/>
        <w:bottom w:val="single" w:sz="4" w:space="0" w:color="EAEFF2" w:themeColor="accent5" w:themeTint="66"/>
        <w:right w:val="single" w:sz="4" w:space="0" w:color="EAEFF2" w:themeColor="accent5" w:themeTint="66"/>
        <w:insideH w:val="single" w:sz="4" w:space="0" w:color="EAEFF2" w:themeColor="accent5" w:themeTint="66"/>
        <w:insideV w:val="single" w:sz="4" w:space="0" w:color="EAEFF2" w:themeColor="accent5" w:themeTint="66"/>
      </w:tblBorders>
    </w:tblPr>
    <w:tblStylePr w:type="firstRow">
      <w:rPr>
        <w:b/>
        <w:bCs/>
      </w:rPr>
      <w:tblPr/>
      <w:tcPr>
        <w:tcBorders>
          <w:bottom w:val="single" w:sz="12" w:space="0" w:color="E0E7EB" w:themeColor="accent5" w:themeTint="99"/>
        </w:tcBorders>
      </w:tcPr>
    </w:tblStylePr>
    <w:tblStylePr w:type="lastRow">
      <w:rPr>
        <w:b/>
        <w:bCs/>
      </w:rPr>
      <w:tblPr/>
      <w:tcPr>
        <w:tcBorders>
          <w:top w:val="double" w:sz="2" w:space="0" w:color="E0E7EB" w:themeColor="accent5"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E3CDC"/>
    <w:pPr>
      <w:spacing w:after="0" w:line="240" w:lineRule="auto"/>
    </w:pPr>
    <w:tblPr>
      <w:tblStyleRowBandSize w:val="1"/>
      <w:tblStyleColBandSize w:val="1"/>
      <w:tblBorders>
        <w:top w:val="single" w:sz="4" w:space="0" w:color="59C7FF" w:themeColor="accent1" w:themeTint="66"/>
        <w:left w:val="single" w:sz="4" w:space="0" w:color="59C7FF" w:themeColor="accent1" w:themeTint="66"/>
        <w:bottom w:val="single" w:sz="4" w:space="0" w:color="59C7FF" w:themeColor="accent1" w:themeTint="66"/>
        <w:right w:val="single" w:sz="4" w:space="0" w:color="59C7FF" w:themeColor="accent1" w:themeTint="66"/>
        <w:insideH w:val="single" w:sz="4" w:space="0" w:color="59C7FF" w:themeColor="accent1" w:themeTint="66"/>
        <w:insideV w:val="single" w:sz="4" w:space="0" w:color="59C7FF" w:themeColor="accent1" w:themeTint="66"/>
      </w:tblBorders>
    </w:tblPr>
    <w:tblStylePr w:type="firstRow">
      <w:rPr>
        <w:b/>
        <w:bCs/>
      </w:rPr>
      <w:tblPr/>
      <w:tcPr>
        <w:tcBorders>
          <w:bottom w:val="single" w:sz="12" w:space="0" w:color="06ABFF" w:themeColor="accent1" w:themeTint="99"/>
        </w:tcBorders>
      </w:tcPr>
    </w:tblStylePr>
    <w:tblStylePr w:type="lastRow">
      <w:rPr>
        <w:b/>
        <w:bCs/>
      </w:rPr>
      <w:tblPr/>
      <w:tcPr>
        <w:tcBorders>
          <w:top w:val="double" w:sz="2" w:space="0" w:color="06ABFF"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1D6E59"/>
    <w:pPr>
      <w:keepNext/>
      <w:keepLines/>
      <w:spacing w:before="240" w:after="0" w:line="259" w:lineRule="auto"/>
      <w:outlineLvl w:val="9"/>
    </w:pPr>
    <w:rPr>
      <w:rFonts w:asciiTheme="majorHAnsi" w:eastAsiaTheme="majorEastAsia" w:hAnsiTheme="majorHAnsi" w:cstheme="majorBidi"/>
      <w:b/>
      <w:color w:val="002F47" w:themeColor="accent1" w:themeShade="BF"/>
      <w:sz w:val="32"/>
      <w:szCs w:val="32"/>
      <w:lang w:val="en-US"/>
    </w:rPr>
  </w:style>
  <w:style w:type="character" w:customStyle="1" w:styleId="UnresolvedMention1">
    <w:name w:val="Unresolved Mention1"/>
    <w:basedOn w:val="DefaultParagraphFont"/>
    <w:uiPriority w:val="99"/>
    <w:semiHidden/>
    <w:unhideWhenUsed/>
    <w:rsid w:val="00117379"/>
    <w:rPr>
      <w:color w:val="605E5C"/>
      <w:shd w:val="clear" w:color="auto" w:fill="E1DFDD"/>
    </w:rPr>
  </w:style>
  <w:style w:type="paragraph" w:styleId="TOC5">
    <w:name w:val="toc 5"/>
    <w:basedOn w:val="Normal"/>
    <w:next w:val="Normal"/>
    <w:autoRedefine/>
    <w:uiPriority w:val="39"/>
    <w:unhideWhenUsed/>
    <w:rsid w:val="003611FF"/>
    <w:pPr>
      <w:spacing w:before="0"/>
      <w:ind w:left="880"/>
    </w:pPr>
    <w:rPr>
      <w:rFonts w:asciiTheme="minorHAnsi" w:hAnsiTheme="minorHAnsi" w:cstheme="minorHAnsi"/>
      <w:szCs w:val="18"/>
    </w:rPr>
  </w:style>
  <w:style w:type="paragraph" w:styleId="TOC6">
    <w:name w:val="toc 6"/>
    <w:basedOn w:val="Normal"/>
    <w:next w:val="Normal"/>
    <w:autoRedefine/>
    <w:uiPriority w:val="39"/>
    <w:unhideWhenUsed/>
    <w:rsid w:val="003611FF"/>
    <w:pPr>
      <w:spacing w:before="0"/>
      <w:ind w:left="1100"/>
    </w:pPr>
    <w:rPr>
      <w:rFonts w:asciiTheme="minorHAnsi" w:hAnsiTheme="minorHAnsi" w:cstheme="minorHAnsi"/>
      <w:szCs w:val="18"/>
    </w:rPr>
  </w:style>
  <w:style w:type="paragraph" w:styleId="TOC7">
    <w:name w:val="toc 7"/>
    <w:basedOn w:val="Normal"/>
    <w:next w:val="Normal"/>
    <w:autoRedefine/>
    <w:uiPriority w:val="39"/>
    <w:unhideWhenUsed/>
    <w:rsid w:val="003611FF"/>
    <w:pPr>
      <w:spacing w:before="0"/>
      <w:ind w:left="1320"/>
    </w:pPr>
    <w:rPr>
      <w:rFonts w:asciiTheme="minorHAnsi" w:hAnsiTheme="minorHAnsi" w:cstheme="minorHAnsi"/>
      <w:szCs w:val="18"/>
    </w:rPr>
  </w:style>
  <w:style w:type="paragraph" w:styleId="TOC8">
    <w:name w:val="toc 8"/>
    <w:basedOn w:val="Normal"/>
    <w:next w:val="Normal"/>
    <w:autoRedefine/>
    <w:uiPriority w:val="39"/>
    <w:unhideWhenUsed/>
    <w:rsid w:val="003611FF"/>
    <w:pPr>
      <w:spacing w:before="0"/>
      <w:ind w:left="1540"/>
    </w:pPr>
    <w:rPr>
      <w:rFonts w:asciiTheme="minorHAnsi" w:hAnsiTheme="minorHAnsi" w:cstheme="minorHAnsi"/>
      <w:szCs w:val="18"/>
    </w:rPr>
  </w:style>
  <w:style w:type="paragraph" w:styleId="TOC9">
    <w:name w:val="toc 9"/>
    <w:basedOn w:val="Normal"/>
    <w:next w:val="Normal"/>
    <w:autoRedefine/>
    <w:uiPriority w:val="39"/>
    <w:unhideWhenUsed/>
    <w:rsid w:val="003611FF"/>
    <w:pPr>
      <w:spacing w:before="0"/>
      <w:ind w:left="1760"/>
    </w:pPr>
    <w:rPr>
      <w:rFonts w:asciiTheme="minorHAnsi" w:hAnsiTheme="minorHAnsi" w:cstheme="minorHAnsi"/>
      <w:szCs w:val="18"/>
    </w:rPr>
  </w:style>
  <w:style w:type="numbering" w:customStyle="1" w:styleId="NoList1">
    <w:name w:val="No List1"/>
    <w:next w:val="NoList"/>
    <w:uiPriority w:val="99"/>
    <w:semiHidden/>
    <w:unhideWhenUsed/>
    <w:rsid w:val="003611FF"/>
  </w:style>
  <w:style w:type="table" w:customStyle="1" w:styleId="TableGrid1">
    <w:name w:val="Table Grid1"/>
    <w:basedOn w:val="TableNormal"/>
    <w:next w:val="TableGrid"/>
    <w:uiPriority w:val="59"/>
    <w:rsid w:val="003611FF"/>
    <w:pPr>
      <w:spacing w:before="200" w:after="0" w:line="240" w:lineRule="auto"/>
      <w:ind w:left="709"/>
    </w:pPr>
    <w:rPr>
      <w:rFonts w:ascii="Times New Roman" w:eastAsia="Times New Roman" w:hAnsi="Times New Roman" w:cs="Times New Roman"/>
      <w:sz w:val="20"/>
      <w:szCs w:val="20"/>
      <w:lang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
    <w:name w:val="Plain Table 31"/>
    <w:basedOn w:val="TableNormal"/>
    <w:next w:val="PlainTable3"/>
    <w:uiPriority w:val="43"/>
    <w:rsid w:val="003611FF"/>
    <w:pPr>
      <w:spacing w:after="0" w:line="240" w:lineRule="auto"/>
    </w:pPr>
    <w:tblPr>
      <w:tblStyleRowBandSize w:val="1"/>
      <w:tblStyleColBandSize w:val="1"/>
    </w:tblPr>
    <w:tblStylePr w:type="firstRow">
      <w:rPr>
        <w:b/>
        <w:bCs/>
        <w:caps/>
      </w:rPr>
      <w:tblPr/>
      <w:tcPr>
        <w:tcBorders>
          <w:bottom w:val="single" w:sz="4" w:space="0" w:color="A4A4A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4A4A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1">
    <w:name w:val="Plain Table 51"/>
    <w:basedOn w:val="TableNormal"/>
    <w:next w:val="PlainTable5"/>
    <w:uiPriority w:val="45"/>
    <w:rsid w:val="003611FF"/>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4A4A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4A4A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4A4A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4A4A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1Light-Accent51">
    <w:name w:val="Grid Table 1 Light - Accent 51"/>
    <w:basedOn w:val="TableNormal"/>
    <w:next w:val="GridTable1Light-Accent5"/>
    <w:uiPriority w:val="46"/>
    <w:rsid w:val="003611FF"/>
    <w:pPr>
      <w:spacing w:after="0" w:line="240" w:lineRule="auto"/>
    </w:pPr>
    <w:tblPr>
      <w:tblStyleRowBandSize w:val="1"/>
      <w:tblStyleColBandSize w:val="1"/>
      <w:tblBorders>
        <w:top w:val="single" w:sz="4" w:space="0" w:color="EAEFF2" w:themeColor="accent5" w:themeTint="66"/>
        <w:left w:val="single" w:sz="4" w:space="0" w:color="EAEFF2" w:themeColor="accent5" w:themeTint="66"/>
        <w:bottom w:val="single" w:sz="4" w:space="0" w:color="EAEFF2" w:themeColor="accent5" w:themeTint="66"/>
        <w:right w:val="single" w:sz="4" w:space="0" w:color="EAEFF2" w:themeColor="accent5" w:themeTint="66"/>
        <w:insideH w:val="single" w:sz="4" w:space="0" w:color="EAEFF2" w:themeColor="accent5" w:themeTint="66"/>
        <w:insideV w:val="single" w:sz="4" w:space="0" w:color="EAEFF2" w:themeColor="accent5" w:themeTint="66"/>
      </w:tblBorders>
    </w:tblPr>
    <w:tblStylePr w:type="firstRow">
      <w:rPr>
        <w:b/>
        <w:bCs/>
      </w:rPr>
      <w:tblPr/>
      <w:tcPr>
        <w:tcBorders>
          <w:bottom w:val="single" w:sz="12" w:space="0" w:color="E0E7EB" w:themeColor="accent5" w:themeTint="99"/>
        </w:tcBorders>
      </w:tcPr>
    </w:tblStylePr>
    <w:tblStylePr w:type="lastRow">
      <w:rPr>
        <w:b/>
        <w:bCs/>
      </w:rPr>
      <w:tblPr/>
      <w:tcPr>
        <w:tcBorders>
          <w:top w:val="double" w:sz="2" w:space="0" w:color="E0E7EB" w:themeColor="accent5"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3611FF"/>
    <w:pPr>
      <w:spacing w:after="0" w:line="240" w:lineRule="auto"/>
    </w:pPr>
    <w:tblPr>
      <w:tblStyleRowBandSize w:val="1"/>
      <w:tblStyleColBandSize w:val="1"/>
      <w:tblBorders>
        <w:top w:val="single" w:sz="4" w:space="0" w:color="59C7FF" w:themeColor="accent1" w:themeTint="66"/>
        <w:left w:val="single" w:sz="4" w:space="0" w:color="59C7FF" w:themeColor="accent1" w:themeTint="66"/>
        <w:bottom w:val="single" w:sz="4" w:space="0" w:color="59C7FF" w:themeColor="accent1" w:themeTint="66"/>
        <w:right w:val="single" w:sz="4" w:space="0" w:color="59C7FF" w:themeColor="accent1" w:themeTint="66"/>
        <w:insideH w:val="single" w:sz="4" w:space="0" w:color="59C7FF" w:themeColor="accent1" w:themeTint="66"/>
        <w:insideV w:val="single" w:sz="4" w:space="0" w:color="59C7FF" w:themeColor="accent1" w:themeTint="66"/>
      </w:tblBorders>
    </w:tblPr>
    <w:tblStylePr w:type="firstRow">
      <w:rPr>
        <w:b/>
        <w:bCs/>
      </w:rPr>
      <w:tblPr/>
      <w:tcPr>
        <w:tcBorders>
          <w:bottom w:val="single" w:sz="12" w:space="0" w:color="06ABFF" w:themeColor="accent1" w:themeTint="99"/>
        </w:tcBorders>
      </w:tcPr>
    </w:tblStylePr>
    <w:tblStylePr w:type="lastRow">
      <w:rPr>
        <w:b/>
        <w:bCs/>
      </w:rPr>
      <w:tblPr/>
      <w:tcPr>
        <w:tcBorders>
          <w:top w:val="double" w:sz="2" w:space="0" w:color="06ABFF" w:themeColor="accent1" w:themeTint="99"/>
        </w:tcBorders>
      </w:tcPr>
    </w:tblStylePr>
    <w:tblStylePr w:type="firstCol">
      <w:rPr>
        <w:b/>
        <w:bCs/>
      </w:rPr>
    </w:tblStylePr>
    <w:tblStylePr w:type="lastCol">
      <w:rPr>
        <w:b/>
        <w:bCs/>
      </w:rPr>
    </w:tblStylePr>
  </w:style>
  <w:style w:type="character" w:customStyle="1" w:styleId="UnresolvedMention2">
    <w:name w:val="Unresolved Mention2"/>
    <w:basedOn w:val="DefaultParagraphFont"/>
    <w:uiPriority w:val="99"/>
    <w:semiHidden/>
    <w:unhideWhenUsed/>
    <w:rsid w:val="00581D87"/>
    <w:rPr>
      <w:color w:val="605E5C"/>
      <w:shd w:val="clear" w:color="auto" w:fill="E1DFDD"/>
    </w:rPr>
  </w:style>
  <w:style w:type="paragraph" w:customStyle="1" w:styleId="ParagraphText">
    <w:name w:val="Paragraph Text"/>
    <w:basedOn w:val="Normal"/>
    <w:rsid w:val="000258B4"/>
    <w:pPr>
      <w:spacing w:before="40"/>
      <w:ind w:left="1701"/>
    </w:pPr>
    <w:rPr>
      <w:rFonts w:ascii="Times New Roman" w:hAnsi="Times New Roman"/>
      <w:sz w:val="24"/>
      <w:lang w:val="en-GB" w:eastAsia="en-GB"/>
    </w:rPr>
  </w:style>
  <w:style w:type="character" w:customStyle="1" w:styleId="ilfuvd">
    <w:name w:val="ilfuvd"/>
    <w:basedOn w:val="DefaultParagraphFont"/>
    <w:rsid w:val="000258B4"/>
  </w:style>
  <w:style w:type="character" w:customStyle="1" w:styleId="UnresolvedMention3">
    <w:name w:val="Unresolved Mention3"/>
    <w:basedOn w:val="DefaultParagraphFont"/>
    <w:uiPriority w:val="99"/>
    <w:semiHidden/>
    <w:unhideWhenUsed/>
    <w:rsid w:val="00DE0F63"/>
    <w:rPr>
      <w:color w:val="605E5C"/>
      <w:shd w:val="clear" w:color="auto" w:fill="E1DFDD"/>
    </w:rPr>
  </w:style>
  <w:style w:type="table" w:styleId="TableGridLight">
    <w:name w:val="Grid Table Light"/>
    <w:basedOn w:val="TableNormal"/>
    <w:uiPriority w:val="40"/>
    <w:rsid w:val="001E02C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1E02C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3">
    <w:name w:val="Grid Table 3"/>
    <w:basedOn w:val="TableNormal"/>
    <w:uiPriority w:val="48"/>
    <w:rsid w:val="001E02C7"/>
    <w:pPr>
      <w:spacing w:after="0" w:line="240" w:lineRule="auto"/>
    </w:pPr>
    <w:tblPr>
      <w:tblStyleRowBandSize w:val="1"/>
      <w:tblStyleColBandSize w:val="1"/>
      <w:tblBorders>
        <w:top w:val="single" w:sz="4" w:space="0" w:color="929292" w:themeColor="text1" w:themeTint="99"/>
        <w:left w:val="single" w:sz="4" w:space="0" w:color="929292" w:themeColor="text1" w:themeTint="99"/>
        <w:bottom w:val="single" w:sz="4" w:space="0" w:color="929292" w:themeColor="text1" w:themeTint="99"/>
        <w:right w:val="single" w:sz="4" w:space="0" w:color="929292" w:themeColor="text1" w:themeTint="99"/>
        <w:insideH w:val="single" w:sz="4" w:space="0" w:color="929292" w:themeColor="text1" w:themeTint="99"/>
        <w:insideV w:val="single" w:sz="4" w:space="0" w:color="929292"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DADA" w:themeFill="text1" w:themeFillTint="33"/>
      </w:tcPr>
    </w:tblStylePr>
    <w:tblStylePr w:type="band1Horz">
      <w:tblPr/>
      <w:tcPr>
        <w:shd w:val="clear" w:color="auto" w:fill="DADADA" w:themeFill="text1" w:themeFillTint="33"/>
      </w:tcPr>
    </w:tblStylePr>
    <w:tblStylePr w:type="neCell">
      <w:tblPr/>
      <w:tcPr>
        <w:tcBorders>
          <w:bottom w:val="single" w:sz="4" w:space="0" w:color="929292" w:themeColor="text1" w:themeTint="99"/>
        </w:tcBorders>
      </w:tcPr>
    </w:tblStylePr>
    <w:tblStylePr w:type="nwCell">
      <w:tblPr/>
      <w:tcPr>
        <w:tcBorders>
          <w:bottom w:val="single" w:sz="4" w:space="0" w:color="929292" w:themeColor="text1" w:themeTint="99"/>
        </w:tcBorders>
      </w:tcPr>
    </w:tblStylePr>
    <w:tblStylePr w:type="seCell">
      <w:tblPr/>
      <w:tcPr>
        <w:tcBorders>
          <w:top w:val="single" w:sz="4" w:space="0" w:color="929292" w:themeColor="text1" w:themeTint="99"/>
        </w:tcBorders>
      </w:tcPr>
    </w:tblStylePr>
    <w:tblStylePr w:type="swCell">
      <w:tblPr/>
      <w:tcPr>
        <w:tcBorders>
          <w:top w:val="single" w:sz="4" w:space="0" w:color="929292" w:themeColor="text1" w:themeTint="99"/>
        </w:tcBorders>
      </w:tcPr>
    </w:tblStylePr>
  </w:style>
  <w:style w:type="table" w:customStyle="1" w:styleId="GridTable31">
    <w:name w:val="Grid Table 31"/>
    <w:basedOn w:val="TableNormal"/>
    <w:uiPriority w:val="48"/>
    <w:rsid w:val="00A02F41"/>
    <w:pPr>
      <w:spacing w:after="0" w:line="240" w:lineRule="auto"/>
    </w:pPr>
    <w:tblPr>
      <w:tblStyleRowBandSize w:val="1"/>
      <w:tblStyleColBandSize w:val="1"/>
      <w:tblBorders>
        <w:top w:val="single" w:sz="4" w:space="0" w:color="929292" w:themeColor="text1" w:themeTint="99"/>
        <w:left w:val="single" w:sz="4" w:space="0" w:color="929292" w:themeColor="text1" w:themeTint="99"/>
        <w:bottom w:val="single" w:sz="4" w:space="0" w:color="929292" w:themeColor="text1" w:themeTint="99"/>
        <w:right w:val="single" w:sz="4" w:space="0" w:color="929292" w:themeColor="text1" w:themeTint="99"/>
        <w:insideH w:val="single" w:sz="4" w:space="0" w:color="929292" w:themeColor="text1" w:themeTint="99"/>
        <w:insideV w:val="single" w:sz="4" w:space="0" w:color="929292"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DADA" w:themeFill="text1" w:themeFillTint="33"/>
      </w:tcPr>
    </w:tblStylePr>
    <w:tblStylePr w:type="band1Horz">
      <w:tblPr/>
      <w:tcPr>
        <w:shd w:val="clear" w:color="auto" w:fill="DADADA" w:themeFill="text1" w:themeFillTint="33"/>
      </w:tcPr>
    </w:tblStylePr>
    <w:tblStylePr w:type="neCell">
      <w:tblPr/>
      <w:tcPr>
        <w:tcBorders>
          <w:bottom w:val="single" w:sz="4" w:space="0" w:color="929292" w:themeColor="text1" w:themeTint="99"/>
        </w:tcBorders>
      </w:tcPr>
    </w:tblStylePr>
    <w:tblStylePr w:type="nwCell">
      <w:tblPr/>
      <w:tcPr>
        <w:tcBorders>
          <w:bottom w:val="single" w:sz="4" w:space="0" w:color="929292" w:themeColor="text1" w:themeTint="99"/>
        </w:tcBorders>
      </w:tcPr>
    </w:tblStylePr>
    <w:tblStylePr w:type="seCell">
      <w:tblPr/>
      <w:tcPr>
        <w:tcBorders>
          <w:top w:val="single" w:sz="4" w:space="0" w:color="929292" w:themeColor="text1" w:themeTint="99"/>
        </w:tcBorders>
      </w:tcPr>
    </w:tblStylePr>
    <w:tblStylePr w:type="swCell">
      <w:tblPr/>
      <w:tcPr>
        <w:tcBorders>
          <w:top w:val="single" w:sz="4" w:space="0" w:color="929292" w:themeColor="text1" w:themeTint="99"/>
        </w:tcBorders>
      </w:tcPr>
    </w:tblStylePr>
  </w:style>
  <w:style w:type="character" w:customStyle="1" w:styleId="UnresolvedMention30">
    <w:name w:val="Unresolved Mention3"/>
    <w:basedOn w:val="DefaultParagraphFont"/>
    <w:uiPriority w:val="99"/>
    <w:semiHidden/>
    <w:unhideWhenUsed/>
    <w:rsid w:val="008F5DC3"/>
    <w:rPr>
      <w:color w:val="605E5C"/>
      <w:shd w:val="clear" w:color="auto" w:fill="E1DFDD"/>
    </w:rPr>
  </w:style>
  <w:style w:type="character" w:customStyle="1" w:styleId="reference-text">
    <w:name w:val="reference-text"/>
    <w:basedOn w:val="DefaultParagraphFont"/>
    <w:rsid w:val="0029595B"/>
  </w:style>
  <w:style w:type="character" w:customStyle="1" w:styleId="UnresolvedMention4">
    <w:name w:val="Unresolved Mention4"/>
    <w:basedOn w:val="DefaultParagraphFont"/>
    <w:uiPriority w:val="99"/>
    <w:semiHidden/>
    <w:unhideWhenUsed/>
    <w:rsid w:val="00D71773"/>
    <w:rPr>
      <w:color w:val="605E5C"/>
      <w:shd w:val="clear" w:color="auto" w:fill="E1DFDD"/>
    </w:rPr>
  </w:style>
  <w:style w:type="character" w:styleId="Strong">
    <w:name w:val="Strong"/>
    <w:basedOn w:val="DefaultParagraphFont"/>
    <w:uiPriority w:val="22"/>
    <w:qFormat/>
    <w:rsid w:val="000B3E50"/>
    <w:rPr>
      <w:b/>
      <w:bCs/>
    </w:rPr>
  </w:style>
  <w:style w:type="character" w:customStyle="1" w:styleId="UnresolvedMention5">
    <w:name w:val="Unresolved Mention5"/>
    <w:basedOn w:val="DefaultParagraphFont"/>
    <w:uiPriority w:val="99"/>
    <w:semiHidden/>
    <w:unhideWhenUsed/>
    <w:rsid w:val="008817E0"/>
    <w:rPr>
      <w:color w:val="605E5C"/>
      <w:shd w:val="clear" w:color="auto" w:fill="E1DFDD"/>
    </w:rPr>
  </w:style>
  <w:style w:type="character" w:customStyle="1" w:styleId="UnresolvedMention6">
    <w:name w:val="Unresolved Mention6"/>
    <w:basedOn w:val="DefaultParagraphFont"/>
    <w:uiPriority w:val="99"/>
    <w:semiHidden/>
    <w:unhideWhenUsed/>
    <w:rsid w:val="00E115FD"/>
    <w:rPr>
      <w:color w:val="605E5C"/>
      <w:shd w:val="clear" w:color="auto" w:fill="E1DFDD"/>
    </w:rPr>
  </w:style>
  <w:style w:type="character" w:customStyle="1" w:styleId="UnresolvedMention60">
    <w:name w:val="Unresolved Mention6"/>
    <w:basedOn w:val="DefaultParagraphFont"/>
    <w:uiPriority w:val="99"/>
    <w:semiHidden/>
    <w:unhideWhenUsed/>
    <w:rsid w:val="005541F4"/>
    <w:rPr>
      <w:color w:val="605E5C"/>
      <w:shd w:val="clear" w:color="auto" w:fill="E1DFDD"/>
    </w:rPr>
  </w:style>
  <w:style w:type="character" w:customStyle="1" w:styleId="ITALICSTYLE">
    <w:name w:val="ITALIC STYLE"/>
    <w:uiPriority w:val="7"/>
    <w:qFormat/>
    <w:rsid w:val="00EC272B"/>
    <w:rPr>
      <w:i/>
      <w:color w:val="4A4A4A"/>
    </w:rPr>
  </w:style>
  <w:style w:type="character" w:customStyle="1" w:styleId="BoldStyle">
    <w:name w:val="Bold Style"/>
    <w:uiPriority w:val="7"/>
    <w:qFormat/>
    <w:rsid w:val="00DA2221"/>
    <w:rPr>
      <w:b/>
    </w:rPr>
  </w:style>
  <w:style w:type="character" w:customStyle="1" w:styleId="ITALICSSTYLE">
    <w:name w:val="ITALICS STYLE"/>
    <w:uiPriority w:val="7"/>
    <w:qFormat/>
    <w:rsid w:val="00DA2221"/>
    <w:rPr>
      <w:i/>
    </w:rPr>
  </w:style>
  <w:style w:type="character" w:customStyle="1" w:styleId="BoldItalicstyle">
    <w:name w:val="Bold Italic style"/>
    <w:uiPriority w:val="7"/>
    <w:qFormat/>
    <w:rsid w:val="00DA2221"/>
    <w:rPr>
      <w:b/>
      <w:i/>
    </w:rPr>
  </w:style>
  <w:style w:type="character" w:customStyle="1" w:styleId="Blue">
    <w:name w:val="Blue"/>
    <w:uiPriority w:val="7"/>
    <w:qFormat/>
    <w:rsid w:val="00D75C91"/>
    <w:rPr>
      <w:caps w:val="0"/>
      <w:smallCaps w:val="0"/>
      <w:color w:val="265C77"/>
    </w:rPr>
  </w:style>
  <w:style w:type="paragraph" w:styleId="E-mailSignature">
    <w:name w:val="E-mail Signature"/>
    <w:basedOn w:val="Normal"/>
    <w:link w:val="E-mailSignatureChar"/>
    <w:uiPriority w:val="99"/>
    <w:unhideWhenUsed/>
    <w:rsid w:val="00C971D5"/>
    <w:pPr>
      <w:spacing w:before="0" w:after="0" w:line="240" w:lineRule="auto"/>
    </w:pPr>
  </w:style>
  <w:style w:type="character" w:styleId="PlaceholderText">
    <w:name w:val="Placeholder Text"/>
    <w:basedOn w:val="DefaultParagraphFont"/>
    <w:uiPriority w:val="99"/>
    <w:semiHidden/>
    <w:rsid w:val="00276A1B"/>
    <w:rPr>
      <w:color w:val="808080"/>
    </w:rPr>
  </w:style>
  <w:style w:type="paragraph" w:customStyle="1" w:styleId="Coverhead">
    <w:name w:val="Cover head"/>
    <w:qFormat/>
    <w:rsid w:val="00075198"/>
    <w:pPr>
      <w:spacing w:after="0" w:line="1140" w:lineRule="exact"/>
    </w:pPr>
    <w:rPr>
      <w:rFonts w:ascii="Arial" w:eastAsia="Times New Roman" w:hAnsi="Arial" w:cs="Times New Roman"/>
      <w:b/>
      <w:color w:val="003F5F" w:themeColor="accent1"/>
      <w:sz w:val="80"/>
      <w:szCs w:val="48"/>
    </w:rPr>
  </w:style>
  <w:style w:type="paragraph" w:customStyle="1" w:styleId="Coverdividersubhead">
    <w:name w:val="Cover / divider sub head"/>
    <w:basedOn w:val="Coverhead"/>
    <w:qFormat/>
    <w:rsid w:val="00FC31DA"/>
    <w:pPr>
      <w:spacing w:line="680" w:lineRule="exact"/>
    </w:pPr>
    <w:rPr>
      <w:color w:val="FFFFFF" w:themeColor="background1"/>
      <w:sz w:val="48"/>
      <w:lang w:eastAsia="en-NZ"/>
    </w:rPr>
  </w:style>
  <w:style w:type="paragraph" w:customStyle="1" w:styleId="Coverbluesubhead">
    <w:name w:val="Cover blue sub head"/>
    <w:basedOn w:val="Coverdividersubhead"/>
    <w:next w:val="Normal"/>
    <w:qFormat/>
    <w:rsid w:val="00FC31DA"/>
    <w:pPr>
      <w:spacing w:before="40"/>
      <w:jc w:val="right"/>
    </w:pPr>
    <w:rPr>
      <w:color w:val="003F5F" w:themeColor="accent1"/>
      <w:spacing w:val="16"/>
      <w:sz w:val="16"/>
    </w:rPr>
  </w:style>
  <w:style w:type="paragraph" w:customStyle="1" w:styleId="Headergrey">
    <w:name w:val="Header grey"/>
    <w:link w:val="HeadergreyChar"/>
    <w:qFormat/>
    <w:rsid w:val="005D41BC"/>
    <w:pPr>
      <w:spacing w:after="0" w:line="180" w:lineRule="exact"/>
      <w:jc w:val="right"/>
    </w:pPr>
    <w:rPr>
      <w:rFonts w:ascii="Arial" w:eastAsia="Times New Roman" w:hAnsi="Arial" w:cs="Times New Roman"/>
      <w:bCs/>
      <w:color w:val="717273"/>
      <w:sz w:val="16"/>
      <w:szCs w:val="20"/>
    </w:rPr>
  </w:style>
  <w:style w:type="character" w:customStyle="1" w:styleId="Hashtag1">
    <w:name w:val="Hashtag1"/>
    <w:basedOn w:val="DefaultParagraphFont"/>
    <w:uiPriority w:val="99"/>
    <w:unhideWhenUsed/>
    <w:rsid w:val="00FC31DA"/>
    <w:rPr>
      <w:color w:val="2B579A"/>
      <w:shd w:val="clear" w:color="auto" w:fill="E1DFDD"/>
    </w:rPr>
  </w:style>
  <w:style w:type="character" w:customStyle="1" w:styleId="HeadergreyChar">
    <w:name w:val="Header grey Char"/>
    <w:basedOn w:val="DefaultParagraphFont"/>
    <w:link w:val="Headergrey"/>
    <w:rsid w:val="005D41BC"/>
    <w:rPr>
      <w:rFonts w:ascii="Arial" w:eastAsia="Times New Roman" w:hAnsi="Arial" w:cs="Times New Roman"/>
      <w:bCs/>
      <w:color w:val="717273"/>
      <w:sz w:val="16"/>
      <w:szCs w:val="20"/>
    </w:rPr>
  </w:style>
  <w:style w:type="paragraph" w:customStyle="1" w:styleId="BodycopyNES">
    <w:name w:val="Body copy NES"/>
    <w:basedOn w:val="Normal"/>
    <w:link w:val="BodycopyNESChar"/>
    <w:qFormat/>
    <w:rsid w:val="00F97D23"/>
    <w:pPr>
      <w:autoSpaceDE w:val="0"/>
      <w:autoSpaceDN w:val="0"/>
      <w:adjustRightInd w:val="0"/>
      <w:spacing w:before="0" w:after="256" w:line="340" w:lineRule="exact"/>
      <w:ind w:left="680"/>
    </w:pPr>
    <w:rPr>
      <w:rFonts w:cs="Arial"/>
      <w:color w:val="4A4A4A"/>
      <w:sz w:val="20"/>
    </w:rPr>
  </w:style>
  <w:style w:type="paragraph" w:customStyle="1" w:styleId="Introtext">
    <w:name w:val="Intro text"/>
    <w:basedOn w:val="BodycopyNES"/>
    <w:qFormat/>
    <w:rsid w:val="002E46B2"/>
    <w:pPr>
      <w:spacing w:before="284" w:after="284" w:line="520" w:lineRule="exact"/>
      <w:outlineLvl w:val="1"/>
    </w:pPr>
    <w:rPr>
      <w:color w:val="406F87" w:themeColor="accent3"/>
      <w:sz w:val="24"/>
      <w:szCs w:val="24"/>
    </w:rPr>
  </w:style>
  <w:style w:type="paragraph" w:customStyle="1" w:styleId="BulletsNES">
    <w:name w:val="Bullets NES"/>
    <w:basedOn w:val="Normal"/>
    <w:qFormat/>
    <w:rsid w:val="004B3B4E"/>
    <w:pPr>
      <w:numPr>
        <w:numId w:val="7"/>
      </w:numPr>
      <w:spacing w:before="0" w:after="256" w:line="340" w:lineRule="exact"/>
      <w:contextualSpacing/>
    </w:pPr>
    <w:rPr>
      <w:rFonts w:ascii="Helvetica" w:hAnsi="Helvetica"/>
      <w:color w:val="4A4A4A"/>
      <w:lang w:eastAsia="en-NZ"/>
    </w:rPr>
  </w:style>
  <w:style w:type="paragraph" w:customStyle="1" w:styleId="Pullquotebullet">
    <w:name w:val="Pull quote bullet"/>
    <w:basedOn w:val="BulletsNES"/>
    <w:qFormat/>
    <w:rsid w:val="00065484"/>
    <w:pPr>
      <w:spacing w:after="120" w:line="300" w:lineRule="exact"/>
      <w:ind w:right="454"/>
    </w:pPr>
  </w:style>
  <w:style w:type="paragraph" w:customStyle="1" w:styleId="Nospace">
    <w:name w:val="No space"/>
    <w:basedOn w:val="BodycopyNES"/>
    <w:qFormat/>
    <w:rsid w:val="00FE31A7"/>
    <w:pPr>
      <w:spacing w:after="64"/>
    </w:pPr>
  </w:style>
  <w:style w:type="paragraph" w:customStyle="1" w:styleId="Footerright">
    <w:name w:val="Footer right"/>
    <w:basedOn w:val="Footer"/>
    <w:qFormat/>
    <w:rsid w:val="00CF00ED"/>
    <w:pPr>
      <w:jc w:val="right"/>
    </w:pPr>
  </w:style>
  <w:style w:type="paragraph" w:styleId="Caption">
    <w:name w:val="caption"/>
    <w:basedOn w:val="Heading4"/>
    <w:next w:val="Normal"/>
    <w:uiPriority w:val="35"/>
    <w:unhideWhenUsed/>
    <w:qFormat/>
    <w:rsid w:val="00185633"/>
    <w:pPr>
      <w:spacing w:after="200"/>
    </w:pPr>
    <w:rPr>
      <w:b w:val="0"/>
      <w:bCs w:val="0"/>
      <w:sz w:val="20"/>
    </w:rPr>
  </w:style>
  <w:style w:type="paragraph" w:customStyle="1" w:styleId="Tablecontent">
    <w:name w:val="Table content"/>
    <w:basedOn w:val="BodycopyNES"/>
    <w:qFormat/>
    <w:rsid w:val="00581735"/>
    <w:pPr>
      <w:spacing w:before="100" w:after="100" w:line="260" w:lineRule="exact"/>
      <w:ind w:left="142"/>
    </w:pPr>
    <w:rPr>
      <w:lang w:eastAsia="en-NZ"/>
    </w:rPr>
  </w:style>
  <w:style w:type="paragraph" w:customStyle="1" w:styleId="Tablehead">
    <w:name w:val="Table head"/>
    <w:basedOn w:val="Tablecontent"/>
    <w:qFormat/>
    <w:rsid w:val="00300090"/>
    <w:pPr>
      <w:spacing w:before="80" w:after="80" w:line="200" w:lineRule="exact"/>
      <w:ind w:right="85"/>
    </w:pPr>
    <w:rPr>
      <w:rFonts w:ascii="Arial Bold" w:hAnsi="Arial Bold"/>
      <w:b/>
      <w:bCs/>
      <w:color w:val="406F87" w:themeColor="accent3"/>
      <w:sz w:val="16"/>
      <w:szCs w:val="16"/>
    </w:rPr>
  </w:style>
  <w:style w:type="paragraph" w:customStyle="1" w:styleId="Tablebullets">
    <w:name w:val="Table bullets"/>
    <w:basedOn w:val="Tablecontent"/>
    <w:qFormat/>
    <w:rsid w:val="00E56990"/>
    <w:pPr>
      <w:numPr>
        <w:numId w:val="8"/>
      </w:numPr>
      <w:spacing w:before="40" w:after="40" w:line="200" w:lineRule="exact"/>
      <w:ind w:left="596" w:hanging="454"/>
    </w:pPr>
    <w:rPr>
      <w:color w:val="595959"/>
      <w:sz w:val="16"/>
      <w:szCs w:val="16"/>
    </w:rPr>
  </w:style>
  <w:style w:type="table" w:styleId="ListTable3-Accent1">
    <w:name w:val="List Table 3 Accent 1"/>
    <w:basedOn w:val="TableNormal"/>
    <w:uiPriority w:val="48"/>
    <w:rsid w:val="00DA5F4F"/>
    <w:pPr>
      <w:spacing w:after="0" w:line="240" w:lineRule="auto"/>
    </w:pPr>
    <w:tblPr>
      <w:tblStyleRowBandSize w:val="1"/>
      <w:tblStyleColBandSize w:val="1"/>
      <w:tblBorders>
        <w:top w:val="single" w:sz="4" w:space="0" w:color="003F5F" w:themeColor="accent1"/>
        <w:left w:val="single" w:sz="4" w:space="0" w:color="003F5F" w:themeColor="accent1"/>
        <w:bottom w:val="single" w:sz="4" w:space="0" w:color="003F5F" w:themeColor="accent1"/>
        <w:right w:val="single" w:sz="4" w:space="0" w:color="003F5F" w:themeColor="accent1"/>
      </w:tblBorders>
    </w:tblPr>
    <w:tblStylePr w:type="firstRow">
      <w:rPr>
        <w:b/>
        <w:bCs/>
        <w:color w:val="FFFFFF" w:themeColor="background1"/>
      </w:rPr>
      <w:tblPr/>
      <w:tcPr>
        <w:shd w:val="clear" w:color="auto" w:fill="003F5F" w:themeFill="accent1"/>
      </w:tcPr>
    </w:tblStylePr>
    <w:tblStylePr w:type="lastRow">
      <w:rPr>
        <w:b/>
        <w:bCs/>
      </w:rPr>
      <w:tblPr/>
      <w:tcPr>
        <w:tcBorders>
          <w:top w:val="double" w:sz="4" w:space="0" w:color="003F5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F5F" w:themeColor="accent1"/>
          <w:right w:val="single" w:sz="4" w:space="0" w:color="003F5F" w:themeColor="accent1"/>
        </w:tcBorders>
      </w:tcPr>
    </w:tblStylePr>
    <w:tblStylePr w:type="band1Horz">
      <w:tblPr/>
      <w:tcPr>
        <w:tcBorders>
          <w:top w:val="single" w:sz="4" w:space="0" w:color="003F5F" w:themeColor="accent1"/>
          <w:bottom w:val="single" w:sz="4" w:space="0" w:color="003F5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F5F" w:themeColor="accent1"/>
          <w:left w:val="nil"/>
        </w:tcBorders>
      </w:tcPr>
    </w:tblStylePr>
    <w:tblStylePr w:type="swCell">
      <w:tblPr/>
      <w:tcPr>
        <w:tcBorders>
          <w:top w:val="double" w:sz="4" w:space="0" w:color="003F5F" w:themeColor="accent1"/>
          <w:right w:val="nil"/>
        </w:tcBorders>
      </w:tcPr>
    </w:tblStylePr>
  </w:style>
  <w:style w:type="table" w:styleId="GridTable4-Accent1">
    <w:name w:val="Grid Table 4 Accent 1"/>
    <w:basedOn w:val="TableNormal"/>
    <w:uiPriority w:val="49"/>
    <w:rsid w:val="007B4DAF"/>
    <w:pPr>
      <w:spacing w:after="0" w:line="240" w:lineRule="auto"/>
    </w:pPr>
    <w:tblPr>
      <w:tblStyleRowBandSize w:val="1"/>
      <w:tblStyleColBandSize w:val="1"/>
      <w:tblBorders>
        <w:top w:val="single" w:sz="4" w:space="0" w:color="06ABFF" w:themeColor="accent1" w:themeTint="99"/>
        <w:left w:val="single" w:sz="4" w:space="0" w:color="06ABFF" w:themeColor="accent1" w:themeTint="99"/>
        <w:bottom w:val="single" w:sz="4" w:space="0" w:color="06ABFF" w:themeColor="accent1" w:themeTint="99"/>
        <w:right w:val="single" w:sz="4" w:space="0" w:color="06ABFF" w:themeColor="accent1" w:themeTint="99"/>
        <w:insideH w:val="single" w:sz="4" w:space="0" w:color="06ABFF" w:themeColor="accent1" w:themeTint="99"/>
        <w:insideV w:val="single" w:sz="4" w:space="0" w:color="06ABFF" w:themeColor="accent1" w:themeTint="99"/>
      </w:tblBorders>
    </w:tblPr>
    <w:tblStylePr w:type="firstRow">
      <w:rPr>
        <w:b/>
        <w:bCs/>
        <w:color w:val="FFFFFF" w:themeColor="background1"/>
      </w:rPr>
      <w:tblPr/>
      <w:tcPr>
        <w:tcBorders>
          <w:top w:val="single" w:sz="4" w:space="0" w:color="003F5F" w:themeColor="accent1"/>
          <w:left w:val="single" w:sz="4" w:space="0" w:color="003F5F" w:themeColor="accent1"/>
          <w:bottom w:val="single" w:sz="4" w:space="0" w:color="003F5F" w:themeColor="accent1"/>
          <w:right w:val="single" w:sz="4" w:space="0" w:color="003F5F" w:themeColor="accent1"/>
          <w:insideH w:val="nil"/>
          <w:insideV w:val="nil"/>
        </w:tcBorders>
        <w:shd w:val="clear" w:color="auto" w:fill="003F5F" w:themeFill="accent1"/>
      </w:tcPr>
    </w:tblStylePr>
    <w:tblStylePr w:type="lastRow">
      <w:rPr>
        <w:b/>
        <w:bCs/>
      </w:rPr>
      <w:tblPr/>
      <w:tcPr>
        <w:tcBorders>
          <w:top w:val="double" w:sz="4" w:space="0" w:color="003F5F" w:themeColor="accent1"/>
        </w:tcBorders>
      </w:tcPr>
    </w:tblStylePr>
    <w:tblStylePr w:type="firstCol">
      <w:rPr>
        <w:b/>
        <w:bCs/>
      </w:rPr>
    </w:tblStylePr>
    <w:tblStylePr w:type="lastCol">
      <w:rPr>
        <w:b/>
        <w:bCs/>
      </w:rPr>
    </w:tblStylePr>
    <w:tblStylePr w:type="band1Vert">
      <w:tblPr/>
      <w:tcPr>
        <w:shd w:val="clear" w:color="auto" w:fill="ACE3FF" w:themeFill="accent1" w:themeFillTint="33"/>
      </w:tcPr>
    </w:tblStylePr>
    <w:tblStylePr w:type="band1Horz">
      <w:tblPr/>
      <w:tcPr>
        <w:shd w:val="clear" w:color="auto" w:fill="ACE3FF" w:themeFill="accent1" w:themeFillTint="33"/>
      </w:tcPr>
    </w:tblStylePr>
  </w:style>
  <w:style w:type="table" w:styleId="ListTable3-Accent3">
    <w:name w:val="List Table 3 Accent 3"/>
    <w:basedOn w:val="TableNormal"/>
    <w:uiPriority w:val="48"/>
    <w:rsid w:val="007B4DAF"/>
    <w:pPr>
      <w:spacing w:after="0" w:line="240" w:lineRule="auto"/>
    </w:pPr>
    <w:tblPr>
      <w:tblStyleRowBandSize w:val="1"/>
      <w:tblStyleColBandSize w:val="1"/>
      <w:tblBorders>
        <w:top w:val="single" w:sz="4" w:space="0" w:color="406F87" w:themeColor="accent3"/>
        <w:left w:val="single" w:sz="4" w:space="0" w:color="406F87" w:themeColor="accent3"/>
        <w:bottom w:val="single" w:sz="4" w:space="0" w:color="406F87" w:themeColor="accent3"/>
        <w:right w:val="single" w:sz="4" w:space="0" w:color="406F87" w:themeColor="accent3"/>
      </w:tblBorders>
    </w:tblPr>
    <w:tblStylePr w:type="firstRow">
      <w:rPr>
        <w:b/>
        <w:bCs/>
        <w:color w:val="FFFFFF" w:themeColor="background1"/>
      </w:rPr>
      <w:tblPr/>
      <w:tcPr>
        <w:shd w:val="clear" w:color="auto" w:fill="406F87" w:themeFill="accent3"/>
      </w:tcPr>
    </w:tblStylePr>
    <w:tblStylePr w:type="lastRow">
      <w:rPr>
        <w:b/>
        <w:bCs/>
      </w:rPr>
      <w:tblPr/>
      <w:tcPr>
        <w:tcBorders>
          <w:top w:val="double" w:sz="4" w:space="0" w:color="406F8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6F87" w:themeColor="accent3"/>
          <w:right w:val="single" w:sz="4" w:space="0" w:color="406F87" w:themeColor="accent3"/>
        </w:tcBorders>
      </w:tcPr>
    </w:tblStylePr>
    <w:tblStylePr w:type="band1Horz">
      <w:tblPr/>
      <w:tcPr>
        <w:tcBorders>
          <w:top w:val="single" w:sz="4" w:space="0" w:color="406F87" w:themeColor="accent3"/>
          <w:bottom w:val="single" w:sz="4" w:space="0" w:color="406F8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6F87" w:themeColor="accent3"/>
          <w:left w:val="nil"/>
        </w:tcBorders>
      </w:tcPr>
    </w:tblStylePr>
    <w:tblStylePr w:type="swCell">
      <w:tblPr/>
      <w:tcPr>
        <w:tcBorders>
          <w:top w:val="double" w:sz="4" w:space="0" w:color="406F87" w:themeColor="accent3"/>
          <w:right w:val="nil"/>
        </w:tcBorders>
      </w:tcPr>
    </w:tblStylePr>
  </w:style>
  <w:style w:type="paragraph" w:customStyle="1" w:styleId="Numberedtextlinkedto1headingnumbered">
    <w:name w:val="Numbered text linked to 1 heading numbered"/>
    <w:basedOn w:val="BodycopyNES"/>
    <w:link w:val="Numberedtextlinkedto1headingnumberedChar"/>
    <w:qFormat/>
    <w:rsid w:val="000F20BF"/>
    <w:pPr>
      <w:numPr>
        <w:ilvl w:val="1"/>
        <w:numId w:val="9"/>
      </w:numPr>
      <w:spacing w:after="128"/>
      <w:ind w:right="-113"/>
    </w:pPr>
  </w:style>
  <w:style w:type="paragraph" w:customStyle="1" w:styleId="1Headingnumbered">
    <w:name w:val="1 Heading numbered"/>
    <w:basedOn w:val="Heading1"/>
    <w:qFormat/>
    <w:rsid w:val="009155D4"/>
    <w:pPr>
      <w:numPr>
        <w:numId w:val="9"/>
      </w:numPr>
    </w:pPr>
  </w:style>
  <w:style w:type="table" w:customStyle="1" w:styleId="1Table">
    <w:name w:val="1 Table"/>
    <w:basedOn w:val="TableNormal"/>
    <w:uiPriority w:val="99"/>
    <w:locked/>
    <w:rsid w:val="009B4FD5"/>
    <w:pPr>
      <w:spacing w:before="60" w:after="60" w:line="200" w:lineRule="exact"/>
      <w:ind w:left="85" w:right="85"/>
    </w:pPr>
    <w:rPr>
      <w:rFonts w:ascii="Arial" w:hAnsi="Arial" w:cs="Calibri Light"/>
      <w:color w:val="ECECEB"/>
      <w:sz w:val="20"/>
      <w:szCs w:val="20"/>
    </w:rPr>
    <w:tblPr>
      <w:tblStyleRowBandSize w:val="1"/>
      <w:tblBorders>
        <w:bottom w:val="single" w:sz="4" w:space="0" w:color="C1D82F" w:themeColor="accent2"/>
        <w:insideH w:val="single" w:sz="4" w:space="0" w:color="C1D82F" w:themeColor="accent2"/>
      </w:tblBorders>
    </w:tblPr>
    <w:tcPr>
      <w:shd w:val="clear" w:color="auto" w:fill="EFF3F5"/>
      <w:tcMar>
        <w:left w:w="0" w:type="dxa"/>
        <w:right w:w="0" w:type="dxa"/>
      </w:tcMar>
    </w:tcPr>
    <w:tblStylePr w:type="firstRow">
      <w:pPr>
        <w:wordWrap/>
        <w:spacing w:beforeLines="0" w:before="80" w:beforeAutospacing="0" w:afterLines="0" w:after="80" w:afterAutospacing="0" w:line="280" w:lineRule="exact"/>
        <w:ind w:leftChars="0" w:left="85" w:rightChars="0" w:right="85" w:firstLineChars="0" w:firstLine="0"/>
        <w:mirrorIndents w:val="0"/>
        <w:jc w:val="left"/>
        <w:outlineLvl w:val="9"/>
      </w:pPr>
      <w:rPr>
        <w:rFonts w:ascii="Arial Bold" w:hAnsi="Arial Bold"/>
        <w:b/>
        <w:i w:val="0"/>
        <w:caps w:val="0"/>
        <w:smallCaps w:val="0"/>
        <w:strike w:val="0"/>
        <w:dstrike w:val="0"/>
        <w:vanish w:val="0"/>
        <w:color w:val="C1D82F" w:themeColor="accent2"/>
        <w:sz w:val="20"/>
        <w:u w:val="none"/>
        <w:vertAlign w:val="baseline"/>
      </w:rPr>
      <w:tblPr/>
      <w:tcPr>
        <w:shd w:val="clear" w:color="auto" w:fill="003F5F" w:themeFill="accent1"/>
      </w:tcPr>
    </w:tblStylePr>
    <w:tblStylePr w:type="band1Horz">
      <w:tblPr/>
      <w:tcPr>
        <w:shd w:val="clear" w:color="auto" w:fill="FFFFFF" w:themeFill="background1"/>
      </w:tcPr>
    </w:tblStylePr>
    <w:tblStylePr w:type="band2Horz">
      <w:tblPr/>
      <w:tcPr>
        <w:shd w:val="clear" w:color="auto" w:fill="EFF3F5"/>
      </w:tcPr>
    </w:tblStylePr>
  </w:style>
  <w:style w:type="table" w:customStyle="1" w:styleId="1Defaulttable2">
    <w:name w:val="1 Default table2"/>
    <w:basedOn w:val="TableNormal"/>
    <w:uiPriority w:val="99"/>
    <w:locked/>
    <w:rsid w:val="00DE0166"/>
    <w:pPr>
      <w:spacing w:before="60" w:after="60" w:line="200" w:lineRule="exact"/>
      <w:ind w:left="142" w:right="142"/>
    </w:pPr>
    <w:rPr>
      <w:rFonts w:ascii="Arial" w:hAnsi="Arial" w:cs="Calibri Light"/>
      <w:color w:val="ECECEB"/>
      <w:sz w:val="20"/>
      <w:szCs w:val="20"/>
    </w:rPr>
    <w:tblPr>
      <w:tblStyleRowBandSize w:val="1"/>
      <w:tblBorders>
        <w:bottom w:val="single" w:sz="4" w:space="0" w:color="C1D82F" w:themeColor="accent2"/>
        <w:insideH w:val="dotted" w:sz="4" w:space="0" w:color="808080"/>
      </w:tblBorders>
    </w:tblPr>
    <w:tcPr>
      <w:shd w:val="clear" w:color="auto" w:fill="F9FBFE"/>
      <w:tcMar>
        <w:left w:w="0" w:type="dxa"/>
        <w:right w:w="0" w:type="dxa"/>
      </w:tcMar>
    </w:tcPr>
    <w:tblStylePr w:type="firstRow">
      <w:pPr>
        <w:wordWrap/>
        <w:spacing w:beforeLines="0" w:before="80" w:beforeAutospacing="0" w:afterLines="0" w:after="80" w:afterAutospacing="0" w:line="280" w:lineRule="exact"/>
        <w:ind w:leftChars="0" w:left="85" w:rightChars="0" w:right="85" w:firstLineChars="0" w:firstLine="0"/>
        <w:mirrorIndents w:val="0"/>
        <w:jc w:val="left"/>
        <w:outlineLvl w:val="9"/>
      </w:pPr>
      <w:rPr>
        <w:rFonts w:ascii="Arial Bold" w:hAnsi="Arial Bold"/>
        <w:b/>
        <w:i w:val="0"/>
        <w:caps w:val="0"/>
        <w:smallCaps w:val="0"/>
        <w:strike w:val="0"/>
        <w:dstrike w:val="0"/>
        <w:vanish w:val="0"/>
        <w:color w:val="C1D82F" w:themeColor="accent2"/>
        <w:sz w:val="20"/>
        <w:u w:val="none"/>
        <w:vertAlign w:val="baseline"/>
      </w:rPr>
      <w:tblPr/>
      <w:tcPr>
        <w:shd w:val="clear" w:color="auto" w:fill="003F5F" w:themeFill="accent1"/>
      </w:tcPr>
    </w:tblStylePr>
    <w:tblStylePr w:type="band2Horz">
      <w:tblPr/>
      <w:tcPr>
        <w:shd w:val="clear" w:color="auto" w:fill="EFF3F5"/>
      </w:tcPr>
    </w:tblStylePr>
  </w:style>
  <w:style w:type="paragraph" w:customStyle="1" w:styleId="Tableheadblue11">
    <w:name w:val="Table head blue 11"/>
    <w:basedOn w:val="Tablehead"/>
    <w:qFormat/>
    <w:rsid w:val="00E62785"/>
    <w:pPr>
      <w:spacing w:before="200"/>
    </w:pPr>
    <w:rPr>
      <w:color w:val="003F5F" w:themeColor="accent1"/>
      <w:sz w:val="22"/>
    </w:rPr>
  </w:style>
  <w:style w:type="paragraph" w:customStyle="1" w:styleId="Numbered">
    <w:name w:val="Numbered"/>
    <w:aliases w:val="next level,linked"/>
    <w:basedOn w:val="Numberedtextlinkedto1headingnumbered"/>
    <w:link w:val="NumberedChar"/>
    <w:qFormat/>
    <w:rsid w:val="00DC5FE5"/>
    <w:pPr>
      <w:numPr>
        <w:ilvl w:val="2"/>
      </w:numPr>
      <w:spacing w:after="40"/>
    </w:pPr>
  </w:style>
  <w:style w:type="paragraph" w:customStyle="1" w:styleId="3rdlevelbullets">
    <w:name w:val="3rd level bullets"/>
    <w:basedOn w:val="BulletsNES"/>
    <w:qFormat/>
    <w:rsid w:val="00467A98"/>
    <w:pPr>
      <w:spacing w:after="128"/>
    </w:pPr>
  </w:style>
  <w:style w:type="character" w:customStyle="1" w:styleId="BodycopyNESChar">
    <w:name w:val="Body copy NES Char"/>
    <w:basedOn w:val="DefaultParagraphFont"/>
    <w:link w:val="BodycopyNES"/>
    <w:rsid w:val="00AE72DC"/>
    <w:rPr>
      <w:rFonts w:ascii="Arial" w:eastAsia="Times New Roman" w:hAnsi="Arial" w:cs="Arial"/>
      <w:color w:val="4A4A4A"/>
      <w:sz w:val="20"/>
      <w:szCs w:val="20"/>
    </w:rPr>
  </w:style>
  <w:style w:type="character" w:customStyle="1" w:styleId="Numberedtextlinkedto1headingnumberedChar">
    <w:name w:val="Numbered text linked to 1 heading numbered Char"/>
    <w:basedOn w:val="BodycopyNESChar"/>
    <w:link w:val="Numberedtextlinkedto1headingnumbered"/>
    <w:rsid w:val="000F20BF"/>
    <w:rPr>
      <w:rFonts w:ascii="Arial" w:eastAsia="Times New Roman" w:hAnsi="Arial" w:cs="Arial"/>
      <w:color w:val="4A4A4A"/>
      <w:sz w:val="20"/>
      <w:szCs w:val="20"/>
    </w:rPr>
  </w:style>
  <w:style w:type="character" w:customStyle="1" w:styleId="NumberedChar">
    <w:name w:val="Numbered Char"/>
    <w:aliases w:val="next level Char,linked Char"/>
    <w:basedOn w:val="Numberedtextlinkedto1headingnumberedChar"/>
    <w:link w:val="Numbered"/>
    <w:rsid w:val="00DC5FE5"/>
    <w:rPr>
      <w:rFonts w:ascii="Arial" w:eastAsia="Times New Roman" w:hAnsi="Arial" w:cs="Arial"/>
      <w:color w:val="4A4A4A"/>
      <w:sz w:val="20"/>
      <w:szCs w:val="20"/>
    </w:rPr>
  </w:style>
  <w:style w:type="paragraph" w:customStyle="1" w:styleId="2ndlevelbulletdash">
    <w:name w:val="2nd level bullet dash"/>
    <w:basedOn w:val="BulletsNES"/>
    <w:qFormat/>
    <w:rsid w:val="00BD4351"/>
    <w:pPr>
      <w:numPr>
        <w:numId w:val="10"/>
      </w:numPr>
      <w:spacing w:before="64" w:after="64"/>
      <w:ind w:left="1758" w:hanging="454"/>
    </w:pPr>
  </w:style>
  <w:style w:type="paragraph" w:customStyle="1" w:styleId="2ndlevelbullets">
    <w:name w:val="2nd level bullets"/>
    <w:basedOn w:val="BulletsNES"/>
    <w:qFormat/>
    <w:rsid w:val="00F04E15"/>
    <w:pPr>
      <w:numPr>
        <w:numId w:val="0"/>
      </w:numPr>
      <w:spacing w:after="128"/>
    </w:pPr>
    <w:rPr>
      <w:rFonts w:ascii="Helv" w:hAnsi="Helv"/>
    </w:rPr>
  </w:style>
  <w:style w:type="paragraph" w:customStyle="1" w:styleId="3rdleveldash">
    <w:name w:val="3rd level dash"/>
    <w:basedOn w:val="2ndlevelbulletdash"/>
    <w:qFormat/>
    <w:rsid w:val="00467A98"/>
    <w:pPr>
      <w:spacing w:before="0" w:after="0"/>
      <w:ind w:left="2552"/>
    </w:pPr>
  </w:style>
  <w:style w:type="table" w:customStyle="1" w:styleId="2table">
    <w:name w:val="2 table"/>
    <w:basedOn w:val="TableNormal"/>
    <w:uiPriority w:val="99"/>
    <w:rsid w:val="00A24132"/>
    <w:pPr>
      <w:spacing w:before="60" w:after="60" w:line="280" w:lineRule="exact"/>
      <w:ind w:left="85"/>
    </w:pPr>
    <w:rPr>
      <w:rFonts w:ascii="Arial" w:hAnsi="Arial"/>
      <w:sz w:val="18"/>
    </w:rPr>
    <w:tblPr>
      <w:tblStyleRowBandSize w:val="1"/>
      <w:tblBorders>
        <w:bottom w:val="single" w:sz="4" w:space="0" w:color="003F5F" w:themeColor="accent1"/>
      </w:tblBorders>
    </w:tblPr>
    <w:tblStylePr w:type="firstRow">
      <w:pPr>
        <w:wordWrap/>
        <w:spacing w:beforeLines="0" w:before="60" w:beforeAutospacing="0" w:afterLines="0" w:after="60" w:afterAutospacing="0" w:line="280" w:lineRule="exact"/>
        <w:ind w:leftChars="0" w:left="85" w:rightChars="0" w:right="85" w:firstLineChars="0" w:firstLine="0"/>
        <w:contextualSpacing w:val="0"/>
        <w:mirrorIndents w:val="0"/>
        <w:jc w:val="left"/>
      </w:pPr>
      <w:rPr>
        <w:rFonts w:ascii="Arial Bold" w:hAnsi="Arial Bold"/>
        <w:b/>
        <w:i w:val="0"/>
        <w:color w:val="C1D82F" w:themeColor="accent2"/>
        <w:sz w:val="18"/>
      </w:rPr>
      <w:tblPr/>
      <w:tcPr>
        <w:tcBorders>
          <w:top w:val="nil"/>
          <w:left w:val="nil"/>
          <w:bottom w:val="nil"/>
          <w:right w:val="nil"/>
          <w:insideH w:val="nil"/>
          <w:insideV w:val="nil"/>
          <w:tl2br w:val="nil"/>
          <w:tr2bl w:val="nil"/>
        </w:tcBorders>
        <w:shd w:val="clear" w:color="auto" w:fill="003F5F" w:themeFill="accent1"/>
      </w:tcPr>
    </w:tblStylePr>
    <w:tblStylePr w:type="band2Horz">
      <w:tblPr/>
      <w:tcPr>
        <w:shd w:val="clear" w:color="auto" w:fill="E5ECEF" w:themeFill="accent4"/>
      </w:tcPr>
    </w:tblStylePr>
  </w:style>
  <w:style w:type="table" w:customStyle="1" w:styleId="Boxed">
    <w:name w:val="Boxed"/>
    <w:basedOn w:val="TableNormal"/>
    <w:uiPriority w:val="99"/>
    <w:rsid w:val="00185633"/>
    <w:pPr>
      <w:spacing w:before="80" w:after="80" w:line="280" w:lineRule="exact"/>
      <w:ind w:left="85" w:right="85"/>
    </w:pPr>
    <w:rPr>
      <w:rFonts w:ascii="Arial" w:hAnsi="Arial"/>
      <w:sz w:val="18"/>
    </w:rPr>
    <w:tblPr/>
    <w:tcPr>
      <w:shd w:val="clear" w:color="auto" w:fill="F3FBFF"/>
    </w:tcPr>
    <w:tblStylePr w:type="firstRow">
      <w:rPr>
        <w:rFonts w:ascii="Arial Bold" w:hAnsi="Arial Bold"/>
        <w:b/>
        <w:i w:val="0"/>
        <w:color w:val="FFFFFF" w:themeColor="background1"/>
        <w:sz w:val="22"/>
      </w:rPr>
      <w:tblPr/>
      <w:tcPr>
        <w:shd w:val="clear" w:color="auto" w:fill="C1D82F" w:themeFill="accent2"/>
      </w:tcPr>
    </w:tblStylePr>
  </w:style>
  <w:style w:type="paragraph" w:customStyle="1" w:styleId="Dashbullets">
    <w:name w:val="Dash bullets"/>
    <w:basedOn w:val="2ndlevelbulletdash"/>
    <w:qFormat/>
    <w:rsid w:val="00065484"/>
    <w:pPr>
      <w:spacing w:before="0" w:after="120" w:line="300" w:lineRule="exact"/>
      <w:ind w:right="454"/>
    </w:pPr>
  </w:style>
  <w:style w:type="paragraph" w:customStyle="1" w:styleId="Sectiondividers">
    <w:name w:val="Section dividers"/>
    <w:qFormat/>
    <w:rsid w:val="00F8292C"/>
    <w:pPr>
      <w:spacing w:before="200"/>
      <w:outlineLvl w:val="0"/>
    </w:pPr>
    <w:rPr>
      <w:rFonts w:ascii="Arial" w:eastAsia="Times New Roman" w:hAnsi="Arial" w:cs="Times New Roman"/>
      <w:b/>
      <w:color w:val="FFFFFF" w:themeColor="background1"/>
      <w:sz w:val="48"/>
      <w:szCs w:val="48"/>
      <w:lang w:eastAsia="en-NZ"/>
    </w:rPr>
  </w:style>
  <w:style w:type="paragraph" w:customStyle="1" w:styleId="Part-contents">
    <w:name w:val="Part - contents"/>
    <w:basedOn w:val="Coverbluesubhead"/>
    <w:qFormat/>
    <w:rsid w:val="00F8292C"/>
    <w:pPr>
      <w:spacing w:line="360" w:lineRule="exact"/>
      <w:ind w:right="227"/>
      <w:outlineLvl w:val="0"/>
    </w:pPr>
  </w:style>
  <w:style w:type="paragraph" w:customStyle="1" w:styleId="Ttablebullets2">
    <w:name w:val="Ttable bullets 2"/>
    <w:basedOn w:val="Tablebullets"/>
    <w:qFormat/>
    <w:rsid w:val="00921EFD"/>
    <w:pPr>
      <w:spacing w:before="80" w:after="80" w:line="220" w:lineRule="exact"/>
      <w:ind w:left="720" w:right="85" w:hanging="360"/>
    </w:pPr>
  </w:style>
  <w:style w:type="paragraph" w:customStyle="1" w:styleId="Tabledashbullet">
    <w:name w:val="Table dash bullet"/>
    <w:basedOn w:val="Ttablebullets2"/>
    <w:qFormat/>
    <w:rsid w:val="004A42CF"/>
    <w:pPr>
      <w:numPr>
        <w:numId w:val="0"/>
      </w:numPr>
      <w:ind w:left="596" w:hanging="454"/>
    </w:pPr>
    <w:rPr>
      <w:rFonts w:eastAsiaTheme="minorHAnsi"/>
    </w:rPr>
  </w:style>
  <w:style w:type="paragraph" w:customStyle="1" w:styleId="Tableheadgreen">
    <w:name w:val="Table head green"/>
    <w:basedOn w:val="Normal"/>
    <w:qFormat/>
    <w:rsid w:val="00C6319D"/>
    <w:pPr>
      <w:ind w:left="85" w:right="85"/>
    </w:pPr>
    <w:rPr>
      <w:rFonts w:ascii="Arial Bold" w:hAnsi="Arial Bold"/>
      <w:color w:val="C1D82F" w:themeColor="accent2"/>
    </w:rPr>
  </w:style>
  <w:style w:type="paragraph" w:customStyle="1" w:styleId="Table9pt">
    <w:name w:val="Table 9pt"/>
    <w:basedOn w:val="Ttablebullets2"/>
    <w:qFormat/>
    <w:rsid w:val="00D7353E"/>
    <w:pPr>
      <w:spacing w:line="240" w:lineRule="exact"/>
    </w:pPr>
    <w:rPr>
      <w:sz w:val="18"/>
    </w:rPr>
  </w:style>
  <w:style w:type="character" w:customStyle="1" w:styleId="E-mailSignatureChar">
    <w:name w:val="E-mail Signature Char"/>
    <w:basedOn w:val="DefaultParagraphFont"/>
    <w:link w:val="E-mailSignature"/>
    <w:uiPriority w:val="99"/>
    <w:rsid w:val="00C971D5"/>
    <w:rPr>
      <w:rFonts w:ascii="Arial" w:eastAsia="Times New Roman" w:hAnsi="Arial" w:cs="Times New Roman"/>
      <w:color w:val="595959"/>
      <w:sz w:val="18"/>
      <w:szCs w:val="20"/>
    </w:rPr>
  </w:style>
  <w:style w:type="paragraph" w:customStyle="1" w:styleId="Pa6">
    <w:name w:val="Pa6"/>
    <w:basedOn w:val="Default"/>
    <w:next w:val="Default"/>
    <w:uiPriority w:val="99"/>
    <w:rsid w:val="00D71344"/>
    <w:pPr>
      <w:spacing w:line="201" w:lineRule="atLeast"/>
    </w:pPr>
    <w:rPr>
      <w:rFonts w:ascii="Helvetica Neue LT Std" w:eastAsiaTheme="minorHAnsi" w:hAnsi="Helvetica Neue LT Std" w:cstheme="minorBidi"/>
      <w:color w:val="auto"/>
      <w:lang w:eastAsia="en-US"/>
    </w:rPr>
  </w:style>
  <w:style w:type="paragraph" w:customStyle="1" w:styleId="ColorfulList-Accent11">
    <w:name w:val="Colorful List - Accent 11"/>
    <w:basedOn w:val="Normal"/>
    <w:uiPriority w:val="34"/>
    <w:qFormat/>
    <w:rsid w:val="00531215"/>
    <w:pPr>
      <w:spacing w:before="0" w:after="200" w:line="276" w:lineRule="auto"/>
      <w:ind w:left="720"/>
      <w:contextualSpacing/>
    </w:pPr>
    <w:rPr>
      <w:rFonts w:eastAsia="Calibri"/>
      <w:color w:val="auto"/>
      <w:sz w:val="24"/>
      <w:szCs w:val="22"/>
    </w:rPr>
  </w:style>
  <w:style w:type="character" w:customStyle="1" w:styleId="A2">
    <w:name w:val="A2"/>
    <w:uiPriority w:val="99"/>
    <w:rsid w:val="001B2595"/>
    <w:rPr>
      <w:rFonts w:cs="Calibri"/>
      <w:color w:val="000000"/>
      <w:sz w:val="40"/>
      <w:szCs w:val="40"/>
    </w:rPr>
  </w:style>
  <w:style w:type="character" w:customStyle="1" w:styleId="bibref">
    <w:name w:val="bibref"/>
    <w:basedOn w:val="DefaultParagraphFont"/>
    <w:rsid w:val="005948B9"/>
  </w:style>
  <w:style w:type="character" w:customStyle="1" w:styleId="UnresolvedMention7">
    <w:name w:val="Unresolved Mention7"/>
    <w:basedOn w:val="DefaultParagraphFont"/>
    <w:uiPriority w:val="99"/>
    <w:semiHidden/>
    <w:unhideWhenUsed/>
    <w:rsid w:val="00281122"/>
    <w:rPr>
      <w:color w:val="605E5C"/>
      <w:shd w:val="clear" w:color="auto" w:fill="E1DFDD"/>
    </w:rPr>
  </w:style>
  <w:style w:type="character" w:customStyle="1" w:styleId="ListParagraphChar">
    <w:name w:val="List Paragraph Char"/>
    <w:basedOn w:val="DefaultParagraphFont"/>
    <w:link w:val="ListParagraph"/>
    <w:uiPriority w:val="34"/>
    <w:rsid w:val="001E7309"/>
    <w:rPr>
      <w:rFonts w:ascii="Arial" w:eastAsia="Times New Roman" w:hAnsi="Arial" w:cs="Times New Roman"/>
      <w:color w:val="595959"/>
      <w:sz w:val="18"/>
      <w:szCs w:val="20"/>
    </w:rPr>
  </w:style>
  <w:style w:type="paragraph" w:styleId="Bibliography">
    <w:name w:val="Bibliography"/>
    <w:basedOn w:val="Normal"/>
    <w:next w:val="Normal"/>
    <w:uiPriority w:val="37"/>
    <w:unhideWhenUsed/>
    <w:rsid w:val="00354F35"/>
  </w:style>
  <w:style w:type="character" w:styleId="EndnoteReference">
    <w:name w:val="endnote reference"/>
    <w:basedOn w:val="DefaultParagraphFont"/>
    <w:uiPriority w:val="99"/>
    <w:unhideWhenUsed/>
    <w:rsid w:val="00A53451"/>
    <w:rPr>
      <w:vertAlign w:val="superscript"/>
    </w:rPr>
  </w:style>
  <w:style w:type="character" w:styleId="UnresolvedMention">
    <w:name w:val="Unresolved Mention"/>
    <w:basedOn w:val="DefaultParagraphFont"/>
    <w:uiPriority w:val="99"/>
    <w:semiHidden/>
    <w:unhideWhenUsed/>
    <w:rsid w:val="001E3778"/>
    <w:rPr>
      <w:color w:val="605E5C"/>
      <w:shd w:val="clear" w:color="auto" w:fill="E1DFDD"/>
    </w:rPr>
  </w:style>
  <w:style w:type="paragraph" w:customStyle="1" w:styleId="NEACNormal">
    <w:name w:val="NEAC Normal"/>
    <w:basedOn w:val="Normal"/>
    <w:qFormat/>
    <w:rsid w:val="00B867C6"/>
    <w:pPr>
      <w:spacing w:before="240" w:after="120" w:line="360" w:lineRule="auto"/>
      <w:jc w:val="both"/>
    </w:pPr>
    <w:rPr>
      <w:rFonts w:ascii="Helv" w:hAnsi="Helv"/>
      <w:sz w:val="20"/>
    </w:rPr>
  </w:style>
  <w:style w:type="paragraph" w:styleId="ListContinue3">
    <w:name w:val="List Continue 3"/>
    <w:basedOn w:val="Normal"/>
    <w:uiPriority w:val="99"/>
    <w:unhideWhenUsed/>
    <w:rsid w:val="00B80B3D"/>
    <w:pPr>
      <w:spacing w:after="120"/>
      <w:ind w:left="849"/>
      <w:contextualSpacing/>
    </w:pPr>
  </w:style>
  <w:style w:type="paragraph" w:customStyle="1" w:styleId="NEACBullet">
    <w:name w:val="NEAC Bullet"/>
    <w:basedOn w:val="3rdlevelbullets"/>
    <w:qFormat/>
    <w:rsid w:val="00C510BA"/>
    <w:pPr>
      <w:spacing w:before="120" w:after="120" w:line="360" w:lineRule="auto"/>
      <w:ind w:left="323" w:hanging="323"/>
      <w:contextualSpacing w:val="0"/>
    </w:pPr>
    <w:rPr>
      <w:rFonts w:ascii="Helv" w:hAnsi="Helv"/>
      <w:color w:val="595959"/>
      <w:sz w:val="20"/>
      <w:szCs w:val="18"/>
      <w:lang w:val="en-SG"/>
    </w:rPr>
  </w:style>
  <w:style w:type="paragraph" w:customStyle="1" w:styleId="NEACTableHeading">
    <w:name w:val="NEAC Table Heading"/>
    <w:basedOn w:val="BodycopyNES"/>
    <w:qFormat/>
    <w:rsid w:val="00B867C6"/>
    <w:pPr>
      <w:spacing w:before="120" w:after="120" w:line="240" w:lineRule="auto"/>
      <w:ind w:left="0"/>
    </w:pPr>
    <w:rPr>
      <w:rFonts w:ascii="Helv" w:hAnsi="Helv"/>
      <w:b/>
      <w:color w:val="003F5F" w:themeColor="accent1"/>
      <w:sz w:val="18"/>
      <w:szCs w:val="18"/>
      <w:lang w:eastAsia="en-NZ"/>
    </w:rPr>
  </w:style>
  <w:style w:type="paragraph" w:customStyle="1" w:styleId="NEACTableTextBold">
    <w:name w:val="NEAC Table Text Bold"/>
    <w:basedOn w:val="BulletsNES"/>
    <w:qFormat/>
    <w:rsid w:val="00CF4309"/>
    <w:pPr>
      <w:numPr>
        <w:numId w:val="0"/>
      </w:numPr>
      <w:spacing w:before="120" w:after="120" w:line="360" w:lineRule="auto"/>
      <w:contextualSpacing w:val="0"/>
    </w:pPr>
    <w:rPr>
      <w:rFonts w:ascii="Helv" w:hAnsi="Helv"/>
      <w:b/>
      <w:color w:val="595959"/>
    </w:rPr>
  </w:style>
  <w:style w:type="paragraph" w:customStyle="1" w:styleId="NEACTableBullet">
    <w:name w:val="NEAC Table Bullet"/>
    <w:basedOn w:val="NEACBullet"/>
    <w:qFormat/>
    <w:rsid w:val="00A770D0"/>
  </w:style>
  <w:style w:type="paragraph" w:customStyle="1" w:styleId="NEACTableText">
    <w:name w:val="NEAC Table Text"/>
    <w:basedOn w:val="NEACTableBullet"/>
    <w:qFormat/>
    <w:rsid w:val="00A770D0"/>
    <w:pPr>
      <w:numPr>
        <w:numId w:val="0"/>
      </w:numPr>
    </w:pPr>
  </w:style>
  <w:style w:type="paragraph" w:customStyle="1" w:styleId="NEACContents">
    <w:name w:val="NEAC Contents"/>
    <w:basedOn w:val="Normal"/>
    <w:qFormat/>
    <w:rsid w:val="00C444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50511">
      <w:bodyDiv w:val="1"/>
      <w:marLeft w:val="0"/>
      <w:marRight w:val="0"/>
      <w:marTop w:val="0"/>
      <w:marBottom w:val="0"/>
      <w:divBdr>
        <w:top w:val="none" w:sz="0" w:space="0" w:color="auto"/>
        <w:left w:val="none" w:sz="0" w:space="0" w:color="auto"/>
        <w:bottom w:val="none" w:sz="0" w:space="0" w:color="auto"/>
        <w:right w:val="none" w:sz="0" w:space="0" w:color="auto"/>
      </w:divBdr>
    </w:div>
    <w:div w:id="19161906">
      <w:bodyDiv w:val="1"/>
      <w:marLeft w:val="0"/>
      <w:marRight w:val="0"/>
      <w:marTop w:val="0"/>
      <w:marBottom w:val="0"/>
      <w:divBdr>
        <w:top w:val="none" w:sz="0" w:space="0" w:color="auto"/>
        <w:left w:val="none" w:sz="0" w:space="0" w:color="auto"/>
        <w:bottom w:val="none" w:sz="0" w:space="0" w:color="auto"/>
        <w:right w:val="none" w:sz="0" w:space="0" w:color="auto"/>
      </w:divBdr>
    </w:div>
    <w:div w:id="19666281">
      <w:bodyDiv w:val="1"/>
      <w:marLeft w:val="0"/>
      <w:marRight w:val="0"/>
      <w:marTop w:val="0"/>
      <w:marBottom w:val="0"/>
      <w:divBdr>
        <w:top w:val="none" w:sz="0" w:space="0" w:color="auto"/>
        <w:left w:val="none" w:sz="0" w:space="0" w:color="auto"/>
        <w:bottom w:val="none" w:sz="0" w:space="0" w:color="auto"/>
        <w:right w:val="none" w:sz="0" w:space="0" w:color="auto"/>
      </w:divBdr>
    </w:div>
    <w:div w:id="20863049">
      <w:bodyDiv w:val="1"/>
      <w:marLeft w:val="0"/>
      <w:marRight w:val="0"/>
      <w:marTop w:val="0"/>
      <w:marBottom w:val="0"/>
      <w:divBdr>
        <w:top w:val="none" w:sz="0" w:space="0" w:color="auto"/>
        <w:left w:val="none" w:sz="0" w:space="0" w:color="auto"/>
        <w:bottom w:val="none" w:sz="0" w:space="0" w:color="auto"/>
        <w:right w:val="none" w:sz="0" w:space="0" w:color="auto"/>
      </w:divBdr>
    </w:div>
    <w:div w:id="29844829">
      <w:bodyDiv w:val="1"/>
      <w:marLeft w:val="0"/>
      <w:marRight w:val="0"/>
      <w:marTop w:val="0"/>
      <w:marBottom w:val="0"/>
      <w:divBdr>
        <w:top w:val="none" w:sz="0" w:space="0" w:color="auto"/>
        <w:left w:val="none" w:sz="0" w:space="0" w:color="auto"/>
        <w:bottom w:val="none" w:sz="0" w:space="0" w:color="auto"/>
        <w:right w:val="none" w:sz="0" w:space="0" w:color="auto"/>
      </w:divBdr>
    </w:div>
    <w:div w:id="30307354">
      <w:bodyDiv w:val="1"/>
      <w:marLeft w:val="0"/>
      <w:marRight w:val="0"/>
      <w:marTop w:val="0"/>
      <w:marBottom w:val="0"/>
      <w:divBdr>
        <w:top w:val="none" w:sz="0" w:space="0" w:color="auto"/>
        <w:left w:val="none" w:sz="0" w:space="0" w:color="auto"/>
        <w:bottom w:val="none" w:sz="0" w:space="0" w:color="auto"/>
        <w:right w:val="none" w:sz="0" w:space="0" w:color="auto"/>
      </w:divBdr>
    </w:div>
    <w:div w:id="31928214">
      <w:bodyDiv w:val="1"/>
      <w:marLeft w:val="0"/>
      <w:marRight w:val="0"/>
      <w:marTop w:val="0"/>
      <w:marBottom w:val="0"/>
      <w:divBdr>
        <w:top w:val="none" w:sz="0" w:space="0" w:color="auto"/>
        <w:left w:val="none" w:sz="0" w:space="0" w:color="auto"/>
        <w:bottom w:val="none" w:sz="0" w:space="0" w:color="auto"/>
        <w:right w:val="none" w:sz="0" w:space="0" w:color="auto"/>
      </w:divBdr>
    </w:div>
    <w:div w:id="43679654">
      <w:bodyDiv w:val="1"/>
      <w:marLeft w:val="0"/>
      <w:marRight w:val="0"/>
      <w:marTop w:val="0"/>
      <w:marBottom w:val="0"/>
      <w:divBdr>
        <w:top w:val="none" w:sz="0" w:space="0" w:color="auto"/>
        <w:left w:val="none" w:sz="0" w:space="0" w:color="auto"/>
        <w:bottom w:val="none" w:sz="0" w:space="0" w:color="auto"/>
        <w:right w:val="none" w:sz="0" w:space="0" w:color="auto"/>
      </w:divBdr>
    </w:div>
    <w:div w:id="69471776">
      <w:bodyDiv w:val="1"/>
      <w:marLeft w:val="0"/>
      <w:marRight w:val="0"/>
      <w:marTop w:val="0"/>
      <w:marBottom w:val="0"/>
      <w:divBdr>
        <w:top w:val="none" w:sz="0" w:space="0" w:color="auto"/>
        <w:left w:val="none" w:sz="0" w:space="0" w:color="auto"/>
        <w:bottom w:val="none" w:sz="0" w:space="0" w:color="auto"/>
        <w:right w:val="none" w:sz="0" w:space="0" w:color="auto"/>
      </w:divBdr>
    </w:div>
    <w:div w:id="89472624">
      <w:bodyDiv w:val="1"/>
      <w:marLeft w:val="0"/>
      <w:marRight w:val="0"/>
      <w:marTop w:val="0"/>
      <w:marBottom w:val="0"/>
      <w:divBdr>
        <w:top w:val="none" w:sz="0" w:space="0" w:color="auto"/>
        <w:left w:val="none" w:sz="0" w:space="0" w:color="auto"/>
        <w:bottom w:val="none" w:sz="0" w:space="0" w:color="auto"/>
        <w:right w:val="none" w:sz="0" w:space="0" w:color="auto"/>
      </w:divBdr>
    </w:div>
    <w:div w:id="109474954">
      <w:bodyDiv w:val="1"/>
      <w:marLeft w:val="0"/>
      <w:marRight w:val="0"/>
      <w:marTop w:val="0"/>
      <w:marBottom w:val="0"/>
      <w:divBdr>
        <w:top w:val="none" w:sz="0" w:space="0" w:color="auto"/>
        <w:left w:val="none" w:sz="0" w:space="0" w:color="auto"/>
        <w:bottom w:val="none" w:sz="0" w:space="0" w:color="auto"/>
        <w:right w:val="none" w:sz="0" w:space="0" w:color="auto"/>
      </w:divBdr>
    </w:div>
    <w:div w:id="109512922">
      <w:bodyDiv w:val="1"/>
      <w:marLeft w:val="0"/>
      <w:marRight w:val="0"/>
      <w:marTop w:val="0"/>
      <w:marBottom w:val="0"/>
      <w:divBdr>
        <w:top w:val="none" w:sz="0" w:space="0" w:color="auto"/>
        <w:left w:val="none" w:sz="0" w:space="0" w:color="auto"/>
        <w:bottom w:val="none" w:sz="0" w:space="0" w:color="auto"/>
        <w:right w:val="none" w:sz="0" w:space="0" w:color="auto"/>
      </w:divBdr>
    </w:div>
    <w:div w:id="133913726">
      <w:bodyDiv w:val="1"/>
      <w:marLeft w:val="0"/>
      <w:marRight w:val="0"/>
      <w:marTop w:val="0"/>
      <w:marBottom w:val="0"/>
      <w:divBdr>
        <w:top w:val="none" w:sz="0" w:space="0" w:color="auto"/>
        <w:left w:val="none" w:sz="0" w:space="0" w:color="auto"/>
        <w:bottom w:val="none" w:sz="0" w:space="0" w:color="auto"/>
        <w:right w:val="none" w:sz="0" w:space="0" w:color="auto"/>
      </w:divBdr>
    </w:div>
    <w:div w:id="140732985">
      <w:bodyDiv w:val="1"/>
      <w:marLeft w:val="0"/>
      <w:marRight w:val="0"/>
      <w:marTop w:val="0"/>
      <w:marBottom w:val="0"/>
      <w:divBdr>
        <w:top w:val="none" w:sz="0" w:space="0" w:color="auto"/>
        <w:left w:val="none" w:sz="0" w:space="0" w:color="auto"/>
        <w:bottom w:val="none" w:sz="0" w:space="0" w:color="auto"/>
        <w:right w:val="none" w:sz="0" w:space="0" w:color="auto"/>
      </w:divBdr>
    </w:div>
    <w:div w:id="171604963">
      <w:bodyDiv w:val="1"/>
      <w:marLeft w:val="0"/>
      <w:marRight w:val="0"/>
      <w:marTop w:val="0"/>
      <w:marBottom w:val="0"/>
      <w:divBdr>
        <w:top w:val="none" w:sz="0" w:space="0" w:color="auto"/>
        <w:left w:val="none" w:sz="0" w:space="0" w:color="auto"/>
        <w:bottom w:val="none" w:sz="0" w:space="0" w:color="auto"/>
        <w:right w:val="none" w:sz="0" w:space="0" w:color="auto"/>
      </w:divBdr>
    </w:div>
    <w:div w:id="181021492">
      <w:bodyDiv w:val="1"/>
      <w:marLeft w:val="0"/>
      <w:marRight w:val="0"/>
      <w:marTop w:val="0"/>
      <w:marBottom w:val="0"/>
      <w:divBdr>
        <w:top w:val="none" w:sz="0" w:space="0" w:color="auto"/>
        <w:left w:val="none" w:sz="0" w:space="0" w:color="auto"/>
        <w:bottom w:val="none" w:sz="0" w:space="0" w:color="auto"/>
        <w:right w:val="none" w:sz="0" w:space="0" w:color="auto"/>
      </w:divBdr>
    </w:div>
    <w:div w:id="183709176">
      <w:bodyDiv w:val="1"/>
      <w:marLeft w:val="0"/>
      <w:marRight w:val="0"/>
      <w:marTop w:val="0"/>
      <w:marBottom w:val="0"/>
      <w:divBdr>
        <w:top w:val="none" w:sz="0" w:space="0" w:color="auto"/>
        <w:left w:val="none" w:sz="0" w:space="0" w:color="auto"/>
        <w:bottom w:val="none" w:sz="0" w:space="0" w:color="auto"/>
        <w:right w:val="none" w:sz="0" w:space="0" w:color="auto"/>
      </w:divBdr>
    </w:div>
    <w:div w:id="186262696">
      <w:bodyDiv w:val="1"/>
      <w:marLeft w:val="0"/>
      <w:marRight w:val="0"/>
      <w:marTop w:val="0"/>
      <w:marBottom w:val="0"/>
      <w:divBdr>
        <w:top w:val="none" w:sz="0" w:space="0" w:color="auto"/>
        <w:left w:val="none" w:sz="0" w:space="0" w:color="auto"/>
        <w:bottom w:val="none" w:sz="0" w:space="0" w:color="auto"/>
        <w:right w:val="none" w:sz="0" w:space="0" w:color="auto"/>
      </w:divBdr>
    </w:div>
    <w:div w:id="249581157">
      <w:bodyDiv w:val="1"/>
      <w:marLeft w:val="0"/>
      <w:marRight w:val="0"/>
      <w:marTop w:val="0"/>
      <w:marBottom w:val="0"/>
      <w:divBdr>
        <w:top w:val="none" w:sz="0" w:space="0" w:color="auto"/>
        <w:left w:val="none" w:sz="0" w:space="0" w:color="auto"/>
        <w:bottom w:val="none" w:sz="0" w:space="0" w:color="auto"/>
        <w:right w:val="none" w:sz="0" w:space="0" w:color="auto"/>
      </w:divBdr>
    </w:div>
    <w:div w:id="267353103">
      <w:bodyDiv w:val="1"/>
      <w:marLeft w:val="0"/>
      <w:marRight w:val="0"/>
      <w:marTop w:val="0"/>
      <w:marBottom w:val="0"/>
      <w:divBdr>
        <w:top w:val="none" w:sz="0" w:space="0" w:color="auto"/>
        <w:left w:val="none" w:sz="0" w:space="0" w:color="auto"/>
        <w:bottom w:val="none" w:sz="0" w:space="0" w:color="auto"/>
        <w:right w:val="none" w:sz="0" w:space="0" w:color="auto"/>
      </w:divBdr>
    </w:div>
    <w:div w:id="270892675">
      <w:bodyDiv w:val="1"/>
      <w:marLeft w:val="0"/>
      <w:marRight w:val="0"/>
      <w:marTop w:val="0"/>
      <w:marBottom w:val="0"/>
      <w:divBdr>
        <w:top w:val="none" w:sz="0" w:space="0" w:color="auto"/>
        <w:left w:val="none" w:sz="0" w:space="0" w:color="auto"/>
        <w:bottom w:val="none" w:sz="0" w:space="0" w:color="auto"/>
        <w:right w:val="none" w:sz="0" w:space="0" w:color="auto"/>
      </w:divBdr>
    </w:div>
    <w:div w:id="276300169">
      <w:bodyDiv w:val="1"/>
      <w:marLeft w:val="0"/>
      <w:marRight w:val="0"/>
      <w:marTop w:val="0"/>
      <w:marBottom w:val="0"/>
      <w:divBdr>
        <w:top w:val="none" w:sz="0" w:space="0" w:color="auto"/>
        <w:left w:val="none" w:sz="0" w:space="0" w:color="auto"/>
        <w:bottom w:val="none" w:sz="0" w:space="0" w:color="auto"/>
        <w:right w:val="none" w:sz="0" w:space="0" w:color="auto"/>
      </w:divBdr>
    </w:div>
    <w:div w:id="280650876">
      <w:bodyDiv w:val="1"/>
      <w:marLeft w:val="0"/>
      <w:marRight w:val="0"/>
      <w:marTop w:val="0"/>
      <w:marBottom w:val="0"/>
      <w:divBdr>
        <w:top w:val="none" w:sz="0" w:space="0" w:color="auto"/>
        <w:left w:val="none" w:sz="0" w:space="0" w:color="auto"/>
        <w:bottom w:val="none" w:sz="0" w:space="0" w:color="auto"/>
        <w:right w:val="none" w:sz="0" w:space="0" w:color="auto"/>
      </w:divBdr>
    </w:div>
    <w:div w:id="288896285">
      <w:bodyDiv w:val="1"/>
      <w:marLeft w:val="0"/>
      <w:marRight w:val="0"/>
      <w:marTop w:val="0"/>
      <w:marBottom w:val="0"/>
      <w:divBdr>
        <w:top w:val="none" w:sz="0" w:space="0" w:color="auto"/>
        <w:left w:val="none" w:sz="0" w:space="0" w:color="auto"/>
        <w:bottom w:val="none" w:sz="0" w:space="0" w:color="auto"/>
        <w:right w:val="none" w:sz="0" w:space="0" w:color="auto"/>
      </w:divBdr>
    </w:div>
    <w:div w:id="306514342">
      <w:bodyDiv w:val="1"/>
      <w:marLeft w:val="0"/>
      <w:marRight w:val="0"/>
      <w:marTop w:val="0"/>
      <w:marBottom w:val="0"/>
      <w:divBdr>
        <w:top w:val="none" w:sz="0" w:space="0" w:color="auto"/>
        <w:left w:val="none" w:sz="0" w:space="0" w:color="auto"/>
        <w:bottom w:val="none" w:sz="0" w:space="0" w:color="auto"/>
        <w:right w:val="none" w:sz="0" w:space="0" w:color="auto"/>
      </w:divBdr>
    </w:div>
    <w:div w:id="314381987">
      <w:bodyDiv w:val="1"/>
      <w:marLeft w:val="0"/>
      <w:marRight w:val="0"/>
      <w:marTop w:val="0"/>
      <w:marBottom w:val="0"/>
      <w:divBdr>
        <w:top w:val="none" w:sz="0" w:space="0" w:color="auto"/>
        <w:left w:val="none" w:sz="0" w:space="0" w:color="auto"/>
        <w:bottom w:val="none" w:sz="0" w:space="0" w:color="auto"/>
        <w:right w:val="none" w:sz="0" w:space="0" w:color="auto"/>
      </w:divBdr>
    </w:div>
    <w:div w:id="314533631">
      <w:bodyDiv w:val="1"/>
      <w:marLeft w:val="0"/>
      <w:marRight w:val="0"/>
      <w:marTop w:val="0"/>
      <w:marBottom w:val="0"/>
      <w:divBdr>
        <w:top w:val="none" w:sz="0" w:space="0" w:color="auto"/>
        <w:left w:val="none" w:sz="0" w:space="0" w:color="auto"/>
        <w:bottom w:val="none" w:sz="0" w:space="0" w:color="auto"/>
        <w:right w:val="none" w:sz="0" w:space="0" w:color="auto"/>
      </w:divBdr>
    </w:div>
    <w:div w:id="327103743">
      <w:bodyDiv w:val="1"/>
      <w:marLeft w:val="0"/>
      <w:marRight w:val="0"/>
      <w:marTop w:val="0"/>
      <w:marBottom w:val="0"/>
      <w:divBdr>
        <w:top w:val="none" w:sz="0" w:space="0" w:color="auto"/>
        <w:left w:val="none" w:sz="0" w:space="0" w:color="auto"/>
        <w:bottom w:val="none" w:sz="0" w:space="0" w:color="auto"/>
        <w:right w:val="none" w:sz="0" w:space="0" w:color="auto"/>
      </w:divBdr>
    </w:div>
    <w:div w:id="341857300">
      <w:bodyDiv w:val="1"/>
      <w:marLeft w:val="0"/>
      <w:marRight w:val="0"/>
      <w:marTop w:val="0"/>
      <w:marBottom w:val="0"/>
      <w:divBdr>
        <w:top w:val="none" w:sz="0" w:space="0" w:color="auto"/>
        <w:left w:val="none" w:sz="0" w:space="0" w:color="auto"/>
        <w:bottom w:val="none" w:sz="0" w:space="0" w:color="auto"/>
        <w:right w:val="none" w:sz="0" w:space="0" w:color="auto"/>
      </w:divBdr>
    </w:div>
    <w:div w:id="345795339">
      <w:bodyDiv w:val="1"/>
      <w:marLeft w:val="0"/>
      <w:marRight w:val="0"/>
      <w:marTop w:val="0"/>
      <w:marBottom w:val="0"/>
      <w:divBdr>
        <w:top w:val="none" w:sz="0" w:space="0" w:color="auto"/>
        <w:left w:val="none" w:sz="0" w:space="0" w:color="auto"/>
        <w:bottom w:val="none" w:sz="0" w:space="0" w:color="auto"/>
        <w:right w:val="none" w:sz="0" w:space="0" w:color="auto"/>
      </w:divBdr>
    </w:div>
    <w:div w:id="347483162">
      <w:bodyDiv w:val="1"/>
      <w:marLeft w:val="0"/>
      <w:marRight w:val="0"/>
      <w:marTop w:val="0"/>
      <w:marBottom w:val="0"/>
      <w:divBdr>
        <w:top w:val="none" w:sz="0" w:space="0" w:color="auto"/>
        <w:left w:val="none" w:sz="0" w:space="0" w:color="auto"/>
        <w:bottom w:val="none" w:sz="0" w:space="0" w:color="auto"/>
        <w:right w:val="none" w:sz="0" w:space="0" w:color="auto"/>
      </w:divBdr>
      <w:divsChild>
        <w:div w:id="507139909">
          <w:marLeft w:val="547"/>
          <w:marRight w:val="0"/>
          <w:marTop w:val="0"/>
          <w:marBottom w:val="0"/>
          <w:divBdr>
            <w:top w:val="none" w:sz="0" w:space="0" w:color="auto"/>
            <w:left w:val="none" w:sz="0" w:space="0" w:color="auto"/>
            <w:bottom w:val="none" w:sz="0" w:space="0" w:color="auto"/>
            <w:right w:val="none" w:sz="0" w:space="0" w:color="auto"/>
          </w:divBdr>
        </w:div>
      </w:divsChild>
    </w:div>
    <w:div w:id="376320962">
      <w:bodyDiv w:val="1"/>
      <w:marLeft w:val="0"/>
      <w:marRight w:val="0"/>
      <w:marTop w:val="0"/>
      <w:marBottom w:val="0"/>
      <w:divBdr>
        <w:top w:val="none" w:sz="0" w:space="0" w:color="auto"/>
        <w:left w:val="none" w:sz="0" w:space="0" w:color="auto"/>
        <w:bottom w:val="none" w:sz="0" w:space="0" w:color="auto"/>
        <w:right w:val="none" w:sz="0" w:space="0" w:color="auto"/>
      </w:divBdr>
    </w:div>
    <w:div w:id="377582980">
      <w:bodyDiv w:val="1"/>
      <w:marLeft w:val="0"/>
      <w:marRight w:val="0"/>
      <w:marTop w:val="0"/>
      <w:marBottom w:val="0"/>
      <w:divBdr>
        <w:top w:val="none" w:sz="0" w:space="0" w:color="auto"/>
        <w:left w:val="none" w:sz="0" w:space="0" w:color="auto"/>
        <w:bottom w:val="none" w:sz="0" w:space="0" w:color="auto"/>
        <w:right w:val="none" w:sz="0" w:space="0" w:color="auto"/>
      </w:divBdr>
    </w:div>
    <w:div w:id="388696261">
      <w:bodyDiv w:val="1"/>
      <w:marLeft w:val="0"/>
      <w:marRight w:val="0"/>
      <w:marTop w:val="0"/>
      <w:marBottom w:val="0"/>
      <w:divBdr>
        <w:top w:val="none" w:sz="0" w:space="0" w:color="auto"/>
        <w:left w:val="none" w:sz="0" w:space="0" w:color="auto"/>
        <w:bottom w:val="none" w:sz="0" w:space="0" w:color="auto"/>
        <w:right w:val="none" w:sz="0" w:space="0" w:color="auto"/>
      </w:divBdr>
    </w:div>
    <w:div w:id="391007969">
      <w:bodyDiv w:val="1"/>
      <w:marLeft w:val="0"/>
      <w:marRight w:val="0"/>
      <w:marTop w:val="0"/>
      <w:marBottom w:val="0"/>
      <w:divBdr>
        <w:top w:val="none" w:sz="0" w:space="0" w:color="auto"/>
        <w:left w:val="none" w:sz="0" w:space="0" w:color="auto"/>
        <w:bottom w:val="none" w:sz="0" w:space="0" w:color="auto"/>
        <w:right w:val="none" w:sz="0" w:space="0" w:color="auto"/>
      </w:divBdr>
    </w:div>
    <w:div w:id="415323006">
      <w:bodyDiv w:val="1"/>
      <w:marLeft w:val="0"/>
      <w:marRight w:val="0"/>
      <w:marTop w:val="0"/>
      <w:marBottom w:val="0"/>
      <w:divBdr>
        <w:top w:val="none" w:sz="0" w:space="0" w:color="auto"/>
        <w:left w:val="none" w:sz="0" w:space="0" w:color="auto"/>
        <w:bottom w:val="none" w:sz="0" w:space="0" w:color="auto"/>
        <w:right w:val="none" w:sz="0" w:space="0" w:color="auto"/>
      </w:divBdr>
    </w:div>
    <w:div w:id="426341684">
      <w:bodyDiv w:val="1"/>
      <w:marLeft w:val="0"/>
      <w:marRight w:val="0"/>
      <w:marTop w:val="0"/>
      <w:marBottom w:val="0"/>
      <w:divBdr>
        <w:top w:val="none" w:sz="0" w:space="0" w:color="auto"/>
        <w:left w:val="none" w:sz="0" w:space="0" w:color="auto"/>
        <w:bottom w:val="none" w:sz="0" w:space="0" w:color="auto"/>
        <w:right w:val="none" w:sz="0" w:space="0" w:color="auto"/>
      </w:divBdr>
    </w:div>
    <w:div w:id="436291516">
      <w:bodyDiv w:val="1"/>
      <w:marLeft w:val="0"/>
      <w:marRight w:val="0"/>
      <w:marTop w:val="0"/>
      <w:marBottom w:val="0"/>
      <w:divBdr>
        <w:top w:val="none" w:sz="0" w:space="0" w:color="auto"/>
        <w:left w:val="none" w:sz="0" w:space="0" w:color="auto"/>
        <w:bottom w:val="none" w:sz="0" w:space="0" w:color="auto"/>
        <w:right w:val="none" w:sz="0" w:space="0" w:color="auto"/>
      </w:divBdr>
    </w:div>
    <w:div w:id="448626286">
      <w:bodyDiv w:val="1"/>
      <w:marLeft w:val="0"/>
      <w:marRight w:val="0"/>
      <w:marTop w:val="0"/>
      <w:marBottom w:val="0"/>
      <w:divBdr>
        <w:top w:val="none" w:sz="0" w:space="0" w:color="auto"/>
        <w:left w:val="none" w:sz="0" w:space="0" w:color="auto"/>
        <w:bottom w:val="none" w:sz="0" w:space="0" w:color="auto"/>
        <w:right w:val="none" w:sz="0" w:space="0" w:color="auto"/>
      </w:divBdr>
    </w:div>
    <w:div w:id="463041185">
      <w:bodyDiv w:val="1"/>
      <w:marLeft w:val="0"/>
      <w:marRight w:val="0"/>
      <w:marTop w:val="0"/>
      <w:marBottom w:val="0"/>
      <w:divBdr>
        <w:top w:val="none" w:sz="0" w:space="0" w:color="auto"/>
        <w:left w:val="none" w:sz="0" w:space="0" w:color="auto"/>
        <w:bottom w:val="none" w:sz="0" w:space="0" w:color="auto"/>
        <w:right w:val="none" w:sz="0" w:space="0" w:color="auto"/>
      </w:divBdr>
    </w:div>
    <w:div w:id="526286549">
      <w:bodyDiv w:val="1"/>
      <w:marLeft w:val="0"/>
      <w:marRight w:val="0"/>
      <w:marTop w:val="0"/>
      <w:marBottom w:val="0"/>
      <w:divBdr>
        <w:top w:val="none" w:sz="0" w:space="0" w:color="auto"/>
        <w:left w:val="none" w:sz="0" w:space="0" w:color="auto"/>
        <w:bottom w:val="none" w:sz="0" w:space="0" w:color="auto"/>
        <w:right w:val="none" w:sz="0" w:space="0" w:color="auto"/>
      </w:divBdr>
    </w:div>
    <w:div w:id="536508953">
      <w:bodyDiv w:val="1"/>
      <w:marLeft w:val="0"/>
      <w:marRight w:val="0"/>
      <w:marTop w:val="0"/>
      <w:marBottom w:val="0"/>
      <w:divBdr>
        <w:top w:val="none" w:sz="0" w:space="0" w:color="auto"/>
        <w:left w:val="none" w:sz="0" w:space="0" w:color="auto"/>
        <w:bottom w:val="none" w:sz="0" w:space="0" w:color="auto"/>
        <w:right w:val="none" w:sz="0" w:space="0" w:color="auto"/>
      </w:divBdr>
    </w:div>
    <w:div w:id="539972236">
      <w:bodyDiv w:val="1"/>
      <w:marLeft w:val="0"/>
      <w:marRight w:val="0"/>
      <w:marTop w:val="0"/>
      <w:marBottom w:val="0"/>
      <w:divBdr>
        <w:top w:val="none" w:sz="0" w:space="0" w:color="auto"/>
        <w:left w:val="none" w:sz="0" w:space="0" w:color="auto"/>
        <w:bottom w:val="none" w:sz="0" w:space="0" w:color="auto"/>
        <w:right w:val="none" w:sz="0" w:space="0" w:color="auto"/>
      </w:divBdr>
    </w:div>
    <w:div w:id="540551884">
      <w:bodyDiv w:val="1"/>
      <w:marLeft w:val="0"/>
      <w:marRight w:val="0"/>
      <w:marTop w:val="0"/>
      <w:marBottom w:val="0"/>
      <w:divBdr>
        <w:top w:val="none" w:sz="0" w:space="0" w:color="auto"/>
        <w:left w:val="none" w:sz="0" w:space="0" w:color="auto"/>
        <w:bottom w:val="none" w:sz="0" w:space="0" w:color="auto"/>
        <w:right w:val="none" w:sz="0" w:space="0" w:color="auto"/>
      </w:divBdr>
    </w:div>
    <w:div w:id="543099116">
      <w:bodyDiv w:val="1"/>
      <w:marLeft w:val="0"/>
      <w:marRight w:val="0"/>
      <w:marTop w:val="0"/>
      <w:marBottom w:val="0"/>
      <w:divBdr>
        <w:top w:val="none" w:sz="0" w:space="0" w:color="auto"/>
        <w:left w:val="none" w:sz="0" w:space="0" w:color="auto"/>
        <w:bottom w:val="none" w:sz="0" w:space="0" w:color="auto"/>
        <w:right w:val="none" w:sz="0" w:space="0" w:color="auto"/>
      </w:divBdr>
    </w:div>
    <w:div w:id="549344476">
      <w:bodyDiv w:val="1"/>
      <w:marLeft w:val="0"/>
      <w:marRight w:val="0"/>
      <w:marTop w:val="0"/>
      <w:marBottom w:val="0"/>
      <w:divBdr>
        <w:top w:val="none" w:sz="0" w:space="0" w:color="auto"/>
        <w:left w:val="none" w:sz="0" w:space="0" w:color="auto"/>
        <w:bottom w:val="none" w:sz="0" w:space="0" w:color="auto"/>
        <w:right w:val="none" w:sz="0" w:space="0" w:color="auto"/>
      </w:divBdr>
    </w:div>
    <w:div w:id="552012054">
      <w:bodyDiv w:val="1"/>
      <w:marLeft w:val="0"/>
      <w:marRight w:val="0"/>
      <w:marTop w:val="0"/>
      <w:marBottom w:val="0"/>
      <w:divBdr>
        <w:top w:val="none" w:sz="0" w:space="0" w:color="auto"/>
        <w:left w:val="none" w:sz="0" w:space="0" w:color="auto"/>
        <w:bottom w:val="none" w:sz="0" w:space="0" w:color="auto"/>
        <w:right w:val="none" w:sz="0" w:space="0" w:color="auto"/>
      </w:divBdr>
    </w:div>
    <w:div w:id="567038734">
      <w:bodyDiv w:val="1"/>
      <w:marLeft w:val="0"/>
      <w:marRight w:val="0"/>
      <w:marTop w:val="0"/>
      <w:marBottom w:val="0"/>
      <w:divBdr>
        <w:top w:val="none" w:sz="0" w:space="0" w:color="auto"/>
        <w:left w:val="none" w:sz="0" w:space="0" w:color="auto"/>
        <w:bottom w:val="none" w:sz="0" w:space="0" w:color="auto"/>
        <w:right w:val="none" w:sz="0" w:space="0" w:color="auto"/>
      </w:divBdr>
    </w:div>
    <w:div w:id="580724321">
      <w:bodyDiv w:val="1"/>
      <w:marLeft w:val="0"/>
      <w:marRight w:val="0"/>
      <w:marTop w:val="0"/>
      <w:marBottom w:val="0"/>
      <w:divBdr>
        <w:top w:val="none" w:sz="0" w:space="0" w:color="auto"/>
        <w:left w:val="none" w:sz="0" w:space="0" w:color="auto"/>
        <w:bottom w:val="none" w:sz="0" w:space="0" w:color="auto"/>
        <w:right w:val="none" w:sz="0" w:space="0" w:color="auto"/>
      </w:divBdr>
    </w:div>
    <w:div w:id="581915518">
      <w:bodyDiv w:val="1"/>
      <w:marLeft w:val="0"/>
      <w:marRight w:val="0"/>
      <w:marTop w:val="0"/>
      <w:marBottom w:val="0"/>
      <w:divBdr>
        <w:top w:val="none" w:sz="0" w:space="0" w:color="auto"/>
        <w:left w:val="none" w:sz="0" w:space="0" w:color="auto"/>
        <w:bottom w:val="none" w:sz="0" w:space="0" w:color="auto"/>
        <w:right w:val="none" w:sz="0" w:space="0" w:color="auto"/>
      </w:divBdr>
    </w:div>
    <w:div w:id="592670937">
      <w:bodyDiv w:val="1"/>
      <w:marLeft w:val="0"/>
      <w:marRight w:val="0"/>
      <w:marTop w:val="0"/>
      <w:marBottom w:val="0"/>
      <w:divBdr>
        <w:top w:val="none" w:sz="0" w:space="0" w:color="auto"/>
        <w:left w:val="none" w:sz="0" w:space="0" w:color="auto"/>
        <w:bottom w:val="none" w:sz="0" w:space="0" w:color="auto"/>
        <w:right w:val="none" w:sz="0" w:space="0" w:color="auto"/>
      </w:divBdr>
    </w:div>
    <w:div w:id="594168460">
      <w:bodyDiv w:val="1"/>
      <w:marLeft w:val="0"/>
      <w:marRight w:val="0"/>
      <w:marTop w:val="0"/>
      <w:marBottom w:val="0"/>
      <w:divBdr>
        <w:top w:val="none" w:sz="0" w:space="0" w:color="auto"/>
        <w:left w:val="none" w:sz="0" w:space="0" w:color="auto"/>
        <w:bottom w:val="none" w:sz="0" w:space="0" w:color="auto"/>
        <w:right w:val="none" w:sz="0" w:space="0" w:color="auto"/>
      </w:divBdr>
    </w:div>
    <w:div w:id="594627990">
      <w:bodyDiv w:val="1"/>
      <w:marLeft w:val="0"/>
      <w:marRight w:val="0"/>
      <w:marTop w:val="0"/>
      <w:marBottom w:val="0"/>
      <w:divBdr>
        <w:top w:val="none" w:sz="0" w:space="0" w:color="auto"/>
        <w:left w:val="none" w:sz="0" w:space="0" w:color="auto"/>
        <w:bottom w:val="none" w:sz="0" w:space="0" w:color="auto"/>
        <w:right w:val="none" w:sz="0" w:space="0" w:color="auto"/>
      </w:divBdr>
      <w:divsChild>
        <w:div w:id="461771037">
          <w:marLeft w:val="547"/>
          <w:marRight w:val="0"/>
          <w:marTop w:val="0"/>
          <w:marBottom w:val="0"/>
          <w:divBdr>
            <w:top w:val="none" w:sz="0" w:space="0" w:color="auto"/>
            <w:left w:val="none" w:sz="0" w:space="0" w:color="auto"/>
            <w:bottom w:val="none" w:sz="0" w:space="0" w:color="auto"/>
            <w:right w:val="none" w:sz="0" w:space="0" w:color="auto"/>
          </w:divBdr>
        </w:div>
      </w:divsChild>
    </w:div>
    <w:div w:id="597980190">
      <w:bodyDiv w:val="1"/>
      <w:marLeft w:val="0"/>
      <w:marRight w:val="0"/>
      <w:marTop w:val="0"/>
      <w:marBottom w:val="0"/>
      <w:divBdr>
        <w:top w:val="none" w:sz="0" w:space="0" w:color="auto"/>
        <w:left w:val="none" w:sz="0" w:space="0" w:color="auto"/>
        <w:bottom w:val="none" w:sz="0" w:space="0" w:color="auto"/>
        <w:right w:val="none" w:sz="0" w:space="0" w:color="auto"/>
      </w:divBdr>
    </w:div>
    <w:div w:id="602226534">
      <w:bodyDiv w:val="1"/>
      <w:marLeft w:val="0"/>
      <w:marRight w:val="0"/>
      <w:marTop w:val="0"/>
      <w:marBottom w:val="0"/>
      <w:divBdr>
        <w:top w:val="none" w:sz="0" w:space="0" w:color="auto"/>
        <w:left w:val="none" w:sz="0" w:space="0" w:color="auto"/>
        <w:bottom w:val="none" w:sz="0" w:space="0" w:color="auto"/>
        <w:right w:val="none" w:sz="0" w:space="0" w:color="auto"/>
      </w:divBdr>
    </w:div>
    <w:div w:id="607545995">
      <w:bodyDiv w:val="1"/>
      <w:marLeft w:val="0"/>
      <w:marRight w:val="0"/>
      <w:marTop w:val="0"/>
      <w:marBottom w:val="0"/>
      <w:divBdr>
        <w:top w:val="none" w:sz="0" w:space="0" w:color="auto"/>
        <w:left w:val="none" w:sz="0" w:space="0" w:color="auto"/>
        <w:bottom w:val="none" w:sz="0" w:space="0" w:color="auto"/>
        <w:right w:val="none" w:sz="0" w:space="0" w:color="auto"/>
      </w:divBdr>
    </w:div>
    <w:div w:id="635835856">
      <w:bodyDiv w:val="1"/>
      <w:marLeft w:val="0"/>
      <w:marRight w:val="0"/>
      <w:marTop w:val="0"/>
      <w:marBottom w:val="0"/>
      <w:divBdr>
        <w:top w:val="none" w:sz="0" w:space="0" w:color="auto"/>
        <w:left w:val="none" w:sz="0" w:space="0" w:color="auto"/>
        <w:bottom w:val="none" w:sz="0" w:space="0" w:color="auto"/>
        <w:right w:val="none" w:sz="0" w:space="0" w:color="auto"/>
      </w:divBdr>
    </w:div>
    <w:div w:id="669411162">
      <w:bodyDiv w:val="1"/>
      <w:marLeft w:val="0"/>
      <w:marRight w:val="0"/>
      <w:marTop w:val="0"/>
      <w:marBottom w:val="0"/>
      <w:divBdr>
        <w:top w:val="none" w:sz="0" w:space="0" w:color="auto"/>
        <w:left w:val="none" w:sz="0" w:space="0" w:color="auto"/>
        <w:bottom w:val="none" w:sz="0" w:space="0" w:color="auto"/>
        <w:right w:val="none" w:sz="0" w:space="0" w:color="auto"/>
      </w:divBdr>
    </w:div>
    <w:div w:id="677077979">
      <w:bodyDiv w:val="1"/>
      <w:marLeft w:val="0"/>
      <w:marRight w:val="0"/>
      <w:marTop w:val="0"/>
      <w:marBottom w:val="0"/>
      <w:divBdr>
        <w:top w:val="none" w:sz="0" w:space="0" w:color="auto"/>
        <w:left w:val="none" w:sz="0" w:space="0" w:color="auto"/>
        <w:bottom w:val="none" w:sz="0" w:space="0" w:color="auto"/>
        <w:right w:val="none" w:sz="0" w:space="0" w:color="auto"/>
      </w:divBdr>
    </w:div>
    <w:div w:id="684550637">
      <w:bodyDiv w:val="1"/>
      <w:marLeft w:val="0"/>
      <w:marRight w:val="0"/>
      <w:marTop w:val="0"/>
      <w:marBottom w:val="0"/>
      <w:divBdr>
        <w:top w:val="none" w:sz="0" w:space="0" w:color="auto"/>
        <w:left w:val="none" w:sz="0" w:space="0" w:color="auto"/>
        <w:bottom w:val="none" w:sz="0" w:space="0" w:color="auto"/>
        <w:right w:val="none" w:sz="0" w:space="0" w:color="auto"/>
      </w:divBdr>
    </w:div>
    <w:div w:id="714622498">
      <w:bodyDiv w:val="1"/>
      <w:marLeft w:val="0"/>
      <w:marRight w:val="0"/>
      <w:marTop w:val="0"/>
      <w:marBottom w:val="0"/>
      <w:divBdr>
        <w:top w:val="none" w:sz="0" w:space="0" w:color="auto"/>
        <w:left w:val="none" w:sz="0" w:space="0" w:color="auto"/>
        <w:bottom w:val="none" w:sz="0" w:space="0" w:color="auto"/>
        <w:right w:val="none" w:sz="0" w:space="0" w:color="auto"/>
      </w:divBdr>
    </w:div>
    <w:div w:id="718480995">
      <w:bodyDiv w:val="1"/>
      <w:marLeft w:val="0"/>
      <w:marRight w:val="0"/>
      <w:marTop w:val="0"/>
      <w:marBottom w:val="0"/>
      <w:divBdr>
        <w:top w:val="none" w:sz="0" w:space="0" w:color="auto"/>
        <w:left w:val="none" w:sz="0" w:space="0" w:color="auto"/>
        <w:bottom w:val="none" w:sz="0" w:space="0" w:color="auto"/>
        <w:right w:val="none" w:sz="0" w:space="0" w:color="auto"/>
      </w:divBdr>
    </w:div>
    <w:div w:id="725566012">
      <w:bodyDiv w:val="1"/>
      <w:marLeft w:val="0"/>
      <w:marRight w:val="0"/>
      <w:marTop w:val="0"/>
      <w:marBottom w:val="0"/>
      <w:divBdr>
        <w:top w:val="none" w:sz="0" w:space="0" w:color="auto"/>
        <w:left w:val="none" w:sz="0" w:space="0" w:color="auto"/>
        <w:bottom w:val="none" w:sz="0" w:space="0" w:color="auto"/>
        <w:right w:val="none" w:sz="0" w:space="0" w:color="auto"/>
      </w:divBdr>
    </w:div>
    <w:div w:id="735855445">
      <w:bodyDiv w:val="1"/>
      <w:marLeft w:val="0"/>
      <w:marRight w:val="0"/>
      <w:marTop w:val="0"/>
      <w:marBottom w:val="0"/>
      <w:divBdr>
        <w:top w:val="none" w:sz="0" w:space="0" w:color="auto"/>
        <w:left w:val="none" w:sz="0" w:space="0" w:color="auto"/>
        <w:bottom w:val="none" w:sz="0" w:space="0" w:color="auto"/>
        <w:right w:val="none" w:sz="0" w:space="0" w:color="auto"/>
      </w:divBdr>
    </w:div>
    <w:div w:id="739333623">
      <w:bodyDiv w:val="1"/>
      <w:marLeft w:val="0"/>
      <w:marRight w:val="0"/>
      <w:marTop w:val="0"/>
      <w:marBottom w:val="0"/>
      <w:divBdr>
        <w:top w:val="none" w:sz="0" w:space="0" w:color="auto"/>
        <w:left w:val="none" w:sz="0" w:space="0" w:color="auto"/>
        <w:bottom w:val="none" w:sz="0" w:space="0" w:color="auto"/>
        <w:right w:val="none" w:sz="0" w:space="0" w:color="auto"/>
      </w:divBdr>
    </w:div>
    <w:div w:id="740252054">
      <w:bodyDiv w:val="1"/>
      <w:marLeft w:val="0"/>
      <w:marRight w:val="0"/>
      <w:marTop w:val="0"/>
      <w:marBottom w:val="0"/>
      <w:divBdr>
        <w:top w:val="none" w:sz="0" w:space="0" w:color="auto"/>
        <w:left w:val="none" w:sz="0" w:space="0" w:color="auto"/>
        <w:bottom w:val="none" w:sz="0" w:space="0" w:color="auto"/>
        <w:right w:val="none" w:sz="0" w:space="0" w:color="auto"/>
      </w:divBdr>
      <w:divsChild>
        <w:div w:id="944268239">
          <w:marLeft w:val="0"/>
          <w:marRight w:val="0"/>
          <w:marTop w:val="0"/>
          <w:marBottom w:val="0"/>
          <w:divBdr>
            <w:top w:val="none" w:sz="0" w:space="0" w:color="auto"/>
            <w:left w:val="none" w:sz="0" w:space="0" w:color="auto"/>
            <w:bottom w:val="none" w:sz="0" w:space="0" w:color="auto"/>
            <w:right w:val="none" w:sz="0" w:space="0" w:color="auto"/>
          </w:divBdr>
          <w:divsChild>
            <w:div w:id="2105102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425189">
      <w:bodyDiv w:val="1"/>
      <w:marLeft w:val="0"/>
      <w:marRight w:val="0"/>
      <w:marTop w:val="0"/>
      <w:marBottom w:val="0"/>
      <w:divBdr>
        <w:top w:val="none" w:sz="0" w:space="0" w:color="auto"/>
        <w:left w:val="none" w:sz="0" w:space="0" w:color="auto"/>
        <w:bottom w:val="none" w:sz="0" w:space="0" w:color="auto"/>
        <w:right w:val="none" w:sz="0" w:space="0" w:color="auto"/>
      </w:divBdr>
    </w:div>
    <w:div w:id="773094942">
      <w:bodyDiv w:val="1"/>
      <w:marLeft w:val="0"/>
      <w:marRight w:val="0"/>
      <w:marTop w:val="0"/>
      <w:marBottom w:val="0"/>
      <w:divBdr>
        <w:top w:val="none" w:sz="0" w:space="0" w:color="auto"/>
        <w:left w:val="none" w:sz="0" w:space="0" w:color="auto"/>
        <w:bottom w:val="none" w:sz="0" w:space="0" w:color="auto"/>
        <w:right w:val="none" w:sz="0" w:space="0" w:color="auto"/>
      </w:divBdr>
    </w:div>
    <w:div w:id="796097627">
      <w:bodyDiv w:val="1"/>
      <w:marLeft w:val="0"/>
      <w:marRight w:val="0"/>
      <w:marTop w:val="0"/>
      <w:marBottom w:val="0"/>
      <w:divBdr>
        <w:top w:val="none" w:sz="0" w:space="0" w:color="auto"/>
        <w:left w:val="none" w:sz="0" w:space="0" w:color="auto"/>
        <w:bottom w:val="none" w:sz="0" w:space="0" w:color="auto"/>
        <w:right w:val="none" w:sz="0" w:space="0" w:color="auto"/>
      </w:divBdr>
    </w:div>
    <w:div w:id="796459494">
      <w:bodyDiv w:val="1"/>
      <w:marLeft w:val="0"/>
      <w:marRight w:val="0"/>
      <w:marTop w:val="0"/>
      <w:marBottom w:val="0"/>
      <w:divBdr>
        <w:top w:val="none" w:sz="0" w:space="0" w:color="auto"/>
        <w:left w:val="none" w:sz="0" w:space="0" w:color="auto"/>
        <w:bottom w:val="none" w:sz="0" w:space="0" w:color="auto"/>
        <w:right w:val="none" w:sz="0" w:space="0" w:color="auto"/>
      </w:divBdr>
      <w:divsChild>
        <w:div w:id="1853716594">
          <w:marLeft w:val="0"/>
          <w:marRight w:val="0"/>
          <w:marTop w:val="0"/>
          <w:marBottom w:val="0"/>
          <w:divBdr>
            <w:top w:val="none" w:sz="0" w:space="0" w:color="auto"/>
            <w:left w:val="none" w:sz="0" w:space="0" w:color="auto"/>
            <w:bottom w:val="none" w:sz="0" w:space="0" w:color="auto"/>
            <w:right w:val="none" w:sz="0" w:space="0" w:color="auto"/>
          </w:divBdr>
        </w:div>
        <w:div w:id="1572236128">
          <w:marLeft w:val="0"/>
          <w:marRight w:val="0"/>
          <w:marTop w:val="0"/>
          <w:marBottom w:val="0"/>
          <w:divBdr>
            <w:top w:val="none" w:sz="0" w:space="0" w:color="auto"/>
            <w:left w:val="none" w:sz="0" w:space="0" w:color="auto"/>
            <w:bottom w:val="none" w:sz="0" w:space="0" w:color="auto"/>
            <w:right w:val="none" w:sz="0" w:space="0" w:color="auto"/>
          </w:divBdr>
        </w:div>
        <w:div w:id="1714034462">
          <w:marLeft w:val="0"/>
          <w:marRight w:val="0"/>
          <w:marTop w:val="0"/>
          <w:marBottom w:val="0"/>
          <w:divBdr>
            <w:top w:val="none" w:sz="0" w:space="0" w:color="auto"/>
            <w:left w:val="none" w:sz="0" w:space="0" w:color="auto"/>
            <w:bottom w:val="none" w:sz="0" w:space="0" w:color="auto"/>
            <w:right w:val="none" w:sz="0" w:space="0" w:color="auto"/>
          </w:divBdr>
        </w:div>
        <w:div w:id="1603495890">
          <w:marLeft w:val="0"/>
          <w:marRight w:val="0"/>
          <w:marTop w:val="0"/>
          <w:marBottom w:val="0"/>
          <w:divBdr>
            <w:top w:val="none" w:sz="0" w:space="0" w:color="auto"/>
            <w:left w:val="none" w:sz="0" w:space="0" w:color="auto"/>
            <w:bottom w:val="none" w:sz="0" w:space="0" w:color="auto"/>
            <w:right w:val="none" w:sz="0" w:space="0" w:color="auto"/>
          </w:divBdr>
        </w:div>
        <w:div w:id="228463926">
          <w:marLeft w:val="0"/>
          <w:marRight w:val="0"/>
          <w:marTop w:val="0"/>
          <w:marBottom w:val="0"/>
          <w:divBdr>
            <w:top w:val="none" w:sz="0" w:space="0" w:color="auto"/>
            <w:left w:val="none" w:sz="0" w:space="0" w:color="auto"/>
            <w:bottom w:val="none" w:sz="0" w:space="0" w:color="auto"/>
            <w:right w:val="none" w:sz="0" w:space="0" w:color="auto"/>
          </w:divBdr>
        </w:div>
        <w:div w:id="908885085">
          <w:marLeft w:val="0"/>
          <w:marRight w:val="0"/>
          <w:marTop w:val="0"/>
          <w:marBottom w:val="0"/>
          <w:divBdr>
            <w:top w:val="none" w:sz="0" w:space="0" w:color="auto"/>
            <w:left w:val="none" w:sz="0" w:space="0" w:color="auto"/>
            <w:bottom w:val="none" w:sz="0" w:space="0" w:color="auto"/>
            <w:right w:val="none" w:sz="0" w:space="0" w:color="auto"/>
          </w:divBdr>
        </w:div>
        <w:div w:id="562721269">
          <w:marLeft w:val="0"/>
          <w:marRight w:val="0"/>
          <w:marTop w:val="0"/>
          <w:marBottom w:val="0"/>
          <w:divBdr>
            <w:top w:val="none" w:sz="0" w:space="0" w:color="auto"/>
            <w:left w:val="none" w:sz="0" w:space="0" w:color="auto"/>
            <w:bottom w:val="none" w:sz="0" w:space="0" w:color="auto"/>
            <w:right w:val="none" w:sz="0" w:space="0" w:color="auto"/>
          </w:divBdr>
        </w:div>
        <w:div w:id="2103911216">
          <w:marLeft w:val="0"/>
          <w:marRight w:val="0"/>
          <w:marTop w:val="0"/>
          <w:marBottom w:val="0"/>
          <w:divBdr>
            <w:top w:val="none" w:sz="0" w:space="0" w:color="auto"/>
            <w:left w:val="none" w:sz="0" w:space="0" w:color="auto"/>
            <w:bottom w:val="none" w:sz="0" w:space="0" w:color="auto"/>
            <w:right w:val="none" w:sz="0" w:space="0" w:color="auto"/>
          </w:divBdr>
        </w:div>
        <w:div w:id="1777360319">
          <w:marLeft w:val="0"/>
          <w:marRight w:val="0"/>
          <w:marTop w:val="0"/>
          <w:marBottom w:val="0"/>
          <w:divBdr>
            <w:top w:val="none" w:sz="0" w:space="0" w:color="auto"/>
            <w:left w:val="none" w:sz="0" w:space="0" w:color="auto"/>
            <w:bottom w:val="none" w:sz="0" w:space="0" w:color="auto"/>
            <w:right w:val="none" w:sz="0" w:space="0" w:color="auto"/>
          </w:divBdr>
        </w:div>
        <w:div w:id="132141407">
          <w:marLeft w:val="0"/>
          <w:marRight w:val="0"/>
          <w:marTop w:val="0"/>
          <w:marBottom w:val="0"/>
          <w:divBdr>
            <w:top w:val="none" w:sz="0" w:space="0" w:color="auto"/>
            <w:left w:val="none" w:sz="0" w:space="0" w:color="auto"/>
            <w:bottom w:val="none" w:sz="0" w:space="0" w:color="auto"/>
            <w:right w:val="none" w:sz="0" w:space="0" w:color="auto"/>
          </w:divBdr>
        </w:div>
        <w:div w:id="1127629500">
          <w:marLeft w:val="0"/>
          <w:marRight w:val="0"/>
          <w:marTop w:val="0"/>
          <w:marBottom w:val="0"/>
          <w:divBdr>
            <w:top w:val="none" w:sz="0" w:space="0" w:color="auto"/>
            <w:left w:val="none" w:sz="0" w:space="0" w:color="auto"/>
            <w:bottom w:val="none" w:sz="0" w:space="0" w:color="auto"/>
            <w:right w:val="none" w:sz="0" w:space="0" w:color="auto"/>
          </w:divBdr>
        </w:div>
        <w:div w:id="1250651813">
          <w:marLeft w:val="0"/>
          <w:marRight w:val="0"/>
          <w:marTop w:val="0"/>
          <w:marBottom w:val="0"/>
          <w:divBdr>
            <w:top w:val="none" w:sz="0" w:space="0" w:color="auto"/>
            <w:left w:val="none" w:sz="0" w:space="0" w:color="auto"/>
            <w:bottom w:val="none" w:sz="0" w:space="0" w:color="auto"/>
            <w:right w:val="none" w:sz="0" w:space="0" w:color="auto"/>
          </w:divBdr>
        </w:div>
        <w:div w:id="1297220109">
          <w:marLeft w:val="0"/>
          <w:marRight w:val="0"/>
          <w:marTop w:val="0"/>
          <w:marBottom w:val="0"/>
          <w:divBdr>
            <w:top w:val="none" w:sz="0" w:space="0" w:color="auto"/>
            <w:left w:val="none" w:sz="0" w:space="0" w:color="auto"/>
            <w:bottom w:val="none" w:sz="0" w:space="0" w:color="auto"/>
            <w:right w:val="none" w:sz="0" w:space="0" w:color="auto"/>
          </w:divBdr>
        </w:div>
        <w:div w:id="1069499314">
          <w:marLeft w:val="0"/>
          <w:marRight w:val="0"/>
          <w:marTop w:val="0"/>
          <w:marBottom w:val="0"/>
          <w:divBdr>
            <w:top w:val="none" w:sz="0" w:space="0" w:color="auto"/>
            <w:left w:val="none" w:sz="0" w:space="0" w:color="auto"/>
            <w:bottom w:val="none" w:sz="0" w:space="0" w:color="auto"/>
            <w:right w:val="none" w:sz="0" w:space="0" w:color="auto"/>
          </w:divBdr>
        </w:div>
      </w:divsChild>
    </w:div>
    <w:div w:id="811944181">
      <w:bodyDiv w:val="1"/>
      <w:marLeft w:val="0"/>
      <w:marRight w:val="0"/>
      <w:marTop w:val="0"/>
      <w:marBottom w:val="0"/>
      <w:divBdr>
        <w:top w:val="none" w:sz="0" w:space="0" w:color="auto"/>
        <w:left w:val="none" w:sz="0" w:space="0" w:color="auto"/>
        <w:bottom w:val="none" w:sz="0" w:space="0" w:color="auto"/>
        <w:right w:val="none" w:sz="0" w:space="0" w:color="auto"/>
      </w:divBdr>
    </w:div>
    <w:div w:id="822163287">
      <w:bodyDiv w:val="1"/>
      <w:marLeft w:val="0"/>
      <w:marRight w:val="0"/>
      <w:marTop w:val="0"/>
      <w:marBottom w:val="0"/>
      <w:divBdr>
        <w:top w:val="none" w:sz="0" w:space="0" w:color="auto"/>
        <w:left w:val="none" w:sz="0" w:space="0" w:color="auto"/>
        <w:bottom w:val="none" w:sz="0" w:space="0" w:color="auto"/>
        <w:right w:val="none" w:sz="0" w:space="0" w:color="auto"/>
      </w:divBdr>
    </w:div>
    <w:div w:id="828178615">
      <w:bodyDiv w:val="1"/>
      <w:marLeft w:val="0"/>
      <w:marRight w:val="0"/>
      <w:marTop w:val="0"/>
      <w:marBottom w:val="0"/>
      <w:divBdr>
        <w:top w:val="none" w:sz="0" w:space="0" w:color="auto"/>
        <w:left w:val="none" w:sz="0" w:space="0" w:color="auto"/>
        <w:bottom w:val="none" w:sz="0" w:space="0" w:color="auto"/>
        <w:right w:val="none" w:sz="0" w:space="0" w:color="auto"/>
      </w:divBdr>
    </w:div>
    <w:div w:id="829638148">
      <w:bodyDiv w:val="1"/>
      <w:marLeft w:val="0"/>
      <w:marRight w:val="0"/>
      <w:marTop w:val="0"/>
      <w:marBottom w:val="0"/>
      <w:divBdr>
        <w:top w:val="none" w:sz="0" w:space="0" w:color="auto"/>
        <w:left w:val="none" w:sz="0" w:space="0" w:color="auto"/>
        <w:bottom w:val="none" w:sz="0" w:space="0" w:color="auto"/>
        <w:right w:val="none" w:sz="0" w:space="0" w:color="auto"/>
      </w:divBdr>
    </w:div>
    <w:div w:id="829834948">
      <w:bodyDiv w:val="1"/>
      <w:marLeft w:val="0"/>
      <w:marRight w:val="0"/>
      <w:marTop w:val="0"/>
      <w:marBottom w:val="0"/>
      <w:divBdr>
        <w:top w:val="none" w:sz="0" w:space="0" w:color="auto"/>
        <w:left w:val="none" w:sz="0" w:space="0" w:color="auto"/>
        <w:bottom w:val="none" w:sz="0" w:space="0" w:color="auto"/>
        <w:right w:val="none" w:sz="0" w:space="0" w:color="auto"/>
      </w:divBdr>
    </w:div>
    <w:div w:id="841048041">
      <w:bodyDiv w:val="1"/>
      <w:marLeft w:val="0"/>
      <w:marRight w:val="0"/>
      <w:marTop w:val="0"/>
      <w:marBottom w:val="0"/>
      <w:divBdr>
        <w:top w:val="none" w:sz="0" w:space="0" w:color="auto"/>
        <w:left w:val="none" w:sz="0" w:space="0" w:color="auto"/>
        <w:bottom w:val="none" w:sz="0" w:space="0" w:color="auto"/>
        <w:right w:val="none" w:sz="0" w:space="0" w:color="auto"/>
      </w:divBdr>
    </w:div>
    <w:div w:id="860819501">
      <w:bodyDiv w:val="1"/>
      <w:marLeft w:val="0"/>
      <w:marRight w:val="0"/>
      <w:marTop w:val="0"/>
      <w:marBottom w:val="0"/>
      <w:divBdr>
        <w:top w:val="none" w:sz="0" w:space="0" w:color="auto"/>
        <w:left w:val="none" w:sz="0" w:space="0" w:color="auto"/>
        <w:bottom w:val="none" w:sz="0" w:space="0" w:color="auto"/>
        <w:right w:val="none" w:sz="0" w:space="0" w:color="auto"/>
      </w:divBdr>
    </w:div>
    <w:div w:id="872229762">
      <w:bodyDiv w:val="1"/>
      <w:marLeft w:val="0"/>
      <w:marRight w:val="0"/>
      <w:marTop w:val="0"/>
      <w:marBottom w:val="0"/>
      <w:divBdr>
        <w:top w:val="none" w:sz="0" w:space="0" w:color="auto"/>
        <w:left w:val="none" w:sz="0" w:space="0" w:color="auto"/>
        <w:bottom w:val="none" w:sz="0" w:space="0" w:color="auto"/>
        <w:right w:val="none" w:sz="0" w:space="0" w:color="auto"/>
      </w:divBdr>
    </w:div>
    <w:div w:id="879166809">
      <w:bodyDiv w:val="1"/>
      <w:marLeft w:val="0"/>
      <w:marRight w:val="0"/>
      <w:marTop w:val="0"/>
      <w:marBottom w:val="0"/>
      <w:divBdr>
        <w:top w:val="none" w:sz="0" w:space="0" w:color="auto"/>
        <w:left w:val="none" w:sz="0" w:space="0" w:color="auto"/>
        <w:bottom w:val="none" w:sz="0" w:space="0" w:color="auto"/>
        <w:right w:val="none" w:sz="0" w:space="0" w:color="auto"/>
      </w:divBdr>
    </w:div>
    <w:div w:id="896478553">
      <w:bodyDiv w:val="1"/>
      <w:marLeft w:val="0"/>
      <w:marRight w:val="0"/>
      <w:marTop w:val="0"/>
      <w:marBottom w:val="0"/>
      <w:divBdr>
        <w:top w:val="none" w:sz="0" w:space="0" w:color="auto"/>
        <w:left w:val="none" w:sz="0" w:space="0" w:color="auto"/>
        <w:bottom w:val="none" w:sz="0" w:space="0" w:color="auto"/>
        <w:right w:val="none" w:sz="0" w:space="0" w:color="auto"/>
      </w:divBdr>
    </w:div>
    <w:div w:id="900680480">
      <w:bodyDiv w:val="1"/>
      <w:marLeft w:val="0"/>
      <w:marRight w:val="0"/>
      <w:marTop w:val="0"/>
      <w:marBottom w:val="0"/>
      <w:divBdr>
        <w:top w:val="none" w:sz="0" w:space="0" w:color="auto"/>
        <w:left w:val="none" w:sz="0" w:space="0" w:color="auto"/>
        <w:bottom w:val="none" w:sz="0" w:space="0" w:color="auto"/>
        <w:right w:val="none" w:sz="0" w:space="0" w:color="auto"/>
      </w:divBdr>
    </w:div>
    <w:div w:id="901329788">
      <w:bodyDiv w:val="1"/>
      <w:marLeft w:val="0"/>
      <w:marRight w:val="0"/>
      <w:marTop w:val="0"/>
      <w:marBottom w:val="0"/>
      <w:divBdr>
        <w:top w:val="none" w:sz="0" w:space="0" w:color="auto"/>
        <w:left w:val="none" w:sz="0" w:space="0" w:color="auto"/>
        <w:bottom w:val="none" w:sz="0" w:space="0" w:color="auto"/>
        <w:right w:val="none" w:sz="0" w:space="0" w:color="auto"/>
      </w:divBdr>
    </w:div>
    <w:div w:id="919144969">
      <w:bodyDiv w:val="1"/>
      <w:marLeft w:val="0"/>
      <w:marRight w:val="0"/>
      <w:marTop w:val="0"/>
      <w:marBottom w:val="0"/>
      <w:divBdr>
        <w:top w:val="none" w:sz="0" w:space="0" w:color="auto"/>
        <w:left w:val="none" w:sz="0" w:space="0" w:color="auto"/>
        <w:bottom w:val="none" w:sz="0" w:space="0" w:color="auto"/>
        <w:right w:val="none" w:sz="0" w:space="0" w:color="auto"/>
      </w:divBdr>
    </w:div>
    <w:div w:id="925111903">
      <w:bodyDiv w:val="1"/>
      <w:marLeft w:val="0"/>
      <w:marRight w:val="0"/>
      <w:marTop w:val="0"/>
      <w:marBottom w:val="0"/>
      <w:divBdr>
        <w:top w:val="none" w:sz="0" w:space="0" w:color="auto"/>
        <w:left w:val="none" w:sz="0" w:space="0" w:color="auto"/>
        <w:bottom w:val="none" w:sz="0" w:space="0" w:color="auto"/>
        <w:right w:val="none" w:sz="0" w:space="0" w:color="auto"/>
      </w:divBdr>
    </w:div>
    <w:div w:id="934480811">
      <w:bodyDiv w:val="1"/>
      <w:marLeft w:val="0"/>
      <w:marRight w:val="0"/>
      <w:marTop w:val="0"/>
      <w:marBottom w:val="0"/>
      <w:divBdr>
        <w:top w:val="none" w:sz="0" w:space="0" w:color="auto"/>
        <w:left w:val="none" w:sz="0" w:space="0" w:color="auto"/>
        <w:bottom w:val="none" w:sz="0" w:space="0" w:color="auto"/>
        <w:right w:val="none" w:sz="0" w:space="0" w:color="auto"/>
      </w:divBdr>
      <w:divsChild>
        <w:div w:id="1113983041">
          <w:marLeft w:val="0"/>
          <w:marRight w:val="0"/>
          <w:marTop w:val="0"/>
          <w:marBottom w:val="0"/>
          <w:divBdr>
            <w:top w:val="none" w:sz="0" w:space="0" w:color="auto"/>
            <w:left w:val="none" w:sz="0" w:space="0" w:color="auto"/>
            <w:bottom w:val="none" w:sz="0" w:space="0" w:color="auto"/>
            <w:right w:val="none" w:sz="0" w:space="0" w:color="auto"/>
          </w:divBdr>
          <w:divsChild>
            <w:div w:id="185872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79452">
      <w:bodyDiv w:val="1"/>
      <w:marLeft w:val="0"/>
      <w:marRight w:val="0"/>
      <w:marTop w:val="0"/>
      <w:marBottom w:val="0"/>
      <w:divBdr>
        <w:top w:val="none" w:sz="0" w:space="0" w:color="auto"/>
        <w:left w:val="none" w:sz="0" w:space="0" w:color="auto"/>
        <w:bottom w:val="none" w:sz="0" w:space="0" w:color="auto"/>
        <w:right w:val="none" w:sz="0" w:space="0" w:color="auto"/>
      </w:divBdr>
    </w:div>
    <w:div w:id="944382627">
      <w:bodyDiv w:val="1"/>
      <w:marLeft w:val="0"/>
      <w:marRight w:val="0"/>
      <w:marTop w:val="0"/>
      <w:marBottom w:val="0"/>
      <w:divBdr>
        <w:top w:val="none" w:sz="0" w:space="0" w:color="auto"/>
        <w:left w:val="none" w:sz="0" w:space="0" w:color="auto"/>
        <w:bottom w:val="none" w:sz="0" w:space="0" w:color="auto"/>
        <w:right w:val="none" w:sz="0" w:space="0" w:color="auto"/>
      </w:divBdr>
    </w:div>
    <w:div w:id="964853475">
      <w:bodyDiv w:val="1"/>
      <w:marLeft w:val="0"/>
      <w:marRight w:val="0"/>
      <w:marTop w:val="0"/>
      <w:marBottom w:val="0"/>
      <w:divBdr>
        <w:top w:val="none" w:sz="0" w:space="0" w:color="auto"/>
        <w:left w:val="none" w:sz="0" w:space="0" w:color="auto"/>
        <w:bottom w:val="none" w:sz="0" w:space="0" w:color="auto"/>
        <w:right w:val="none" w:sz="0" w:space="0" w:color="auto"/>
      </w:divBdr>
    </w:div>
    <w:div w:id="969358230">
      <w:bodyDiv w:val="1"/>
      <w:marLeft w:val="0"/>
      <w:marRight w:val="0"/>
      <w:marTop w:val="0"/>
      <w:marBottom w:val="0"/>
      <w:divBdr>
        <w:top w:val="none" w:sz="0" w:space="0" w:color="auto"/>
        <w:left w:val="none" w:sz="0" w:space="0" w:color="auto"/>
        <w:bottom w:val="none" w:sz="0" w:space="0" w:color="auto"/>
        <w:right w:val="none" w:sz="0" w:space="0" w:color="auto"/>
      </w:divBdr>
    </w:div>
    <w:div w:id="983899874">
      <w:bodyDiv w:val="1"/>
      <w:marLeft w:val="0"/>
      <w:marRight w:val="0"/>
      <w:marTop w:val="0"/>
      <w:marBottom w:val="0"/>
      <w:divBdr>
        <w:top w:val="none" w:sz="0" w:space="0" w:color="auto"/>
        <w:left w:val="none" w:sz="0" w:space="0" w:color="auto"/>
        <w:bottom w:val="none" w:sz="0" w:space="0" w:color="auto"/>
        <w:right w:val="none" w:sz="0" w:space="0" w:color="auto"/>
      </w:divBdr>
    </w:div>
    <w:div w:id="990716200">
      <w:bodyDiv w:val="1"/>
      <w:marLeft w:val="0"/>
      <w:marRight w:val="0"/>
      <w:marTop w:val="0"/>
      <w:marBottom w:val="0"/>
      <w:divBdr>
        <w:top w:val="none" w:sz="0" w:space="0" w:color="auto"/>
        <w:left w:val="none" w:sz="0" w:space="0" w:color="auto"/>
        <w:bottom w:val="none" w:sz="0" w:space="0" w:color="auto"/>
        <w:right w:val="none" w:sz="0" w:space="0" w:color="auto"/>
      </w:divBdr>
    </w:div>
    <w:div w:id="994454792">
      <w:bodyDiv w:val="1"/>
      <w:marLeft w:val="0"/>
      <w:marRight w:val="0"/>
      <w:marTop w:val="0"/>
      <w:marBottom w:val="0"/>
      <w:divBdr>
        <w:top w:val="none" w:sz="0" w:space="0" w:color="auto"/>
        <w:left w:val="none" w:sz="0" w:space="0" w:color="auto"/>
        <w:bottom w:val="none" w:sz="0" w:space="0" w:color="auto"/>
        <w:right w:val="none" w:sz="0" w:space="0" w:color="auto"/>
      </w:divBdr>
    </w:div>
    <w:div w:id="1005715672">
      <w:bodyDiv w:val="1"/>
      <w:marLeft w:val="0"/>
      <w:marRight w:val="0"/>
      <w:marTop w:val="0"/>
      <w:marBottom w:val="0"/>
      <w:divBdr>
        <w:top w:val="none" w:sz="0" w:space="0" w:color="auto"/>
        <w:left w:val="none" w:sz="0" w:space="0" w:color="auto"/>
        <w:bottom w:val="none" w:sz="0" w:space="0" w:color="auto"/>
        <w:right w:val="none" w:sz="0" w:space="0" w:color="auto"/>
      </w:divBdr>
    </w:div>
    <w:div w:id="1010134181">
      <w:bodyDiv w:val="1"/>
      <w:marLeft w:val="0"/>
      <w:marRight w:val="0"/>
      <w:marTop w:val="0"/>
      <w:marBottom w:val="0"/>
      <w:divBdr>
        <w:top w:val="none" w:sz="0" w:space="0" w:color="auto"/>
        <w:left w:val="none" w:sz="0" w:space="0" w:color="auto"/>
        <w:bottom w:val="none" w:sz="0" w:space="0" w:color="auto"/>
        <w:right w:val="none" w:sz="0" w:space="0" w:color="auto"/>
      </w:divBdr>
    </w:div>
    <w:div w:id="1010331928">
      <w:bodyDiv w:val="1"/>
      <w:marLeft w:val="0"/>
      <w:marRight w:val="0"/>
      <w:marTop w:val="0"/>
      <w:marBottom w:val="0"/>
      <w:divBdr>
        <w:top w:val="none" w:sz="0" w:space="0" w:color="auto"/>
        <w:left w:val="none" w:sz="0" w:space="0" w:color="auto"/>
        <w:bottom w:val="none" w:sz="0" w:space="0" w:color="auto"/>
        <w:right w:val="none" w:sz="0" w:space="0" w:color="auto"/>
      </w:divBdr>
    </w:div>
    <w:div w:id="1012300098">
      <w:bodyDiv w:val="1"/>
      <w:marLeft w:val="0"/>
      <w:marRight w:val="0"/>
      <w:marTop w:val="0"/>
      <w:marBottom w:val="0"/>
      <w:divBdr>
        <w:top w:val="none" w:sz="0" w:space="0" w:color="auto"/>
        <w:left w:val="none" w:sz="0" w:space="0" w:color="auto"/>
        <w:bottom w:val="none" w:sz="0" w:space="0" w:color="auto"/>
        <w:right w:val="none" w:sz="0" w:space="0" w:color="auto"/>
      </w:divBdr>
    </w:div>
    <w:div w:id="1038627612">
      <w:bodyDiv w:val="1"/>
      <w:marLeft w:val="0"/>
      <w:marRight w:val="0"/>
      <w:marTop w:val="0"/>
      <w:marBottom w:val="0"/>
      <w:divBdr>
        <w:top w:val="none" w:sz="0" w:space="0" w:color="auto"/>
        <w:left w:val="none" w:sz="0" w:space="0" w:color="auto"/>
        <w:bottom w:val="none" w:sz="0" w:space="0" w:color="auto"/>
        <w:right w:val="none" w:sz="0" w:space="0" w:color="auto"/>
      </w:divBdr>
    </w:div>
    <w:div w:id="1047293172">
      <w:bodyDiv w:val="1"/>
      <w:marLeft w:val="0"/>
      <w:marRight w:val="0"/>
      <w:marTop w:val="0"/>
      <w:marBottom w:val="0"/>
      <w:divBdr>
        <w:top w:val="none" w:sz="0" w:space="0" w:color="auto"/>
        <w:left w:val="none" w:sz="0" w:space="0" w:color="auto"/>
        <w:bottom w:val="none" w:sz="0" w:space="0" w:color="auto"/>
        <w:right w:val="none" w:sz="0" w:space="0" w:color="auto"/>
      </w:divBdr>
    </w:div>
    <w:div w:id="1078596240">
      <w:bodyDiv w:val="1"/>
      <w:marLeft w:val="0"/>
      <w:marRight w:val="0"/>
      <w:marTop w:val="0"/>
      <w:marBottom w:val="0"/>
      <w:divBdr>
        <w:top w:val="none" w:sz="0" w:space="0" w:color="auto"/>
        <w:left w:val="none" w:sz="0" w:space="0" w:color="auto"/>
        <w:bottom w:val="none" w:sz="0" w:space="0" w:color="auto"/>
        <w:right w:val="none" w:sz="0" w:space="0" w:color="auto"/>
      </w:divBdr>
    </w:div>
    <w:div w:id="1089620281">
      <w:bodyDiv w:val="1"/>
      <w:marLeft w:val="0"/>
      <w:marRight w:val="0"/>
      <w:marTop w:val="0"/>
      <w:marBottom w:val="0"/>
      <w:divBdr>
        <w:top w:val="none" w:sz="0" w:space="0" w:color="auto"/>
        <w:left w:val="none" w:sz="0" w:space="0" w:color="auto"/>
        <w:bottom w:val="none" w:sz="0" w:space="0" w:color="auto"/>
        <w:right w:val="none" w:sz="0" w:space="0" w:color="auto"/>
      </w:divBdr>
    </w:div>
    <w:div w:id="1100367838">
      <w:bodyDiv w:val="1"/>
      <w:marLeft w:val="0"/>
      <w:marRight w:val="0"/>
      <w:marTop w:val="0"/>
      <w:marBottom w:val="0"/>
      <w:divBdr>
        <w:top w:val="none" w:sz="0" w:space="0" w:color="auto"/>
        <w:left w:val="none" w:sz="0" w:space="0" w:color="auto"/>
        <w:bottom w:val="none" w:sz="0" w:space="0" w:color="auto"/>
        <w:right w:val="none" w:sz="0" w:space="0" w:color="auto"/>
      </w:divBdr>
    </w:div>
    <w:div w:id="1152792478">
      <w:bodyDiv w:val="1"/>
      <w:marLeft w:val="0"/>
      <w:marRight w:val="0"/>
      <w:marTop w:val="0"/>
      <w:marBottom w:val="0"/>
      <w:divBdr>
        <w:top w:val="none" w:sz="0" w:space="0" w:color="auto"/>
        <w:left w:val="none" w:sz="0" w:space="0" w:color="auto"/>
        <w:bottom w:val="none" w:sz="0" w:space="0" w:color="auto"/>
        <w:right w:val="none" w:sz="0" w:space="0" w:color="auto"/>
      </w:divBdr>
    </w:div>
    <w:div w:id="1153788705">
      <w:bodyDiv w:val="1"/>
      <w:marLeft w:val="0"/>
      <w:marRight w:val="0"/>
      <w:marTop w:val="0"/>
      <w:marBottom w:val="0"/>
      <w:divBdr>
        <w:top w:val="none" w:sz="0" w:space="0" w:color="auto"/>
        <w:left w:val="none" w:sz="0" w:space="0" w:color="auto"/>
        <w:bottom w:val="none" w:sz="0" w:space="0" w:color="auto"/>
        <w:right w:val="none" w:sz="0" w:space="0" w:color="auto"/>
      </w:divBdr>
    </w:div>
    <w:div w:id="1160773719">
      <w:bodyDiv w:val="1"/>
      <w:marLeft w:val="0"/>
      <w:marRight w:val="0"/>
      <w:marTop w:val="0"/>
      <w:marBottom w:val="0"/>
      <w:divBdr>
        <w:top w:val="none" w:sz="0" w:space="0" w:color="auto"/>
        <w:left w:val="none" w:sz="0" w:space="0" w:color="auto"/>
        <w:bottom w:val="none" w:sz="0" w:space="0" w:color="auto"/>
        <w:right w:val="none" w:sz="0" w:space="0" w:color="auto"/>
      </w:divBdr>
    </w:div>
    <w:div w:id="1172645560">
      <w:bodyDiv w:val="1"/>
      <w:marLeft w:val="0"/>
      <w:marRight w:val="0"/>
      <w:marTop w:val="0"/>
      <w:marBottom w:val="0"/>
      <w:divBdr>
        <w:top w:val="none" w:sz="0" w:space="0" w:color="auto"/>
        <w:left w:val="none" w:sz="0" w:space="0" w:color="auto"/>
        <w:bottom w:val="none" w:sz="0" w:space="0" w:color="auto"/>
        <w:right w:val="none" w:sz="0" w:space="0" w:color="auto"/>
      </w:divBdr>
    </w:div>
    <w:div w:id="1181892168">
      <w:bodyDiv w:val="1"/>
      <w:marLeft w:val="0"/>
      <w:marRight w:val="0"/>
      <w:marTop w:val="0"/>
      <w:marBottom w:val="0"/>
      <w:divBdr>
        <w:top w:val="none" w:sz="0" w:space="0" w:color="auto"/>
        <w:left w:val="none" w:sz="0" w:space="0" w:color="auto"/>
        <w:bottom w:val="none" w:sz="0" w:space="0" w:color="auto"/>
        <w:right w:val="none" w:sz="0" w:space="0" w:color="auto"/>
      </w:divBdr>
    </w:div>
    <w:div w:id="1190026133">
      <w:bodyDiv w:val="1"/>
      <w:marLeft w:val="0"/>
      <w:marRight w:val="0"/>
      <w:marTop w:val="0"/>
      <w:marBottom w:val="0"/>
      <w:divBdr>
        <w:top w:val="none" w:sz="0" w:space="0" w:color="auto"/>
        <w:left w:val="none" w:sz="0" w:space="0" w:color="auto"/>
        <w:bottom w:val="none" w:sz="0" w:space="0" w:color="auto"/>
        <w:right w:val="none" w:sz="0" w:space="0" w:color="auto"/>
      </w:divBdr>
    </w:div>
    <w:div w:id="1204177098">
      <w:bodyDiv w:val="1"/>
      <w:marLeft w:val="0"/>
      <w:marRight w:val="0"/>
      <w:marTop w:val="0"/>
      <w:marBottom w:val="0"/>
      <w:divBdr>
        <w:top w:val="none" w:sz="0" w:space="0" w:color="auto"/>
        <w:left w:val="none" w:sz="0" w:space="0" w:color="auto"/>
        <w:bottom w:val="none" w:sz="0" w:space="0" w:color="auto"/>
        <w:right w:val="none" w:sz="0" w:space="0" w:color="auto"/>
      </w:divBdr>
    </w:div>
    <w:div w:id="1204635630">
      <w:bodyDiv w:val="1"/>
      <w:marLeft w:val="0"/>
      <w:marRight w:val="0"/>
      <w:marTop w:val="0"/>
      <w:marBottom w:val="0"/>
      <w:divBdr>
        <w:top w:val="none" w:sz="0" w:space="0" w:color="auto"/>
        <w:left w:val="none" w:sz="0" w:space="0" w:color="auto"/>
        <w:bottom w:val="none" w:sz="0" w:space="0" w:color="auto"/>
        <w:right w:val="none" w:sz="0" w:space="0" w:color="auto"/>
      </w:divBdr>
    </w:div>
    <w:div w:id="1231160398">
      <w:bodyDiv w:val="1"/>
      <w:marLeft w:val="0"/>
      <w:marRight w:val="0"/>
      <w:marTop w:val="0"/>
      <w:marBottom w:val="0"/>
      <w:divBdr>
        <w:top w:val="none" w:sz="0" w:space="0" w:color="auto"/>
        <w:left w:val="none" w:sz="0" w:space="0" w:color="auto"/>
        <w:bottom w:val="none" w:sz="0" w:space="0" w:color="auto"/>
        <w:right w:val="none" w:sz="0" w:space="0" w:color="auto"/>
      </w:divBdr>
    </w:div>
    <w:div w:id="1240167967">
      <w:bodyDiv w:val="1"/>
      <w:marLeft w:val="0"/>
      <w:marRight w:val="0"/>
      <w:marTop w:val="0"/>
      <w:marBottom w:val="0"/>
      <w:divBdr>
        <w:top w:val="none" w:sz="0" w:space="0" w:color="auto"/>
        <w:left w:val="none" w:sz="0" w:space="0" w:color="auto"/>
        <w:bottom w:val="none" w:sz="0" w:space="0" w:color="auto"/>
        <w:right w:val="none" w:sz="0" w:space="0" w:color="auto"/>
      </w:divBdr>
    </w:div>
    <w:div w:id="1278953395">
      <w:bodyDiv w:val="1"/>
      <w:marLeft w:val="0"/>
      <w:marRight w:val="0"/>
      <w:marTop w:val="0"/>
      <w:marBottom w:val="0"/>
      <w:divBdr>
        <w:top w:val="none" w:sz="0" w:space="0" w:color="auto"/>
        <w:left w:val="none" w:sz="0" w:space="0" w:color="auto"/>
        <w:bottom w:val="none" w:sz="0" w:space="0" w:color="auto"/>
        <w:right w:val="none" w:sz="0" w:space="0" w:color="auto"/>
      </w:divBdr>
    </w:div>
    <w:div w:id="1306933002">
      <w:bodyDiv w:val="1"/>
      <w:marLeft w:val="0"/>
      <w:marRight w:val="0"/>
      <w:marTop w:val="0"/>
      <w:marBottom w:val="0"/>
      <w:divBdr>
        <w:top w:val="none" w:sz="0" w:space="0" w:color="auto"/>
        <w:left w:val="none" w:sz="0" w:space="0" w:color="auto"/>
        <w:bottom w:val="none" w:sz="0" w:space="0" w:color="auto"/>
        <w:right w:val="none" w:sz="0" w:space="0" w:color="auto"/>
      </w:divBdr>
    </w:div>
    <w:div w:id="1319185853">
      <w:bodyDiv w:val="1"/>
      <w:marLeft w:val="0"/>
      <w:marRight w:val="0"/>
      <w:marTop w:val="0"/>
      <w:marBottom w:val="0"/>
      <w:divBdr>
        <w:top w:val="none" w:sz="0" w:space="0" w:color="auto"/>
        <w:left w:val="none" w:sz="0" w:space="0" w:color="auto"/>
        <w:bottom w:val="none" w:sz="0" w:space="0" w:color="auto"/>
        <w:right w:val="none" w:sz="0" w:space="0" w:color="auto"/>
      </w:divBdr>
    </w:div>
    <w:div w:id="1322735786">
      <w:bodyDiv w:val="1"/>
      <w:marLeft w:val="0"/>
      <w:marRight w:val="0"/>
      <w:marTop w:val="0"/>
      <w:marBottom w:val="0"/>
      <w:divBdr>
        <w:top w:val="none" w:sz="0" w:space="0" w:color="auto"/>
        <w:left w:val="none" w:sz="0" w:space="0" w:color="auto"/>
        <w:bottom w:val="none" w:sz="0" w:space="0" w:color="auto"/>
        <w:right w:val="none" w:sz="0" w:space="0" w:color="auto"/>
      </w:divBdr>
    </w:div>
    <w:div w:id="1325820466">
      <w:bodyDiv w:val="1"/>
      <w:marLeft w:val="0"/>
      <w:marRight w:val="0"/>
      <w:marTop w:val="0"/>
      <w:marBottom w:val="0"/>
      <w:divBdr>
        <w:top w:val="none" w:sz="0" w:space="0" w:color="auto"/>
        <w:left w:val="none" w:sz="0" w:space="0" w:color="auto"/>
        <w:bottom w:val="none" w:sz="0" w:space="0" w:color="auto"/>
        <w:right w:val="none" w:sz="0" w:space="0" w:color="auto"/>
      </w:divBdr>
    </w:div>
    <w:div w:id="1326280768">
      <w:bodyDiv w:val="1"/>
      <w:marLeft w:val="0"/>
      <w:marRight w:val="0"/>
      <w:marTop w:val="0"/>
      <w:marBottom w:val="0"/>
      <w:divBdr>
        <w:top w:val="none" w:sz="0" w:space="0" w:color="auto"/>
        <w:left w:val="none" w:sz="0" w:space="0" w:color="auto"/>
        <w:bottom w:val="none" w:sz="0" w:space="0" w:color="auto"/>
        <w:right w:val="none" w:sz="0" w:space="0" w:color="auto"/>
      </w:divBdr>
    </w:div>
    <w:div w:id="1364792391">
      <w:bodyDiv w:val="1"/>
      <w:marLeft w:val="0"/>
      <w:marRight w:val="0"/>
      <w:marTop w:val="0"/>
      <w:marBottom w:val="0"/>
      <w:divBdr>
        <w:top w:val="none" w:sz="0" w:space="0" w:color="auto"/>
        <w:left w:val="none" w:sz="0" w:space="0" w:color="auto"/>
        <w:bottom w:val="none" w:sz="0" w:space="0" w:color="auto"/>
        <w:right w:val="none" w:sz="0" w:space="0" w:color="auto"/>
      </w:divBdr>
    </w:div>
    <w:div w:id="1377310545">
      <w:bodyDiv w:val="1"/>
      <w:marLeft w:val="0"/>
      <w:marRight w:val="0"/>
      <w:marTop w:val="0"/>
      <w:marBottom w:val="0"/>
      <w:divBdr>
        <w:top w:val="none" w:sz="0" w:space="0" w:color="auto"/>
        <w:left w:val="none" w:sz="0" w:space="0" w:color="auto"/>
        <w:bottom w:val="none" w:sz="0" w:space="0" w:color="auto"/>
        <w:right w:val="none" w:sz="0" w:space="0" w:color="auto"/>
      </w:divBdr>
    </w:div>
    <w:div w:id="1378702897">
      <w:bodyDiv w:val="1"/>
      <w:marLeft w:val="0"/>
      <w:marRight w:val="0"/>
      <w:marTop w:val="0"/>
      <w:marBottom w:val="0"/>
      <w:divBdr>
        <w:top w:val="none" w:sz="0" w:space="0" w:color="auto"/>
        <w:left w:val="none" w:sz="0" w:space="0" w:color="auto"/>
        <w:bottom w:val="none" w:sz="0" w:space="0" w:color="auto"/>
        <w:right w:val="none" w:sz="0" w:space="0" w:color="auto"/>
      </w:divBdr>
    </w:div>
    <w:div w:id="1381393934">
      <w:bodyDiv w:val="1"/>
      <w:marLeft w:val="0"/>
      <w:marRight w:val="0"/>
      <w:marTop w:val="0"/>
      <w:marBottom w:val="0"/>
      <w:divBdr>
        <w:top w:val="none" w:sz="0" w:space="0" w:color="auto"/>
        <w:left w:val="none" w:sz="0" w:space="0" w:color="auto"/>
        <w:bottom w:val="none" w:sz="0" w:space="0" w:color="auto"/>
        <w:right w:val="none" w:sz="0" w:space="0" w:color="auto"/>
      </w:divBdr>
    </w:div>
    <w:div w:id="1399210977">
      <w:bodyDiv w:val="1"/>
      <w:marLeft w:val="0"/>
      <w:marRight w:val="0"/>
      <w:marTop w:val="0"/>
      <w:marBottom w:val="0"/>
      <w:divBdr>
        <w:top w:val="none" w:sz="0" w:space="0" w:color="auto"/>
        <w:left w:val="none" w:sz="0" w:space="0" w:color="auto"/>
        <w:bottom w:val="none" w:sz="0" w:space="0" w:color="auto"/>
        <w:right w:val="none" w:sz="0" w:space="0" w:color="auto"/>
      </w:divBdr>
    </w:div>
    <w:div w:id="1466191257">
      <w:bodyDiv w:val="1"/>
      <w:marLeft w:val="0"/>
      <w:marRight w:val="0"/>
      <w:marTop w:val="0"/>
      <w:marBottom w:val="0"/>
      <w:divBdr>
        <w:top w:val="none" w:sz="0" w:space="0" w:color="auto"/>
        <w:left w:val="none" w:sz="0" w:space="0" w:color="auto"/>
        <w:bottom w:val="none" w:sz="0" w:space="0" w:color="auto"/>
        <w:right w:val="none" w:sz="0" w:space="0" w:color="auto"/>
      </w:divBdr>
    </w:div>
    <w:div w:id="1479611540">
      <w:bodyDiv w:val="1"/>
      <w:marLeft w:val="0"/>
      <w:marRight w:val="0"/>
      <w:marTop w:val="0"/>
      <w:marBottom w:val="0"/>
      <w:divBdr>
        <w:top w:val="none" w:sz="0" w:space="0" w:color="auto"/>
        <w:left w:val="none" w:sz="0" w:space="0" w:color="auto"/>
        <w:bottom w:val="none" w:sz="0" w:space="0" w:color="auto"/>
        <w:right w:val="none" w:sz="0" w:space="0" w:color="auto"/>
      </w:divBdr>
    </w:div>
    <w:div w:id="1521774744">
      <w:bodyDiv w:val="1"/>
      <w:marLeft w:val="0"/>
      <w:marRight w:val="0"/>
      <w:marTop w:val="0"/>
      <w:marBottom w:val="0"/>
      <w:divBdr>
        <w:top w:val="none" w:sz="0" w:space="0" w:color="auto"/>
        <w:left w:val="none" w:sz="0" w:space="0" w:color="auto"/>
        <w:bottom w:val="none" w:sz="0" w:space="0" w:color="auto"/>
        <w:right w:val="none" w:sz="0" w:space="0" w:color="auto"/>
      </w:divBdr>
    </w:div>
    <w:div w:id="1524325780">
      <w:bodyDiv w:val="1"/>
      <w:marLeft w:val="0"/>
      <w:marRight w:val="0"/>
      <w:marTop w:val="0"/>
      <w:marBottom w:val="0"/>
      <w:divBdr>
        <w:top w:val="none" w:sz="0" w:space="0" w:color="auto"/>
        <w:left w:val="none" w:sz="0" w:space="0" w:color="auto"/>
        <w:bottom w:val="none" w:sz="0" w:space="0" w:color="auto"/>
        <w:right w:val="none" w:sz="0" w:space="0" w:color="auto"/>
      </w:divBdr>
    </w:div>
    <w:div w:id="1530486083">
      <w:bodyDiv w:val="1"/>
      <w:marLeft w:val="0"/>
      <w:marRight w:val="0"/>
      <w:marTop w:val="0"/>
      <w:marBottom w:val="0"/>
      <w:divBdr>
        <w:top w:val="none" w:sz="0" w:space="0" w:color="auto"/>
        <w:left w:val="none" w:sz="0" w:space="0" w:color="auto"/>
        <w:bottom w:val="none" w:sz="0" w:space="0" w:color="auto"/>
        <w:right w:val="none" w:sz="0" w:space="0" w:color="auto"/>
      </w:divBdr>
    </w:div>
    <w:div w:id="1542788860">
      <w:bodyDiv w:val="1"/>
      <w:marLeft w:val="0"/>
      <w:marRight w:val="0"/>
      <w:marTop w:val="0"/>
      <w:marBottom w:val="0"/>
      <w:divBdr>
        <w:top w:val="none" w:sz="0" w:space="0" w:color="auto"/>
        <w:left w:val="none" w:sz="0" w:space="0" w:color="auto"/>
        <w:bottom w:val="none" w:sz="0" w:space="0" w:color="auto"/>
        <w:right w:val="none" w:sz="0" w:space="0" w:color="auto"/>
      </w:divBdr>
    </w:div>
    <w:div w:id="1569880110">
      <w:bodyDiv w:val="1"/>
      <w:marLeft w:val="0"/>
      <w:marRight w:val="0"/>
      <w:marTop w:val="0"/>
      <w:marBottom w:val="0"/>
      <w:divBdr>
        <w:top w:val="none" w:sz="0" w:space="0" w:color="auto"/>
        <w:left w:val="none" w:sz="0" w:space="0" w:color="auto"/>
        <w:bottom w:val="none" w:sz="0" w:space="0" w:color="auto"/>
        <w:right w:val="none" w:sz="0" w:space="0" w:color="auto"/>
      </w:divBdr>
    </w:div>
    <w:div w:id="1575092465">
      <w:bodyDiv w:val="1"/>
      <w:marLeft w:val="0"/>
      <w:marRight w:val="0"/>
      <w:marTop w:val="0"/>
      <w:marBottom w:val="0"/>
      <w:divBdr>
        <w:top w:val="none" w:sz="0" w:space="0" w:color="auto"/>
        <w:left w:val="none" w:sz="0" w:space="0" w:color="auto"/>
        <w:bottom w:val="none" w:sz="0" w:space="0" w:color="auto"/>
        <w:right w:val="none" w:sz="0" w:space="0" w:color="auto"/>
      </w:divBdr>
    </w:div>
    <w:div w:id="1585605964">
      <w:bodyDiv w:val="1"/>
      <w:marLeft w:val="0"/>
      <w:marRight w:val="0"/>
      <w:marTop w:val="0"/>
      <w:marBottom w:val="0"/>
      <w:divBdr>
        <w:top w:val="none" w:sz="0" w:space="0" w:color="auto"/>
        <w:left w:val="none" w:sz="0" w:space="0" w:color="auto"/>
        <w:bottom w:val="none" w:sz="0" w:space="0" w:color="auto"/>
        <w:right w:val="none" w:sz="0" w:space="0" w:color="auto"/>
      </w:divBdr>
    </w:div>
    <w:div w:id="1608536497">
      <w:bodyDiv w:val="1"/>
      <w:marLeft w:val="0"/>
      <w:marRight w:val="0"/>
      <w:marTop w:val="0"/>
      <w:marBottom w:val="0"/>
      <w:divBdr>
        <w:top w:val="none" w:sz="0" w:space="0" w:color="auto"/>
        <w:left w:val="none" w:sz="0" w:space="0" w:color="auto"/>
        <w:bottom w:val="none" w:sz="0" w:space="0" w:color="auto"/>
        <w:right w:val="none" w:sz="0" w:space="0" w:color="auto"/>
      </w:divBdr>
    </w:div>
    <w:div w:id="1618679586">
      <w:bodyDiv w:val="1"/>
      <w:marLeft w:val="0"/>
      <w:marRight w:val="0"/>
      <w:marTop w:val="0"/>
      <w:marBottom w:val="0"/>
      <w:divBdr>
        <w:top w:val="none" w:sz="0" w:space="0" w:color="auto"/>
        <w:left w:val="none" w:sz="0" w:space="0" w:color="auto"/>
        <w:bottom w:val="none" w:sz="0" w:space="0" w:color="auto"/>
        <w:right w:val="none" w:sz="0" w:space="0" w:color="auto"/>
      </w:divBdr>
    </w:div>
    <w:div w:id="1636182901">
      <w:bodyDiv w:val="1"/>
      <w:marLeft w:val="0"/>
      <w:marRight w:val="0"/>
      <w:marTop w:val="0"/>
      <w:marBottom w:val="0"/>
      <w:divBdr>
        <w:top w:val="none" w:sz="0" w:space="0" w:color="auto"/>
        <w:left w:val="none" w:sz="0" w:space="0" w:color="auto"/>
        <w:bottom w:val="none" w:sz="0" w:space="0" w:color="auto"/>
        <w:right w:val="none" w:sz="0" w:space="0" w:color="auto"/>
      </w:divBdr>
    </w:div>
    <w:div w:id="1650666590">
      <w:bodyDiv w:val="1"/>
      <w:marLeft w:val="0"/>
      <w:marRight w:val="0"/>
      <w:marTop w:val="0"/>
      <w:marBottom w:val="0"/>
      <w:divBdr>
        <w:top w:val="none" w:sz="0" w:space="0" w:color="auto"/>
        <w:left w:val="none" w:sz="0" w:space="0" w:color="auto"/>
        <w:bottom w:val="none" w:sz="0" w:space="0" w:color="auto"/>
        <w:right w:val="none" w:sz="0" w:space="0" w:color="auto"/>
      </w:divBdr>
    </w:div>
    <w:div w:id="1662462307">
      <w:bodyDiv w:val="1"/>
      <w:marLeft w:val="0"/>
      <w:marRight w:val="0"/>
      <w:marTop w:val="0"/>
      <w:marBottom w:val="0"/>
      <w:divBdr>
        <w:top w:val="none" w:sz="0" w:space="0" w:color="auto"/>
        <w:left w:val="none" w:sz="0" w:space="0" w:color="auto"/>
        <w:bottom w:val="none" w:sz="0" w:space="0" w:color="auto"/>
        <w:right w:val="none" w:sz="0" w:space="0" w:color="auto"/>
      </w:divBdr>
    </w:div>
    <w:div w:id="1663772555">
      <w:bodyDiv w:val="1"/>
      <w:marLeft w:val="0"/>
      <w:marRight w:val="0"/>
      <w:marTop w:val="0"/>
      <w:marBottom w:val="0"/>
      <w:divBdr>
        <w:top w:val="none" w:sz="0" w:space="0" w:color="auto"/>
        <w:left w:val="none" w:sz="0" w:space="0" w:color="auto"/>
        <w:bottom w:val="none" w:sz="0" w:space="0" w:color="auto"/>
        <w:right w:val="none" w:sz="0" w:space="0" w:color="auto"/>
      </w:divBdr>
    </w:div>
    <w:div w:id="1678581846">
      <w:bodyDiv w:val="1"/>
      <w:marLeft w:val="0"/>
      <w:marRight w:val="0"/>
      <w:marTop w:val="0"/>
      <w:marBottom w:val="0"/>
      <w:divBdr>
        <w:top w:val="none" w:sz="0" w:space="0" w:color="auto"/>
        <w:left w:val="none" w:sz="0" w:space="0" w:color="auto"/>
        <w:bottom w:val="none" w:sz="0" w:space="0" w:color="auto"/>
        <w:right w:val="none" w:sz="0" w:space="0" w:color="auto"/>
      </w:divBdr>
    </w:div>
    <w:div w:id="1683899564">
      <w:bodyDiv w:val="1"/>
      <w:marLeft w:val="0"/>
      <w:marRight w:val="0"/>
      <w:marTop w:val="0"/>
      <w:marBottom w:val="0"/>
      <w:divBdr>
        <w:top w:val="none" w:sz="0" w:space="0" w:color="auto"/>
        <w:left w:val="none" w:sz="0" w:space="0" w:color="auto"/>
        <w:bottom w:val="none" w:sz="0" w:space="0" w:color="auto"/>
        <w:right w:val="none" w:sz="0" w:space="0" w:color="auto"/>
      </w:divBdr>
    </w:div>
    <w:div w:id="1688754212">
      <w:bodyDiv w:val="1"/>
      <w:marLeft w:val="0"/>
      <w:marRight w:val="0"/>
      <w:marTop w:val="0"/>
      <w:marBottom w:val="0"/>
      <w:divBdr>
        <w:top w:val="none" w:sz="0" w:space="0" w:color="auto"/>
        <w:left w:val="none" w:sz="0" w:space="0" w:color="auto"/>
        <w:bottom w:val="none" w:sz="0" w:space="0" w:color="auto"/>
        <w:right w:val="none" w:sz="0" w:space="0" w:color="auto"/>
      </w:divBdr>
    </w:div>
    <w:div w:id="1691180632">
      <w:bodyDiv w:val="1"/>
      <w:marLeft w:val="0"/>
      <w:marRight w:val="0"/>
      <w:marTop w:val="0"/>
      <w:marBottom w:val="0"/>
      <w:divBdr>
        <w:top w:val="none" w:sz="0" w:space="0" w:color="auto"/>
        <w:left w:val="none" w:sz="0" w:space="0" w:color="auto"/>
        <w:bottom w:val="none" w:sz="0" w:space="0" w:color="auto"/>
        <w:right w:val="none" w:sz="0" w:space="0" w:color="auto"/>
      </w:divBdr>
    </w:div>
    <w:div w:id="1691760850">
      <w:bodyDiv w:val="1"/>
      <w:marLeft w:val="0"/>
      <w:marRight w:val="0"/>
      <w:marTop w:val="0"/>
      <w:marBottom w:val="0"/>
      <w:divBdr>
        <w:top w:val="none" w:sz="0" w:space="0" w:color="auto"/>
        <w:left w:val="none" w:sz="0" w:space="0" w:color="auto"/>
        <w:bottom w:val="none" w:sz="0" w:space="0" w:color="auto"/>
        <w:right w:val="none" w:sz="0" w:space="0" w:color="auto"/>
      </w:divBdr>
      <w:divsChild>
        <w:div w:id="294872017">
          <w:marLeft w:val="0"/>
          <w:marRight w:val="0"/>
          <w:marTop w:val="0"/>
          <w:marBottom w:val="0"/>
          <w:divBdr>
            <w:top w:val="none" w:sz="0" w:space="0" w:color="auto"/>
            <w:left w:val="none" w:sz="0" w:space="0" w:color="auto"/>
            <w:bottom w:val="none" w:sz="0" w:space="0" w:color="auto"/>
            <w:right w:val="none" w:sz="0" w:space="0" w:color="auto"/>
          </w:divBdr>
          <w:divsChild>
            <w:div w:id="1732146298">
              <w:marLeft w:val="0"/>
              <w:marRight w:val="0"/>
              <w:marTop w:val="0"/>
              <w:marBottom w:val="0"/>
              <w:divBdr>
                <w:top w:val="none" w:sz="0" w:space="0" w:color="auto"/>
                <w:left w:val="none" w:sz="0" w:space="0" w:color="auto"/>
                <w:bottom w:val="none" w:sz="0" w:space="0" w:color="auto"/>
                <w:right w:val="none" w:sz="0" w:space="0" w:color="auto"/>
              </w:divBdr>
              <w:divsChild>
                <w:div w:id="677276248">
                  <w:marLeft w:val="0"/>
                  <w:marRight w:val="0"/>
                  <w:marTop w:val="0"/>
                  <w:marBottom w:val="0"/>
                  <w:divBdr>
                    <w:top w:val="none" w:sz="0" w:space="0" w:color="auto"/>
                    <w:left w:val="none" w:sz="0" w:space="0" w:color="auto"/>
                    <w:bottom w:val="none" w:sz="0" w:space="0" w:color="auto"/>
                    <w:right w:val="none" w:sz="0" w:space="0" w:color="auto"/>
                  </w:divBdr>
                  <w:divsChild>
                    <w:div w:id="1058626567">
                      <w:marLeft w:val="0"/>
                      <w:marRight w:val="0"/>
                      <w:marTop w:val="0"/>
                      <w:marBottom w:val="0"/>
                      <w:divBdr>
                        <w:top w:val="none" w:sz="0" w:space="0" w:color="auto"/>
                        <w:left w:val="none" w:sz="0" w:space="0" w:color="auto"/>
                        <w:bottom w:val="none" w:sz="0" w:space="0" w:color="auto"/>
                        <w:right w:val="none" w:sz="0" w:space="0" w:color="auto"/>
                      </w:divBdr>
                      <w:divsChild>
                        <w:div w:id="248347655">
                          <w:marLeft w:val="300"/>
                          <w:marRight w:val="0"/>
                          <w:marTop w:val="0"/>
                          <w:marBottom w:val="0"/>
                          <w:divBdr>
                            <w:top w:val="none" w:sz="0" w:space="0" w:color="auto"/>
                            <w:left w:val="single" w:sz="6" w:space="0" w:color="CCCED7"/>
                            <w:bottom w:val="none" w:sz="0" w:space="0" w:color="auto"/>
                            <w:right w:val="single" w:sz="6" w:space="15" w:color="CCCED7"/>
                          </w:divBdr>
                          <w:divsChild>
                            <w:div w:id="952858156">
                              <w:marLeft w:val="0"/>
                              <w:marRight w:val="0"/>
                              <w:marTop w:val="0"/>
                              <w:marBottom w:val="0"/>
                              <w:divBdr>
                                <w:top w:val="none" w:sz="0" w:space="0" w:color="auto"/>
                                <w:left w:val="none" w:sz="0" w:space="0" w:color="auto"/>
                                <w:bottom w:val="none" w:sz="0" w:space="0" w:color="auto"/>
                                <w:right w:val="none" w:sz="0" w:space="0" w:color="auto"/>
                              </w:divBdr>
                              <w:divsChild>
                                <w:div w:id="441607900">
                                  <w:marLeft w:val="0"/>
                                  <w:marRight w:val="0"/>
                                  <w:marTop w:val="0"/>
                                  <w:marBottom w:val="0"/>
                                  <w:divBdr>
                                    <w:top w:val="none" w:sz="0" w:space="0" w:color="auto"/>
                                    <w:left w:val="none" w:sz="0" w:space="0" w:color="auto"/>
                                    <w:bottom w:val="none" w:sz="0" w:space="0" w:color="auto"/>
                                    <w:right w:val="none" w:sz="0" w:space="0" w:color="auto"/>
                                  </w:divBdr>
                                  <w:divsChild>
                                    <w:div w:id="1000498170">
                                      <w:marLeft w:val="0"/>
                                      <w:marRight w:val="0"/>
                                      <w:marTop w:val="0"/>
                                      <w:marBottom w:val="0"/>
                                      <w:divBdr>
                                        <w:top w:val="none" w:sz="0" w:space="0" w:color="auto"/>
                                        <w:left w:val="none" w:sz="0" w:space="0" w:color="auto"/>
                                        <w:bottom w:val="none" w:sz="0" w:space="0" w:color="auto"/>
                                        <w:right w:val="none" w:sz="0" w:space="0" w:color="auto"/>
                                      </w:divBdr>
                                      <w:divsChild>
                                        <w:div w:id="2056347516">
                                          <w:marLeft w:val="0"/>
                                          <w:marRight w:val="0"/>
                                          <w:marTop w:val="0"/>
                                          <w:marBottom w:val="0"/>
                                          <w:divBdr>
                                            <w:top w:val="none" w:sz="0" w:space="0" w:color="auto"/>
                                            <w:left w:val="none" w:sz="0" w:space="0" w:color="auto"/>
                                            <w:bottom w:val="none" w:sz="0" w:space="0" w:color="auto"/>
                                            <w:right w:val="none" w:sz="0" w:space="0" w:color="auto"/>
                                          </w:divBdr>
                                          <w:divsChild>
                                            <w:div w:id="95907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6060719">
      <w:bodyDiv w:val="1"/>
      <w:marLeft w:val="0"/>
      <w:marRight w:val="0"/>
      <w:marTop w:val="0"/>
      <w:marBottom w:val="0"/>
      <w:divBdr>
        <w:top w:val="none" w:sz="0" w:space="0" w:color="auto"/>
        <w:left w:val="none" w:sz="0" w:space="0" w:color="auto"/>
        <w:bottom w:val="none" w:sz="0" w:space="0" w:color="auto"/>
        <w:right w:val="none" w:sz="0" w:space="0" w:color="auto"/>
      </w:divBdr>
    </w:div>
    <w:div w:id="1722943051">
      <w:bodyDiv w:val="1"/>
      <w:marLeft w:val="0"/>
      <w:marRight w:val="0"/>
      <w:marTop w:val="0"/>
      <w:marBottom w:val="0"/>
      <w:divBdr>
        <w:top w:val="none" w:sz="0" w:space="0" w:color="auto"/>
        <w:left w:val="none" w:sz="0" w:space="0" w:color="auto"/>
        <w:bottom w:val="none" w:sz="0" w:space="0" w:color="auto"/>
        <w:right w:val="none" w:sz="0" w:space="0" w:color="auto"/>
      </w:divBdr>
      <w:divsChild>
        <w:div w:id="509293557">
          <w:marLeft w:val="0"/>
          <w:marRight w:val="0"/>
          <w:marTop w:val="0"/>
          <w:marBottom w:val="0"/>
          <w:divBdr>
            <w:top w:val="none" w:sz="0" w:space="0" w:color="auto"/>
            <w:left w:val="none" w:sz="0" w:space="0" w:color="auto"/>
            <w:bottom w:val="none" w:sz="0" w:space="0" w:color="auto"/>
            <w:right w:val="none" w:sz="0" w:space="0" w:color="auto"/>
          </w:divBdr>
          <w:divsChild>
            <w:div w:id="992371436">
              <w:marLeft w:val="0"/>
              <w:marRight w:val="0"/>
              <w:marTop w:val="0"/>
              <w:marBottom w:val="0"/>
              <w:divBdr>
                <w:top w:val="none" w:sz="0" w:space="0" w:color="auto"/>
                <w:left w:val="none" w:sz="0" w:space="0" w:color="auto"/>
                <w:bottom w:val="none" w:sz="0" w:space="0" w:color="auto"/>
                <w:right w:val="none" w:sz="0" w:space="0" w:color="auto"/>
              </w:divBdr>
              <w:divsChild>
                <w:div w:id="1163663680">
                  <w:marLeft w:val="0"/>
                  <w:marRight w:val="0"/>
                  <w:marTop w:val="0"/>
                  <w:marBottom w:val="0"/>
                  <w:divBdr>
                    <w:top w:val="none" w:sz="0" w:space="0" w:color="auto"/>
                    <w:left w:val="none" w:sz="0" w:space="0" w:color="auto"/>
                    <w:bottom w:val="none" w:sz="0" w:space="0" w:color="auto"/>
                    <w:right w:val="none" w:sz="0" w:space="0" w:color="auto"/>
                  </w:divBdr>
                  <w:divsChild>
                    <w:div w:id="43068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7819709">
      <w:bodyDiv w:val="1"/>
      <w:marLeft w:val="0"/>
      <w:marRight w:val="0"/>
      <w:marTop w:val="0"/>
      <w:marBottom w:val="0"/>
      <w:divBdr>
        <w:top w:val="none" w:sz="0" w:space="0" w:color="auto"/>
        <w:left w:val="none" w:sz="0" w:space="0" w:color="auto"/>
        <w:bottom w:val="none" w:sz="0" w:space="0" w:color="auto"/>
        <w:right w:val="none" w:sz="0" w:space="0" w:color="auto"/>
      </w:divBdr>
    </w:div>
    <w:div w:id="1741828067">
      <w:bodyDiv w:val="1"/>
      <w:marLeft w:val="0"/>
      <w:marRight w:val="0"/>
      <w:marTop w:val="0"/>
      <w:marBottom w:val="0"/>
      <w:divBdr>
        <w:top w:val="none" w:sz="0" w:space="0" w:color="auto"/>
        <w:left w:val="none" w:sz="0" w:space="0" w:color="auto"/>
        <w:bottom w:val="none" w:sz="0" w:space="0" w:color="auto"/>
        <w:right w:val="none" w:sz="0" w:space="0" w:color="auto"/>
      </w:divBdr>
    </w:div>
    <w:div w:id="1765032282">
      <w:bodyDiv w:val="1"/>
      <w:marLeft w:val="0"/>
      <w:marRight w:val="0"/>
      <w:marTop w:val="0"/>
      <w:marBottom w:val="0"/>
      <w:divBdr>
        <w:top w:val="none" w:sz="0" w:space="0" w:color="auto"/>
        <w:left w:val="none" w:sz="0" w:space="0" w:color="auto"/>
        <w:bottom w:val="none" w:sz="0" w:space="0" w:color="auto"/>
        <w:right w:val="none" w:sz="0" w:space="0" w:color="auto"/>
      </w:divBdr>
    </w:div>
    <w:div w:id="1771121300">
      <w:bodyDiv w:val="1"/>
      <w:marLeft w:val="0"/>
      <w:marRight w:val="0"/>
      <w:marTop w:val="0"/>
      <w:marBottom w:val="0"/>
      <w:divBdr>
        <w:top w:val="none" w:sz="0" w:space="0" w:color="auto"/>
        <w:left w:val="none" w:sz="0" w:space="0" w:color="auto"/>
        <w:bottom w:val="none" w:sz="0" w:space="0" w:color="auto"/>
        <w:right w:val="none" w:sz="0" w:space="0" w:color="auto"/>
      </w:divBdr>
    </w:div>
    <w:div w:id="1771243379">
      <w:bodyDiv w:val="1"/>
      <w:marLeft w:val="0"/>
      <w:marRight w:val="0"/>
      <w:marTop w:val="0"/>
      <w:marBottom w:val="0"/>
      <w:divBdr>
        <w:top w:val="none" w:sz="0" w:space="0" w:color="auto"/>
        <w:left w:val="none" w:sz="0" w:space="0" w:color="auto"/>
        <w:bottom w:val="none" w:sz="0" w:space="0" w:color="auto"/>
        <w:right w:val="none" w:sz="0" w:space="0" w:color="auto"/>
      </w:divBdr>
    </w:div>
    <w:div w:id="1771513222">
      <w:bodyDiv w:val="1"/>
      <w:marLeft w:val="0"/>
      <w:marRight w:val="0"/>
      <w:marTop w:val="0"/>
      <w:marBottom w:val="0"/>
      <w:divBdr>
        <w:top w:val="none" w:sz="0" w:space="0" w:color="auto"/>
        <w:left w:val="none" w:sz="0" w:space="0" w:color="auto"/>
        <w:bottom w:val="none" w:sz="0" w:space="0" w:color="auto"/>
        <w:right w:val="none" w:sz="0" w:space="0" w:color="auto"/>
      </w:divBdr>
    </w:div>
    <w:div w:id="1774398892">
      <w:bodyDiv w:val="1"/>
      <w:marLeft w:val="0"/>
      <w:marRight w:val="0"/>
      <w:marTop w:val="0"/>
      <w:marBottom w:val="0"/>
      <w:divBdr>
        <w:top w:val="none" w:sz="0" w:space="0" w:color="auto"/>
        <w:left w:val="none" w:sz="0" w:space="0" w:color="auto"/>
        <w:bottom w:val="none" w:sz="0" w:space="0" w:color="auto"/>
        <w:right w:val="none" w:sz="0" w:space="0" w:color="auto"/>
      </w:divBdr>
    </w:div>
    <w:div w:id="1776512203">
      <w:bodyDiv w:val="1"/>
      <w:marLeft w:val="0"/>
      <w:marRight w:val="0"/>
      <w:marTop w:val="0"/>
      <w:marBottom w:val="0"/>
      <w:divBdr>
        <w:top w:val="none" w:sz="0" w:space="0" w:color="auto"/>
        <w:left w:val="none" w:sz="0" w:space="0" w:color="auto"/>
        <w:bottom w:val="none" w:sz="0" w:space="0" w:color="auto"/>
        <w:right w:val="none" w:sz="0" w:space="0" w:color="auto"/>
      </w:divBdr>
    </w:div>
    <w:div w:id="1779257821">
      <w:bodyDiv w:val="1"/>
      <w:marLeft w:val="0"/>
      <w:marRight w:val="0"/>
      <w:marTop w:val="0"/>
      <w:marBottom w:val="0"/>
      <w:divBdr>
        <w:top w:val="none" w:sz="0" w:space="0" w:color="auto"/>
        <w:left w:val="none" w:sz="0" w:space="0" w:color="auto"/>
        <w:bottom w:val="none" w:sz="0" w:space="0" w:color="auto"/>
        <w:right w:val="none" w:sz="0" w:space="0" w:color="auto"/>
      </w:divBdr>
    </w:div>
    <w:div w:id="1784887523">
      <w:bodyDiv w:val="1"/>
      <w:marLeft w:val="0"/>
      <w:marRight w:val="0"/>
      <w:marTop w:val="0"/>
      <w:marBottom w:val="0"/>
      <w:divBdr>
        <w:top w:val="none" w:sz="0" w:space="0" w:color="auto"/>
        <w:left w:val="none" w:sz="0" w:space="0" w:color="auto"/>
        <w:bottom w:val="none" w:sz="0" w:space="0" w:color="auto"/>
        <w:right w:val="none" w:sz="0" w:space="0" w:color="auto"/>
      </w:divBdr>
    </w:div>
    <w:div w:id="1796171002">
      <w:bodyDiv w:val="1"/>
      <w:marLeft w:val="0"/>
      <w:marRight w:val="0"/>
      <w:marTop w:val="0"/>
      <w:marBottom w:val="0"/>
      <w:divBdr>
        <w:top w:val="none" w:sz="0" w:space="0" w:color="auto"/>
        <w:left w:val="none" w:sz="0" w:space="0" w:color="auto"/>
        <w:bottom w:val="none" w:sz="0" w:space="0" w:color="auto"/>
        <w:right w:val="none" w:sz="0" w:space="0" w:color="auto"/>
      </w:divBdr>
    </w:div>
    <w:div w:id="1797916557">
      <w:bodyDiv w:val="1"/>
      <w:marLeft w:val="0"/>
      <w:marRight w:val="0"/>
      <w:marTop w:val="0"/>
      <w:marBottom w:val="0"/>
      <w:divBdr>
        <w:top w:val="none" w:sz="0" w:space="0" w:color="auto"/>
        <w:left w:val="none" w:sz="0" w:space="0" w:color="auto"/>
        <w:bottom w:val="none" w:sz="0" w:space="0" w:color="auto"/>
        <w:right w:val="none" w:sz="0" w:space="0" w:color="auto"/>
      </w:divBdr>
      <w:divsChild>
        <w:div w:id="2002148842">
          <w:marLeft w:val="0"/>
          <w:marRight w:val="0"/>
          <w:marTop w:val="0"/>
          <w:marBottom w:val="0"/>
          <w:divBdr>
            <w:top w:val="none" w:sz="0" w:space="0" w:color="auto"/>
            <w:left w:val="none" w:sz="0" w:space="0" w:color="auto"/>
            <w:bottom w:val="none" w:sz="0" w:space="0" w:color="auto"/>
            <w:right w:val="none" w:sz="0" w:space="0" w:color="auto"/>
          </w:divBdr>
          <w:divsChild>
            <w:div w:id="96091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265159">
      <w:bodyDiv w:val="1"/>
      <w:marLeft w:val="0"/>
      <w:marRight w:val="0"/>
      <w:marTop w:val="0"/>
      <w:marBottom w:val="0"/>
      <w:divBdr>
        <w:top w:val="none" w:sz="0" w:space="0" w:color="auto"/>
        <w:left w:val="none" w:sz="0" w:space="0" w:color="auto"/>
        <w:bottom w:val="none" w:sz="0" w:space="0" w:color="auto"/>
        <w:right w:val="none" w:sz="0" w:space="0" w:color="auto"/>
      </w:divBdr>
    </w:div>
    <w:div w:id="1822036481">
      <w:bodyDiv w:val="1"/>
      <w:marLeft w:val="0"/>
      <w:marRight w:val="0"/>
      <w:marTop w:val="0"/>
      <w:marBottom w:val="0"/>
      <w:divBdr>
        <w:top w:val="none" w:sz="0" w:space="0" w:color="auto"/>
        <w:left w:val="none" w:sz="0" w:space="0" w:color="auto"/>
        <w:bottom w:val="none" w:sz="0" w:space="0" w:color="auto"/>
        <w:right w:val="none" w:sz="0" w:space="0" w:color="auto"/>
      </w:divBdr>
    </w:div>
    <w:div w:id="1836526766">
      <w:bodyDiv w:val="1"/>
      <w:marLeft w:val="0"/>
      <w:marRight w:val="0"/>
      <w:marTop w:val="0"/>
      <w:marBottom w:val="0"/>
      <w:divBdr>
        <w:top w:val="none" w:sz="0" w:space="0" w:color="auto"/>
        <w:left w:val="none" w:sz="0" w:space="0" w:color="auto"/>
        <w:bottom w:val="none" w:sz="0" w:space="0" w:color="auto"/>
        <w:right w:val="none" w:sz="0" w:space="0" w:color="auto"/>
      </w:divBdr>
    </w:div>
    <w:div w:id="1838037135">
      <w:bodyDiv w:val="1"/>
      <w:marLeft w:val="0"/>
      <w:marRight w:val="0"/>
      <w:marTop w:val="0"/>
      <w:marBottom w:val="0"/>
      <w:divBdr>
        <w:top w:val="none" w:sz="0" w:space="0" w:color="auto"/>
        <w:left w:val="none" w:sz="0" w:space="0" w:color="auto"/>
        <w:bottom w:val="none" w:sz="0" w:space="0" w:color="auto"/>
        <w:right w:val="none" w:sz="0" w:space="0" w:color="auto"/>
      </w:divBdr>
    </w:div>
    <w:div w:id="1843932858">
      <w:bodyDiv w:val="1"/>
      <w:marLeft w:val="0"/>
      <w:marRight w:val="0"/>
      <w:marTop w:val="0"/>
      <w:marBottom w:val="0"/>
      <w:divBdr>
        <w:top w:val="none" w:sz="0" w:space="0" w:color="auto"/>
        <w:left w:val="none" w:sz="0" w:space="0" w:color="auto"/>
        <w:bottom w:val="none" w:sz="0" w:space="0" w:color="auto"/>
        <w:right w:val="none" w:sz="0" w:space="0" w:color="auto"/>
      </w:divBdr>
    </w:div>
    <w:div w:id="1867594724">
      <w:bodyDiv w:val="1"/>
      <w:marLeft w:val="0"/>
      <w:marRight w:val="0"/>
      <w:marTop w:val="0"/>
      <w:marBottom w:val="0"/>
      <w:divBdr>
        <w:top w:val="none" w:sz="0" w:space="0" w:color="auto"/>
        <w:left w:val="none" w:sz="0" w:space="0" w:color="auto"/>
        <w:bottom w:val="none" w:sz="0" w:space="0" w:color="auto"/>
        <w:right w:val="none" w:sz="0" w:space="0" w:color="auto"/>
      </w:divBdr>
    </w:div>
    <w:div w:id="1877421753">
      <w:bodyDiv w:val="1"/>
      <w:marLeft w:val="0"/>
      <w:marRight w:val="0"/>
      <w:marTop w:val="0"/>
      <w:marBottom w:val="0"/>
      <w:divBdr>
        <w:top w:val="none" w:sz="0" w:space="0" w:color="auto"/>
        <w:left w:val="none" w:sz="0" w:space="0" w:color="auto"/>
        <w:bottom w:val="none" w:sz="0" w:space="0" w:color="auto"/>
        <w:right w:val="none" w:sz="0" w:space="0" w:color="auto"/>
      </w:divBdr>
    </w:div>
    <w:div w:id="1883594449">
      <w:bodyDiv w:val="1"/>
      <w:marLeft w:val="0"/>
      <w:marRight w:val="0"/>
      <w:marTop w:val="0"/>
      <w:marBottom w:val="0"/>
      <w:divBdr>
        <w:top w:val="none" w:sz="0" w:space="0" w:color="auto"/>
        <w:left w:val="none" w:sz="0" w:space="0" w:color="auto"/>
        <w:bottom w:val="none" w:sz="0" w:space="0" w:color="auto"/>
        <w:right w:val="none" w:sz="0" w:space="0" w:color="auto"/>
      </w:divBdr>
    </w:div>
    <w:div w:id="1909999360">
      <w:bodyDiv w:val="1"/>
      <w:marLeft w:val="0"/>
      <w:marRight w:val="0"/>
      <w:marTop w:val="0"/>
      <w:marBottom w:val="0"/>
      <w:divBdr>
        <w:top w:val="none" w:sz="0" w:space="0" w:color="auto"/>
        <w:left w:val="none" w:sz="0" w:space="0" w:color="auto"/>
        <w:bottom w:val="none" w:sz="0" w:space="0" w:color="auto"/>
        <w:right w:val="none" w:sz="0" w:space="0" w:color="auto"/>
      </w:divBdr>
    </w:div>
    <w:div w:id="1912235348">
      <w:bodyDiv w:val="1"/>
      <w:marLeft w:val="0"/>
      <w:marRight w:val="0"/>
      <w:marTop w:val="0"/>
      <w:marBottom w:val="0"/>
      <w:divBdr>
        <w:top w:val="none" w:sz="0" w:space="0" w:color="auto"/>
        <w:left w:val="none" w:sz="0" w:space="0" w:color="auto"/>
        <w:bottom w:val="none" w:sz="0" w:space="0" w:color="auto"/>
        <w:right w:val="none" w:sz="0" w:space="0" w:color="auto"/>
      </w:divBdr>
    </w:div>
    <w:div w:id="1933734951">
      <w:bodyDiv w:val="1"/>
      <w:marLeft w:val="0"/>
      <w:marRight w:val="0"/>
      <w:marTop w:val="0"/>
      <w:marBottom w:val="0"/>
      <w:divBdr>
        <w:top w:val="none" w:sz="0" w:space="0" w:color="auto"/>
        <w:left w:val="none" w:sz="0" w:space="0" w:color="auto"/>
        <w:bottom w:val="none" w:sz="0" w:space="0" w:color="auto"/>
        <w:right w:val="none" w:sz="0" w:space="0" w:color="auto"/>
      </w:divBdr>
    </w:div>
    <w:div w:id="1936555441">
      <w:bodyDiv w:val="1"/>
      <w:marLeft w:val="0"/>
      <w:marRight w:val="0"/>
      <w:marTop w:val="0"/>
      <w:marBottom w:val="0"/>
      <w:divBdr>
        <w:top w:val="none" w:sz="0" w:space="0" w:color="auto"/>
        <w:left w:val="none" w:sz="0" w:space="0" w:color="auto"/>
        <w:bottom w:val="none" w:sz="0" w:space="0" w:color="auto"/>
        <w:right w:val="none" w:sz="0" w:space="0" w:color="auto"/>
      </w:divBdr>
    </w:div>
    <w:div w:id="1956402529">
      <w:bodyDiv w:val="1"/>
      <w:marLeft w:val="0"/>
      <w:marRight w:val="0"/>
      <w:marTop w:val="0"/>
      <w:marBottom w:val="0"/>
      <w:divBdr>
        <w:top w:val="none" w:sz="0" w:space="0" w:color="auto"/>
        <w:left w:val="none" w:sz="0" w:space="0" w:color="auto"/>
        <w:bottom w:val="none" w:sz="0" w:space="0" w:color="auto"/>
        <w:right w:val="none" w:sz="0" w:space="0" w:color="auto"/>
      </w:divBdr>
    </w:div>
    <w:div w:id="1957250165">
      <w:bodyDiv w:val="1"/>
      <w:marLeft w:val="0"/>
      <w:marRight w:val="0"/>
      <w:marTop w:val="0"/>
      <w:marBottom w:val="0"/>
      <w:divBdr>
        <w:top w:val="none" w:sz="0" w:space="0" w:color="auto"/>
        <w:left w:val="none" w:sz="0" w:space="0" w:color="auto"/>
        <w:bottom w:val="none" w:sz="0" w:space="0" w:color="auto"/>
        <w:right w:val="none" w:sz="0" w:space="0" w:color="auto"/>
      </w:divBdr>
    </w:div>
    <w:div w:id="1957981762">
      <w:bodyDiv w:val="1"/>
      <w:marLeft w:val="0"/>
      <w:marRight w:val="0"/>
      <w:marTop w:val="0"/>
      <w:marBottom w:val="0"/>
      <w:divBdr>
        <w:top w:val="none" w:sz="0" w:space="0" w:color="auto"/>
        <w:left w:val="none" w:sz="0" w:space="0" w:color="auto"/>
        <w:bottom w:val="none" w:sz="0" w:space="0" w:color="auto"/>
        <w:right w:val="none" w:sz="0" w:space="0" w:color="auto"/>
      </w:divBdr>
    </w:div>
    <w:div w:id="1989548698">
      <w:bodyDiv w:val="1"/>
      <w:marLeft w:val="0"/>
      <w:marRight w:val="0"/>
      <w:marTop w:val="0"/>
      <w:marBottom w:val="0"/>
      <w:divBdr>
        <w:top w:val="none" w:sz="0" w:space="0" w:color="auto"/>
        <w:left w:val="none" w:sz="0" w:space="0" w:color="auto"/>
        <w:bottom w:val="none" w:sz="0" w:space="0" w:color="auto"/>
        <w:right w:val="none" w:sz="0" w:space="0" w:color="auto"/>
      </w:divBdr>
    </w:div>
    <w:div w:id="1994988062">
      <w:bodyDiv w:val="1"/>
      <w:marLeft w:val="0"/>
      <w:marRight w:val="0"/>
      <w:marTop w:val="0"/>
      <w:marBottom w:val="0"/>
      <w:divBdr>
        <w:top w:val="none" w:sz="0" w:space="0" w:color="auto"/>
        <w:left w:val="none" w:sz="0" w:space="0" w:color="auto"/>
        <w:bottom w:val="none" w:sz="0" w:space="0" w:color="auto"/>
        <w:right w:val="none" w:sz="0" w:space="0" w:color="auto"/>
      </w:divBdr>
    </w:div>
    <w:div w:id="1996520386">
      <w:bodyDiv w:val="1"/>
      <w:marLeft w:val="0"/>
      <w:marRight w:val="0"/>
      <w:marTop w:val="0"/>
      <w:marBottom w:val="0"/>
      <w:divBdr>
        <w:top w:val="none" w:sz="0" w:space="0" w:color="auto"/>
        <w:left w:val="none" w:sz="0" w:space="0" w:color="auto"/>
        <w:bottom w:val="none" w:sz="0" w:space="0" w:color="auto"/>
        <w:right w:val="none" w:sz="0" w:space="0" w:color="auto"/>
      </w:divBdr>
    </w:div>
    <w:div w:id="2003660727">
      <w:bodyDiv w:val="1"/>
      <w:marLeft w:val="0"/>
      <w:marRight w:val="0"/>
      <w:marTop w:val="0"/>
      <w:marBottom w:val="0"/>
      <w:divBdr>
        <w:top w:val="none" w:sz="0" w:space="0" w:color="auto"/>
        <w:left w:val="none" w:sz="0" w:space="0" w:color="auto"/>
        <w:bottom w:val="none" w:sz="0" w:space="0" w:color="auto"/>
        <w:right w:val="none" w:sz="0" w:space="0" w:color="auto"/>
      </w:divBdr>
    </w:div>
    <w:div w:id="2074500267">
      <w:bodyDiv w:val="1"/>
      <w:marLeft w:val="0"/>
      <w:marRight w:val="0"/>
      <w:marTop w:val="0"/>
      <w:marBottom w:val="0"/>
      <w:divBdr>
        <w:top w:val="none" w:sz="0" w:space="0" w:color="auto"/>
        <w:left w:val="none" w:sz="0" w:space="0" w:color="auto"/>
        <w:bottom w:val="none" w:sz="0" w:space="0" w:color="auto"/>
        <w:right w:val="none" w:sz="0" w:space="0" w:color="auto"/>
      </w:divBdr>
    </w:div>
    <w:div w:id="2091659184">
      <w:bodyDiv w:val="1"/>
      <w:marLeft w:val="0"/>
      <w:marRight w:val="0"/>
      <w:marTop w:val="0"/>
      <w:marBottom w:val="0"/>
      <w:divBdr>
        <w:top w:val="none" w:sz="0" w:space="0" w:color="auto"/>
        <w:left w:val="none" w:sz="0" w:space="0" w:color="auto"/>
        <w:bottom w:val="none" w:sz="0" w:space="0" w:color="auto"/>
        <w:right w:val="none" w:sz="0" w:space="0" w:color="auto"/>
      </w:divBdr>
    </w:div>
    <w:div w:id="2109539573">
      <w:bodyDiv w:val="1"/>
      <w:marLeft w:val="0"/>
      <w:marRight w:val="0"/>
      <w:marTop w:val="0"/>
      <w:marBottom w:val="0"/>
      <w:divBdr>
        <w:top w:val="none" w:sz="0" w:space="0" w:color="auto"/>
        <w:left w:val="none" w:sz="0" w:space="0" w:color="auto"/>
        <w:bottom w:val="none" w:sz="0" w:space="0" w:color="auto"/>
        <w:right w:val="none" w:sz="0" w:space="0" w:color="auto"/>
      </w:divBdr>
    </w:div>
    <w:div w:id="2116632230">
      <w:bodyDiv w:val="1"/>
      <w:marLeft w:val="0"/>
      <w:marRight w:val="0"/>
      <w:marTop w:val="0"/>
      <w:marBottom w:val="0"/>
      <w:divBdr>
        <w:top w:val="none" w:sz="0" w:space="0" w:color="auto"/>
        <w:left w:val="none" w:sz="0" w:space="0" w:color="auto"/>
        <w:bottom w:val="none" w:sz="0" w:space="0" w:color="auto"/>
        <w:right w:val="none" w:sz="0" w:space="0" w:color="auto"/>
      </w:divBdr>
    </w:div>
    <w:div w:id="2133398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yperlink" Target="https://www.healthdirect.gov.au/coronavirus-covid-19-symptoms-and-how-the-virus-spreads-faqs" TargetMode="External"/><Relationship Id="rId39" Type="http://schemas.openxmlformats.org/officeDocument/2006/relationships/hyperlink" Target="http://www.health.govt.nz/system/files/documents/publications/achieving-equity-in-health-outcomes-important-paper-highlights-nov18_1.pdf" TargetMode="External"/><Relationship Id="rId21" Type="http://schemas.openxmlformats.org/officeDocument/2006/relationships/header" Target="header6.xml"/><Relationship Id="rId34" Type="http://schemas.openxmlformats.org/officeDocument/2006/relationships/hyperlink" Target="http://www.hrc.co.nz/files/6615/8819/4763/Human_Rights_and_Te_Tiriti_o_Waitangi-_COVID-19_and_Alert_Level_4_FINAL.pdf" TargetMode="External"/><Relationship Id="rId42" Type="http://schemas.openxmlformats.org/officeDocument/2006/relationships/hyperlink" Target="http://www.health.ny.gov/regulations/task_force/reports_publications/docs/ventilator_guidelines.pdf" TargetMode="External"/><Relationship Id="rId47" Type="http://schemas.openxmlformats.org/officeDocument/2006/relationships/hyperlink" Target="http://www.un.org/en/universal-declaration-human-rights/" TargetMode="External"/><Relationship Id="rId50" Type="http://schemas.openxmlformats.org/officeDocument/2006/relationships/hyperlink" Target="https://med.virginia.edu/biomedical-ethics/wp-content/uploads/sites/129/2020/03/Ethical-Framework-for-Co-vid-19-Resources-Allocation-3.26.20.pdf" TargetMode="External"/><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6.xml"/><Relationship Id="rId33" Type="http://schemas.openxmlformats.org/officeDocument/2006/relationships/hyperlink" Target="http://www.nejm.org/doi/full/10.1056/NEJMsb2005114" TargetMode="External"/><Relationship Id="rId38" Type="http://schemas.openxmlformats.org/officeDocument/2006/relationships/hyperlink" Target="http://www.health.govt.nz/about-ministry/what-we-do/work-programme-2019-20/achieving-equity" TargetMode="External"/><Relationship Id="rId46" Type="http://schemas.openxmlformats.org/officeDocument/2006/relationships/hyperlink" Target="https://blogs.bmj.com/medical-ethics/2020/04/01/health-care-professionals-are-under-no-ethical-obligation-to-treat-COVID-19-patients/" TargetMode="External"/><Relationship Id="rId2" Type="http://schemas.openxmlformats.org/officeDocument/2006/relationships/customXml" Target="../customXml/item2.xml"/><Relationship Id="rId16" Type="http://schemas.openxmlformats.org/officeDocument/2006/relationships/hyperlink" Target="http://www.neac.health.govt.nz" TargetMode="External"/><Relationship Id="rId20" Type="http://schemas.openxmlformats.org/officeDocument/2006/relationships/footer" Target="footer3.xml"/><Relationship Id="rId29" Type="http://schemas.openxmlformats.org/officeDocument/2006/relationships/hyperlink" Target="http://www.health.gov.au/news/health-alerts/novel-coronavirus-2019-ncov-health-alert/what-you-need-to-know-about-coronavirus-COVID-19" TargetMode="External"/><Relationship Id="rId41" Type="http://schemas.openxmlformats.org/officeDocument/2006/relationships/hyperlink" Target="https://neac.health.govt.nz/publications-and-resources/neac-publications/getting-through-together-ethical-values-pandemic"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hyperlink" Target="https://doi.org/10.1016/j.chest.2018.09.025" TargetMode="External"/><Relationship Id="rId37" Type="http://schemas.openxmlformats.org/officeDocument/2006/relationships/hyperlink" Target="https://mspgh.unimelb.edu.au/__data/assets/pdf_file/0015/3330060/COVID-ethical-tool-McDougall-Sheahan-Ko-v3.pdf" TargetMode="External"/><Relationship Id="rId40" Type="http://schemas.openxmlformats.org/officeDocument/2006/relationships/hyperlink" Target="http://www.health.govt.nz/publication/initial-covid-19-maori-response-action-plan" TargetMode="External"/><Relationship Id="rId45" Type="http://schemas.openxmlformats.org/officeDocument/2006/relationships/hyperlink" Target="http://www.nejm.org/doi/full/10.1056/NEJMp2005492" TargetMode="External"/><Relationship Id="rId53" Type="http://schemas.openxmlformats.org/officeDocument/2006/relationships/hyperlink" Target="https://apps.who.int/iris/bitstream/handle/10665/331215/WHO-2019-nCov-IPCPPE_use-2020.1-eng.pdf" TargetMode="Externa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7.xml"/><Relationship Id="rId28" Type="http://schemas.openxmlformats.org/officeDocument/2006/relationships/footer" Target="footer8.xml"/><Relationship Id="rId36" Type="http://schemas.openxmlformats.org/officeDocument/2006/relationships/hyperlink" Target="https://jme.bmj.com/content/early/2020/05/20/medethics-2020-106227" TargetMode="External"/><Relationship Id="rId49" Type="http://schemas.openxmlformats.org/officeDocument/2006/relationships/hyperlink" Target="http://www.sydney.edu.au/content/dam/corporate/documents/faculty-of-medicine-and-health/research/centres-institutes-groups/she.-clinical-ethics.-resource-allocation-framework.-version-1.-2-april-2020.pdf" TargetMode="Externa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hyperlink" Target="http://jcb.utoronto.ca/news/documents/Ethical-Framework-for-the-Allocation-of-Personal-Protective-Equipment-2020.pdf" TargetMode="External"/><Relationship Id="rId44" Type="http://schemas.openxmlformats.org/officeDocument/2006/relationships/hyperlink" Target="https://doi.org/10.1093/ije/dym113" TargetMode="External"/><Relationship Id="rId52" Type="http://schemas.openxmlformats.org/officeDocument/2006/relationships/hyperlink" Target="https://forms.justice.govt.nz/search/Documents/WT/wt_DOC_152801817/Hauora%20W.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footer" Target="footer4.xml"/><Relationship Id="rId27" Type="http://schemas.openxmlformats.org/officeDocument/2006/relationships/footer" Target="footer7.xml"/><Relationship Id="rId30" Type="http://schemas.openxmlformats.org/officeDocument/2006/relationships/hyperlink" Target="https://blogs.bmj.com/medical-ethics/2020/04/07/icu-triage-how-many-lives-or-whose-lives/" TargetMode="External"/><Relationship Id="rId35" Type="http://schemas.openxmlformats.org/officeDocument/2006/relationships/hyperlink" Target="https://thehill.com/opinion/healthcare/490034-how-hospitals-will-decide-who-lives-and-who-dies-in-our-coronavirus-crisis" TargetMode="External"/><Relationship Id="rId43" Type="http://schemas.openxmlformats.org/officeDocument/2006/relationships/hyperlink" Target="https://app.box.com/s/62474kdlaxyq3t406sdck4j67bh6s40e" TargetMode="External"/><Relationship Id="rId48" Type="http://schemas.openxmlformats.org/officeDocument/2006/relationships/hyperlink" Target="https://digitallibrary.un.org/record/659980?ln=en" TargetMode="External"/><Relationship Id="rId56" Type="http://schemas.microsoft.com/office/2018/08/relationships/commentsExtensible" Target="commentsExtensible.xml"/><Relationship Id="rId8" Type="http://schemas.openxmlformats.org/officeDocument/2006/relationships/webSettings" Target="webSettings.xml"/><Relationship Id="rId51" Type="http://schemas.openxmlformats.org/officeDocument/2006/relationships/hyperlink" Target="https://doi.org/10.1016/j.maturitas.2020.04.004" TargetMode="Externa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1" Type="http://schemas.openxmlformats.org/officeDocument/2006/relationships/hyperlink" Target="http://www.hdc.org.nz/your-rights/about-the-code/code-of-health-and-disability-services-consumers-right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NEAC">
      <a:dk1>
        <a:srgbClr val="4A4A4A"/>
      </a:dk1>
      <a:lt1>
        <a:srgbClr val="FFFFFF"/>
      </a:lt1>
      <a:dk2>
        <a:srgbClr val="000000"/>
      </a:dk2>
      <a:lt2>
        <a:srgbClr val="ECECEB"/>
      </a:lt2>
      <a:accent1>
        <a:srgbClr val="003F5F"/>
      </a:accent1>
      <a:accent2>
        <a:srgbClr val="C1D82F"/>
      </a:accent2>
      <a:accent3>
        <a:srgbClr val="406F87"/>
      </a:accent3>
      <a:accent4>
        <a:srgbClr val="E5ECEF"/>
      </a:accent4>
      <a:accent5>
        <a:srgbClr val="CCD8DF"/>
      </a:accent5>
      <a:accent6>
        <a:srgbClr val="B2C5CF"/>
      </a:accent6>
      <a:hlink>
        <a:srgbClr val="406F87"/>
      </a:hlink>
      <a:folHlink>
        <a:srgbClr val="003F5F"/>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BA77D7CF804044887C9E6FB5E413B1" ma:contentTypeVersion="9" ma:contentTypeDescription="Create a new document." ma:contentTypeScope="" ma:versionID="d1542a39c50fa19cbb001b5fe9bd3e2b">
  <xsd:schema xmlns:xsd="http://www.w3.org/2001/XMLSchema" xmlns:xs="http://www.w3.org/2001/XMLSchema" xmlns:p="http://schemas.microsoft.com/office/2006/metadata/properties" xmlns:ns3="912cedb3-7f04-47c0-a283-ea387d34e08f" targetNamespace="http://schemas.microsoft.com/office/2006/metadata/properties" ma:root="true" ma:fieldsID="2810ccb0bc0c830459302a81cf92ac82" ns3:_="">
    <xsd:import namespace="912cedb3-7f04-47c0-a283-ea387d34e08f"/>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2cedb3-7f04-47c0-a283-ea387d34e08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chicago.xsl" StyleName="Chicago" Version="16">
  <b:Source>
    <b:Tag>Ful18</b:Tag>
    <b:SourceType>DocumentFromInternetSite</b:SourceType>
    <b:Guid>{73550AF1-1498-47B8-8FB6-7F0FE9F756C2}</b:Guid>
    <b:Title>Affirmative Action</b:Title>
    <b:Year>2018</b:Year>
    <b:Month>April</b:Month>
    <b:Day>9</b:Day>
    <b:YearAccessed>2020</b:YearAccessed>
    <b:Author>
      <b:Author>
        <b:NameList>
          <b:Person>
            <b:Last>Fullinwider</b:Last>
            <b:First>Robert</b:First>
          </b:Person>
        </b:NameList>
      </b:Author>
    </b:Author>
    <b:InternetSiteTitle>Stanford Encyclopaedia of Philosophy</b:InternetSiteTitle>
    <b:MonthAccessed>April</b:MonthAccessed>
    <b:DayAccessed>21</b:DayAccessed>
    <b:Medium>https://plato.stanford.edu/entries/affirmative-action/</b:Medium>
    <b:RefOrder>1</b:RefOrder>
  </b:Source>
  <b:Source>
    <b:Tag>Sca00</b:Tag>
    <b:SourceType>Book</b:SourceType>
    <b:Guid>{0A23697C-DD13-4E1F-981D-11B4E66D4262}</b:Guid>
    <b:Title>What We Owe to Each Other</b:Title>
    <b:Year>2000</b:Year>
    <b:Author>
      <b:Author>
        <b:NameList>
          <b:Person>
            <b:Last>Scanlon</b:Last>
            <b:First>T.M.</b:First>
          </b:Person>
        </b:NameList>
      </b:Author>
    </b:Author>
    <b:Publisher>Belknap Press: An Imprint of Harvard University Press</b:Publisher>
    <b:RefOrder>2</b:RefOrder>
  </b:Source>
  <b:Source>
    <b:Tag>Kli20</b:Tag>
    <b:SourceType>InternetSite</b:SourceType>
    <b:Guid>{63268CBC-B769-414B-B2EE-B243F6A45042}</b:Guid>
    <b:Title>How hospitals will decide who lives and who dies in the COVID-19 crisis</b:Title>
    <b:Year>2020</b:Year>
    <b:Medium>https://thehill.com/opinion/healthcare/490034-how-hospitals-will-decide-who-lives-and-who-dies-in-our-coronavirus-crisis</b:Medium>
    <b:Author>
      <b:Author>
        <b:NameList>
          <b:Person>
            <b:Last>Klitzman</b:Last>
            <b:First>Robert</b:First>
          </b:Person>
        </b:NameList>
      </b:Author>
    </b:Author>
    <b:Month>March</b:Month>
    <b:Day>03</b:Day>
    <b:YearAccessed>2020</b:YearAccessed>
    <b:MonthAccessed>April</b:MonthAccessed>
    <b:DayAccessed>20</b:DayAccessed>
    <b:RefOrder>3</b:RefOrder>
  </b:Source>
  <b:Source>
    <b:Tag>Mir20</b:Tag>
    <b:SourceType>InternetSite</b:SourceType>
    <b:Guid>{593FC808-03EC-417D-A852-C81F0DA5C0C2}</b:Guid>
    <b:Author>
      <b:Author>
        <b:NameList>
          <b:Person>
            <b:Last>Mirzaali</b:Last>
            <b:First>Mikaeil</b:First>
          </b:Person>
          <b:Person>
            <b:Last>Parker</b:Last>
            <b:First>Joshua</b:First>
          </b:Person>
        </b:NameList>
      </b:Author>
    </b:Author>
    <b:Title>The Moral Cost of Coronavirus</b:Title>
    <b:Year>2020</b:Year>
    <b:Month>March</b:Month>
    <b:Day>16</b:Day>
    <b:Medium>https://blogs.bmj.com/medical-ethics/2020/03/16/the-moral-cost-of-coronavirus/</b:Medium>
    <b:YearAccessed>2020</b:YearAccessed>
    <b:MonthAccessed>April</b:MonthAccessed>
    <b:DayAccessed>21</b:DayAccessed>
    <b:RefOrder>4</b:RefOrder>
  </b:Source>
  <b:Source>
    <b:Tag>New15</b:Tag>
    <b:SourceType>InternetSite</b:SourceType>
    <b:Guid>{6E9C4EB8-3182-44B2-AC23-C062758639B4}</b:Guid>
    <b:Author>
      <b:Author>
        <b:Corporate>New York State Department of Health</b:Corporate>
      </b:Author>
    </b:Author>
    <b:Title>Ventilator Allocation Guidelines</b:Title>
    <b:Year>2015</b:Year>
    <b:Month>November</b:Month>
    <b:YearAccessed>2020</b:YearAccessed>
    <b:MonthAccessed>April</b:MonthAccessed>
    <b:DayAccessed>21</b:DayAccessed>
    <b:Medium>https://www.health.ny.gov/regulations/task_force/reports_publications/docs/ventilator_guidelines.pdf</b:Medium>
    <b:RefOrder>5</b:RefOrder>
  </b:Source>
  <b:Source>
    <b:Tag>alB18</b:Tag>
    <b:SourceType>JournalArticle</b:SourceType>
    <b:Guid>{08DDF89B-7E53-4420-AAB7-18B3C3C7E653}</b:Guid>
    <b:Title>Too Many Patients…A Framework to Guide Statewide Allocation of Scarce Mechanical Ventilation During Disasters</b:Title>
    <b:Year>2018</b:Year>
    <b:Month>October</b:Month>
    <b:Day>11</b:Day>
    <b:Author>
      <b:Author>
        <b:Corporate>Biddison et al. </b:Corporate>
      </b:Author>
    </b:Author>
    <b:JournalName>Chest</b:JournalName>
    <b:Pages>848-854</b:Pages>
    <b:Volume>155</b:Volume>
    <b:Issue>4</b:Issue>
    <b:RefOrder>6</b:RefOrder>
  </b:Source>
  <b:Source>
    <b:Tag>Hum20</b:Tag>
    <b:SourceType>Report</b:SourceType>
    <b:Guid>{0D240AAB-774F-4B8F-BCDB-544242002652}</b:Guid>
    <b:Title>Human Rights and Te Tiriti o Waitangi: COVID-19 and Alert Level 4 in Aotearoa New Zealand</b:Title>
    <b:Year>2020</b:Year>
    <b:Author>
      <b:Author>
        <b:Corporate>Human Rights Commission Te Kāhui Tika Tangata</b:Corporate>
      </b:Author>
    </b:Author>
    <b:RefOrder>7</b:RefOrder>
  </b:Source>
  <b:Source>
    <b:Tag>McM13</b:Tag>
    <b:SourceType>JournalArticle</b:SourceType>
    <b:Guid>{DBB5A170-9F28-451F-AEB7-918AB866A661}</b:Guid>
    <b:Title>Precision and the Rules of Prioritization</b:Title>
    <b:Year>2013</b:Year>
    <b:Author>
      <b:Author>
        <b:NameList>
          <b:Person>
            <b:Last>McMillan</b:Last>
            <b:First>John</b:First>
          </b:Person>
          <b:Person>
            <b:Last>Hope</b:Last>
            <b:First>Tony</b:First>
          </b:Person>
          <b:Person>
            <b:Last>Wilkinson</b:Last>
            <b:First>Dominic</b:First>
          </b:Person>
        </b:NameList>
      </b:Author>
    </b:Author>
    <b:JournalName>Cambridge Quarterly of Healthcare Ethics</b:JournalName>
    <b:Pages>336-345</b:Pages>
    <b:Volume>22</b:Volume>
    <b:Issue>4</b:Issue>
    <b:RefOrder>8</b:RefOrder>
  </b:Source>
  <b:Source>
    <b:Tag>Man20</b:Tag>
    <b:SourceType>JournalArticle</b:SourceType>
    <b:Guid>{AC7590A4-F598-4B41-BD12-7A4F892E3CB0}</b:Guid>
    <b:Author>
      <b:Author>
        <b:NameList>
          <b:Person>
            <b:Last>Mannelli</b:Last>
            <b:First>Chiara</b:First>
          </b:Person>
        </b:NameList>
      </b:Author>
    </b:Author>
    <b:Title>Whose life to save? Scarce resources allocation in the COVID-19 Outbreak</b:Title>
    <b:JournalName>Journal of Medical Ethics</b:JournalName>
    <b:Year>2020</b:Year>
    <b:Month>April</b:Month>
    <b:Day>09</b:Day>
    <b:URL>https://jme.bmj.com/content/early/2020/05/20/medethics-2020-106227</b:URL>
    <b:RefOrder>9</b:RefOrder>
  </b:Source>
  <b:Source>
    <b:Tag>Tho06</b:Tag>
    <b:SourceType>JournalArticle</b:SourceType>
    <b:Guid>{C754BB65-EA1C-4F5C-9EE7-F6950B0FFF67}</b:Guid>
    <b:Author>
      <b:Author>
        <b:Corporate>Thompson et al.</b:Corporate>
      </b:Author>
    </b:Author>
    <b:Title>Pandemic influenza preparedness: an ethical framework to guide decision-making</b:Title>
    <b:JournalName>BMC Med Ethics</b:JournalName>
    <b:Year>2006</b:Year>
    <b:Volume>7</b:Volume>
    <b:URL>http://www.biomedcentral.com/1472-6939/7/12</b:URL>
    <b:RefOrder>10</b:RefOrder>
  </b:Source>
  <b:Source>
    <b:Tag>McD20</b:Tag>
    <b:SourceType>DocumentFromInternetSite</b:SourceType>
    <b:Guid>{085C3756-6FD6-43F9-8AB5-C5269BF96943}</b:Guid>
    <b:Author>
      <b:Author>
        <b:NameList>
          <b:Person>
            <b:Last>McDougall</b:Last>
            <b:First>Rosalind</b:First>
          </b:Person>
          <b:Person>
            <b:Last>Sheahan</b:Last>
            <b:First>Linda</b:First>
          </b:Person>
        </b:NameList>
      </b:Author>
    </b:Author>
    <b:Title>Planning for and managing COVID-19: Ethical decision-making tool</b:Title>
    <b:Year>2020</b:Year>
    <b:Month>March</b:Month>
    <b:Day>25</b:Day>
    <b:URL>https://mspgh.unimelb.edu.au/__data/assets/pdf_file/0015/3330060/COVID-ethical-tool-McDougall-Sheahan-Ko-v3.pdf</b:URL>
    <b:InternetSiteTitle>Melbourne School of Population and Global Health, The University of Melbourne</b:InternetSiteTitle>
    <b:RefOrder>11</b:RefOrder>
  </b:Source>
  <b:Source>
    <b:Tag>Ros20</b:Tag>
    <b:SourceType>JournalArticle</b:SourceType>
    <b:Guid>{AD9AFD5D-8599-4A02-A55A-7D0DE5CA3E83}</b:Guid>
    <b:Title>Facing Covid-19 in Italy — Ethics, Logistics, and Therapeutics on the Epidemic’s Front Line</b:Title>
    <b:Year>2020</b:Year>
    <b:Month>March</b:Month>
    <b:Day>18</b:Day>
    <b:URL>https://www.nejm.org/doi/full/10.1056/NEJMp2005492</b:URL>
    <b:Author>
      <b:Author>
        <b:NameList>
          <b:Person>
            <b:Last>Rosenbaum</b:Last>
            <b:First>Lisa</b:First>
          </b:Person>
        </b:NameList>
      </b:Author>
    </b:Author>
    <b:JournalName>The New England Journal of Medicine</b:JournalName>
    <b:Pages>1873-1875</b:Pages>
    <b:Volume>382</b:Volume>
    <b:RefOrder>12</b:RefOrder>
  </b:Source>
  <b:Source>
    <b:Tag>DeB12</b:Tag>
    <b:SourceType>JournalArticle</b:SourceType>
    <b:Guid>{2B8DF324-FAFA-4F9D-A126-06F2E7E1C753}</b:Guid>
    <b:Author>
      <b:Author>
        <b:NameList>
          <b:Person>
            <b:Last>DeBruin</b:Last>
            <b:First>Debra</b:First>
          </b:Person>
          <b:Person>
            <b:Last>Liaschenko</b:Last>
            <b:First>Joan</b:First>
          </b:Person>
          <b:Person>
            <b:Last>Marshall</b:Last>
            <b:First>Mary</b:First>
          </b:Person>
        </b:NameList>
      </b:Author>
    </b:Author>
    <b:Title>Social Justice in Pandemic Preparedness</b:Title>
    <b:JournalName>American Journal of Public Health</b:JournalName>
    <b:Year>2012</b:Year>
    <b:Pages>586-591</b:Pages>
    <b:Volume>102</b:Volume>
    <b:Issue>4</b:Issue>
    <b:RefOrder>13</b:RefOrder>
  </b:Source>
  <b:Source>
    <b:Tag>Pub12</b:Tag>
    <b:SourceType>Report</b:SourceType>
    <b:Guid>{63F7EBB1-040A-4B4F-A7F1-689DA824D999}</b:Guid>
    <b:Title>Te Ture Whakaruruhau Code Of Ethical Principles For Public Health in Aotearoa New Zealand</b:Title>
    <b:Year>2012</b:Year>
    <b:Author>
      <b:Author>
        <b:Corporate>Public Health Association of New Zealand</b:Corporate>
      </b:Author>
    </b:Author>
    <b:RefOrder>14</b:RefOrder>
  </b:Source>
  <b:Source>
    <b:Tag>Uni20</b:Tag>
    <b:SourceType>Report</b:SourceType>
    <b:Guid>{13FA4CB6-58AE-422F-ADFD-3D5E73B39AF1}</b:Guid>
    <b:Author>
      <b:Author>
        <b:Corporate>University of Virginia Health System Ethics Committee</b:Corporate>
      </b:Author>
    </b:Author>
    <b:Title>Ethical Framework and Recommendations for COVID-19 Resources Allocation When Scarcity is Anticipated</b:Title>
    <b:Year>2020</b:Year>
    <b:URL>https://med.virginia.edu/biomedical-ethics/2020/03/24/covid-19-ethics-resources/</b:URL>
    <b:RefOrder>15</b:RefOrder>
  </b:Source>
  <b:Source>
    <b:Tag>Vie</b:Tag>
    <b:SourceType>JournalArticle</b:SourceType>
    <b:Guid>{75FB242B-E6FA-44FD-AE5B-5D92FAB2E465}</b:Guid>
    <b:Title>COVID-19: The forgotten priorities of the pandemic</b:Title>
    <b:Author>
      <b:Author>
        <b:Corporate>Vieria et al.</b:Corporate>
      </b:Author>
    </b:Author>
    <b:JournalName>Maturitas</b:JournalName>
    <b:DOI>https://doi.org/10.1016/j.maturitas.2020.04.004</b:DOI>
    <b:Year>2020</b:Year>
    <b:Month>April</b:Month>
    <b:Volume>136</b:Volume>
    <b:RefOrder>16</b:RefOrder>
  </b:Source>
  <b:Source>
    <b:Tag>The20</b:Tag>
    <b:SourceType>Report</b:SourceType>
    <b:Guid>{11F8E93A-675C-4AA9-A2F4-302A5C10DC61}</b:Guid>
    <b:Title>Initial Covid-19 Māori Response Action Plan</b:Title>
    <b:Year>2020</b:Year>
    <b:Author>
      <b:Author>
        <b:Corporate>The Ministry of Health, New Zealand</b:Corporate>
      </b:Author>
    </b:Author>
    <b:City>Wellington</b:City>
    <b:URL>https://www.health.govt.nz/publication/initial-covid-19-maori-response-action-plan</b:URL>
    <b:RefOrder>17</b:RefOrder>
  </b:Source>
  <b:Source>
    <b:Tag>Ema20</b:Tag>
    <b:SourceType>JournalArticle</b:SourceType>
    <b:Guid>{9F059F38-CE01-4743-8403-4FB01FFCBC8E}</b:Guid>
    <b:Title>Fair Allocation of Scarce Medical Resources in the Time of Covid-19</b:Title>
    <b:Year>2020</b:Year>
    <b:Author>
      <b:Author>
        <b:Corporate>Emanuel et al.</b:Corporate>
      </b:Author>
    </b:Author>
    <b:JournalName>The New England Journal of Medicine</b:JournalName>
    <b:Pages>2049-2055</b:Pages>
    <b:Month>May</b:Month>
    <b:Day>21</b:Day>
    <b:Volume>382</b:Volume>
    <b:URL>https://www.nejm.org/doi/full/10.1056/NEJMsb2005114</b:URL>
    <b:RefOrder>18</b:RefOrder>
  </b:Source>
  <b:Source>
    <b:Tag>Aus20</b:Tag>
    <b:SourceType>InternetSite</b:SourceType>
    <b:Guid>{5D14B817-1328-42CD-B10E-230BC183A3C2}</b:Guid>
    <b:Title>What you need to know about coronavirus (COVID-19)</b:Title>
    <b:Year>2020</b:Year>
    <b:Author>
      <b:Author>
        <b:Corporate>Australian Government Department of Health</b:Corporate>
      </b:Author>
    </b:Author>
    <b:Month>May</b:Month>
    <b:Day>22</b:Day>
    <b:URL>https://www.health.gov.au/news/health-alerts/novel-coronavirus-2019-ncov-health-alert/what-you-need-to-know-about-coronavirus-COVID-19</b:URL>
    <b:RefOrder>19</b:RefOrder>
  </b:Source>
  <b:Source>
    <b:Tag>Wor20</b:Tag>
    <b:SourceType>InternetSite</b:SourceType>
    <b:Guid>{78108883-CEA0-4ECC-92B1-4240BDA196CA}</b:Guid>
    <b:Author>
      <b:Author>
        <b:Corporate>World Health Organisation</b:Corporate>
      </b:Author>
    </b:Author>
    <b:Title>Rational use of personal protective equipment</b:Title>
    <b:Year>2020</b:Year>
    <b:Month>February</b:Month>
    <b:Day>27</b:Day>
    <b:URL>https://apps.who.int/iris/bitstream/handle/10665/331215/WHO-2019-nCov-IPCPPE_use-2020.1-eng.pdf</b:URL>
    <b:RefOrder>20</b:RefOrder>
  </b:Source>
  <b:Source>
    <b:Tag>Sch20</b:Tag>
    <b:SourceType>JournalArticle</b:SourceType>
    <b:Guid>{1A880148-3617-4726-A927-24F93E4346F4}</b:Guid>
    <b:Title>Health Care Professionals Are Under No Ethical Obligation to Treat COVID-19 Patients</b:Title>
    <b:Year>2020</b:Year>
    <b:Month>April</b:Month>
    <b:Day>1</b:Day>
    <b:URL>https://blogs.bmj.com/medical-ethics/2020/04/01/health-care-professionals-are-under-no-ethical-obligation-to-treat-COVID-19-patients/</b:URL>
    <b:Author>
      <b:Author>
        <b:NameList>
          <b:Person>
            <b:Last>Schuklenk</b:Last>
            <b:First>Udo</b:First>
          </b:Person>
        </b:NameList>
      </b:Author>
    </b:Author>
    <b:JournalName>BMJ Blog</b:JournalName>
    <b:RefOrder>21</b:RefOrder>
  </b:Source>
  <b:Source>
    <b:Tag>Bea20</b:Tag>
    <b:SourceType>Report</b:SourceType>
    <b:Guid>{FEB04A7C-876C-48C0-8988-264E1131EC5A}</b:Guid>
    <b:Title>Ethical Framework for the Allocation of Personal Protective Equipment (during COVID-19)</b:Title>
    <b:Year>2020</b:Year>
    <b:Author>
      <b:Author>
        <b:Corporate>Bean et al.</b:Corporate>
      </b:Author>
    </b:Author>
    <b:Institution>University of Toronto</b:Institution>
    <b:URL>http://jcb.utoronto.ca/news/documents/Ethical-Framework-for-the-Allocation-of-Personal-Protective-Equipment-2020.pdf</b:URL>
    <b:RefOrder>22</b:RefOrder>
  </b:Source>
  <b:Source>
    <b:Tag>Mav20</b:Tag>
    <b:SourceType>JournalArticle</b:SourceType>
    <b:Guid>{1A6E8544-F772-4613-9549-97A36B21001A}</b:Guid>
    <b:Title>Triage of Scarce Critical Care Resources in COVID-19 An Implementation Guide for Regional Allocation</b:Title>
    <b:Year>2020</b:Year>
    <b:JournalName>Chest</b:JournalName>
    <b:Author>
      <b:Author>
        <b:Corporate>Maves et al. </b:Corporate>
      </b:Author>
    </b:Author>
    <b:URL> https://journal.chestnet.org/article/S0012-3692(20)30691-7/fulltext</b:URL>
    <b:DOI>https://doi.org/10.1016/j.chest.2020.03.063</b:DOI>
    <b:RefOrder>23</b:RefOrder>
  </b:Source>
  <b:Source>
    <b:Tag>NEA07</b:Tag>
    <b:SourceType>Report</b:SourceType>
    <b:Guid>{8818B433-217D-4ADC-A37B-1D2E2D4A3A40}</b:Guid>
    <b:Title>Getting Through Together: Ethical values for a pandemic</b:Title>
    <b:Year>2007</b:Year>
    <b:Author>
      <b:Author>
        <b:Corporate>NEAC</b:Corporate>
      </b:Author>
    </b:Author>
    <b:Publisher>Ministry of Health</b:Publisher>
    <b:City>Wellington</b:City>
    <b:URL>https://neac.health.govt.nz/publications-and-resources/neac-publications/getting-through-together-ethical-values-pandemic</b:URL>
    <b:RefOrder>24</b:RefOrder>
  </b:Source>
  <b:Source>
    <b:Tag>Ame20</b:Tag>
    <b:SourceType>InternetSite</b:SourceType>
    <b:Guid>{2D4E0C59-6CE0-4E66-8B36-4845F45158B5}</b:Guid>
    <b:Author>
      <b:Author>
        <b:Corporate>American Medical Association</b:Corporate>
      </b:Author>
    </b:Author>
    <b:Title>Fair access to limited critical care resources</b:Title>
    <b:Year>2020</b:Year>
    <b:Month>April</b:Month>
    <b:Day>8</b:Day>
    <b:URL>https://www.ama-assn.org/delivering-care/ethics/fair-access-limited-critical-care-resources</b:URL>
    <b:RefOrder>25</b:RefOrder>
  </b:Source>
</b:Sources>
</file>

<file path=customXml/itemProps1.xml><?xml version="1.0" encoding="utf-8"?>
<ds:datastoreItem xmlns:ds="http://schemas.openxmlformats.org/officeDocument/2006/customXml" ds:itemID="{7206FDCE-E45A-48C1-9D69-7DC838165FE4}">
  <ds:schemaRefs>
    <ds:schemaRef ds:uri="http://purl.org/dc/terms/"/>
    <ds:schemaRef ds:uri="http://purl.org/dc/elements/1.1/"/>
    <ds:schemaRef ds:uri="http://purl.org/dc/dcmitype/"/>
    <ds:schemaRef ds:uri="http://www.w3.org/XML/1998/namespace"/>
    <ds:schemaRef ds:uri="http://schemas.microsoft.com/office/infopath/2007/PartnerControls"/>
    <ds:schemaRef ds:uri="http://schemas.microsoft.com/office/2006/documentManagement/types"/>
    <ds:schemaRef ds:uri="http://schemas.openxmlformats.org/package/2006/metadata/core-properties"/>
    <ds:schemaRef ds:uri="912cedb3-7f04-47c0-a283-ea387d34e08f"/>
    <ds:schemaRef ds:uri="http://schemas.microsoft.com/office/2006/metadata/properties"/>
  </ds:schemaRefs>
</ds:datastoreItem>
</file>

<file path=customXml/itemProps2.xml><?xml version="1.0" encoding="utf-8"?>
<ds:datastoreItem xmlns:ds="http://schemas.openxmlformats.org/officeDocument/2006/customXml" ds:itemID="{1BD68213-2F90-4217-9D5F-751328CA71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2cedb3-7f04-47c0-a283-ea387d34e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49967C3-A1DF-44B8-B3DA-F6C6290F3DD2}">
  <ds:schemaRefs>
    <ds:schemaRef ds:uri="http://schemas.microsoft.com/sharepoint/v3/contenttype/forms"/>
  </ds:schemaRefs>
</ds:datastoreItem>
</file>

<file path=customXml/itemProps4.xml><?xml version="1.0" encoding="utf-8"?>
<ds:datastoreItem xmlns:ds="http://schemas.openxmlformats.org/officeDocument/2006/customXml" ds:itemID="{B573742B-99D4-4A92-9029-1332243D32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448</TotalTime>
  <Pages>33</Pages>
  <Words>9707</Words>
  <Characters>55335</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
    </vt:vector>
  </TitlesOfParts>
  <Company>Ministry of Health</Company>
  <LinksUpToDate>false</LinksUpToDate>
  <CharactersWithSpaces>64913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 Aagaard</dc:creator>
  <cp:keywords/>
  <dc:description/>
  <cp:lastModifiedBy>Megan BELL</cp:lastModifiedBy>
  <cp:revision>15</cp:revision>
  <cp:lastPrinted>2020-05-25T03:17:00Z</cp:lastPrinted>
  <dcterms:created xsi:type="dcterms:W3CDTF">2020-06-01T21:45:00Z</dcterms:created>
  <dcterms:modified xsi:type="dcterms:W3CDTF">2020-06-02T22:46:00Z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0x0101003ABA77D7CF804044887C9E6FB5E413B1</vt:lpwstr>
  </property>
</Properties>
</file>