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2BAB" w14:textId="57F9EDD9" w:rsidR="00304723" w:rsidRPr="00926083" w:rsidRDefault="001051DB" w:rsidP="00D92F48">
      <w:pPr>
        <w:pStyle w:val="Title"/>
      </w:pPr>
      <w:bookmarkStart w:id="0" w:name="_GoBack"/>
      <w:bookmarkEnd w:id="0"/>
      <w:r>
        <w:t xml:space="preserve">Core </w:t>
      </w:r>
      <w:r w:rsidR="00304723" w:rsidRPr="00225CD6">
        <w:t>Performance Standards for Responsible Authorities</w:t>
      </w:r>
    </w:p>
    <w:p w14:paraId="19AF5E50" w14:textId="50EDAE30" w:rsidR="00C12D78" w:rsidRPr="00C12D78" w:rsidRDefault="00C12D78" w:rsidP="00D92F48">
      <w:pPr>
        <w:pStyle w:val="Year"/>
      </w:pPr>
      <w:r w:rsidRPr="00C12D78">
        <w:t>Consultation document</w:t>
      </w:r>
    </w:p>
    <w:p w14:paraId="0F61E58C" w14:textId="77777777" w:rsidR="00304723" w:rsidRDefault="00304723" w:rsidP="00D92F48"/>
    <w:p w14:paraId="39AFE5B4" w14:textId="77777777" w:rsidR="00304723" w:rsidRPr="00142954" w:rsidRDefault="00304723" w:rsidP="00D92F48">
      <w:pPr>
        <w:sectPr w:rsidR="00304723" w:rsidRPr="00142954" w:rsidSect="00B5208C">
          <w:headerReference w:type="default" r:id="rId8"/>
          <w:footerReference w:type="default" r:id="rId9"/>
          <w:pgSz w:w="11907" w:h="16834" w:code="9"/>
          <w:pgMar w:top="5670" w:right="1134" w:bottom="1134" w:left="1134" w:header="567" w:footer="851" w:gutter="0"/>
          <w:pgNumType w:start="1"/>
          <w:cols w:space="720"/>
        </w:sectPr>
      </w:pPr>
    </w:p>
    <w:p w14:paraId="199916AC" w14:textId="762DC102" w:rsidR="00304723" w:rsidRPr="00C05132" w:rsidRDefault="00304723" w:rsidP="00D92F48">
      <w:pPr>
        <w:pStyle w:val="Imprint"/>
      </w:pPr>
      <w:r w:rsidRPr="00C05132">
        <w:lastRenderedPageBreak/>
        <w:t xml:space="preserve">Citation: </w:t>
      </w:r>
      <w:r w:rsidR="00C12D78">
        <w:t xml:space="preserve">Ministry of Health. 2020. </w:t>
      </w:r>
      <w:r w:rsidR="00C12D78" w:rsidRPr="00C12D78">
        <w:t>Core Performance Standards for Responsible Authorities</w:t>
      </w:r>
      <w:r w:rsidR="00022650">
        <w:t>: Consultation document</w:t>
      </w:r>
      <w:r w:rsidR="00C12D78">
        <w:t>. Wellington. Ministry of Health.</w:t>
      </w:r>
    </w:p>
    <w:p w14:paraId="210784C6" w14:textId="7A6FB45C" w:rsidR="00304723" w:rsidRDefault="00304723" w:rsidP="00D92F48">
      <w:pPr>
        <w:pStyle w:val="Imprint"/>
      </w:pPr>
      <w:r>
        <w:t xml:space="preserve">Published </w:t>
      </w:r>
      <w:r w:rsidRPr="00882A4A">
        <w:t xml:space="preserve">in </w:t>
      </w:r>
      <w:r w:rsidR="008C6CFE" w:rsidRPr="00882A4A">
        <w:t>April</w:t>
      </w:r>
      <w:r w:rsidRPr="00882A4A">
        <w:t xml:space="preserve"> 20</w:t>
      </w:r>
      <w:r w:rsidR="00321192" w:rsidRPr="00882A4A">
        <w:t>20</w:t>
      </w:r>
      <w:r w:rsidRPr="00882A4A">
        <w:t xml:space="preserve"> by</w:t>
      </w:r>
      <w:r>
        <w:t xml:space="preserve"> the Ministry of Health</w:t>
      </w:r>
      <w:r>
        <w:br/>
        <w:t>PO Box 5013, Wellington 6140, New Zealand</w:t>
      </w:r>
    </w:p>
    <w:p w14:paraId="387D73ED" w14:textId="3D48A21A" w:rsidR="00304723" w:rsidRPr="009C0F2D" w:rsidRDefault="00304723" w:rsidP="00D92F48">
      <w:pPr>
        <w:pStyle w:val="Imprint"/>
      </w:pPr>
      <w:r w:rsidRPr="00B57CA8">
        <w:t xml:space="preserve">ISBN </w:t>
      </w:r>
      <w:r w:rsidR="00275FAF" w:rsidRPr="00B57CA8">
        <w:t xml:space="preserve">978-1-98-859788-1 </w:t>
      </w:r>
      <w:r w:rsidRPr="00B57CA8">
        <w:t xml:space="preserve">(online) </w:t>
      </w:r>
      <w:r w:rsidRPr="00B57CA8">
        <w:br/>
        <w:t xml:space="preserve">HP </w:t>
      </w:r>
      <w:r w:rsidR="00B57CA8">
        <w:t>7394</w:t>
      </w:r>
    </w:p>
    <w:p w14:paraId="3FD51653" w14:textId="77777777" w:rsidR="00304723" w:rsidRDefault="00304723" w:rsidP="00D92F48">
      <w:r>
        <w:rPr>
          <w:noProof/>
        </w:rPr>
        <w:drawing>
          <wp:inline distT="0" distB="0" distL="0" distR="0" wp14:anchorId="5E34D755" wp14:editId="4F23156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CC65613" w14:textId="77777777" w:rsidR="00304723" w:rsidRDefault="00304723" w:rsidP="00D92F4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304723" w:rsidRPr="00A63DFF" w14:paraId="08B5B96D" w14:textId="77777777" w:rsidTr="00B5208C">
        <w:trPr>
          <w:cantSplit/>
        </w:trPr>
        <w:tc>
          <w:tcPr>
            <w:tcW w:w="1526" w:type="dxa"/>
          </w:tcPr>
          <w:p w14:paraId="0FE114A3" w14:textId="77777777" w:rsidR="00304723" w:rsidRPr="00A63DFF" w:rsidRDefault="00304723" w:rsidP="00D92F48">
            <w:r w:rsidRPr="00A63DFF">
              <w:rPr>
                <w:noProof/>
              </w:rPr>
              <w:drawing>
                <wp:inline distT="0" distB="0" distL="0" distR="0" wp14:anchorId="2309905B" wp14:editId="40F3A75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8E15CE6" w14:textId="741C5808" w:rsidR="00304723" w:rsidRPr="00A63DFF" w:rsidRDefault="00304723" w:rsidP="00D92F48">
            <w:r w:rsidRPr="00A63DFF">
              <w:t xml:space="preserve">This work is licensed under the Creative Commons Attribution 4.0 International licence. In essence, </w:t>
            </w:r>
            <w:r w:rsidRPr="00A63DFF">
              <w:rPr>
                <w:bCs/>
              </w:rPr>
              <w:t xml:space="preserve">you are free to: </w:t>
            </w:r>
            <w:r w:rsidRPr="00A63DFF">
              <w:t xml:space="preserve">share </w:t>
            </w:r>
            <w:r w:rsidR="001051DB" w:rsidRPr="00A63DFF">
              <w:t>i.e.</w:t>
            </w:r>
            <w:r w:rsidRPr="00A63DFF">
              <w:t xml:space="preserve">, copy and redistribute the material in any medium or format; adapt </w:t>
            </w:r>
            <w:r w:rsidR="001051DB" w:rsidRPr="00A63DFF">
              <w:t>i.e.</w:t>
            </w:r>
            <w:r w:rsidRPr="00A63DFF">
              <w:t xml:space="preserve">, remix, transform and build upon the material. </w:t>
            </w:r>
            <w:r w:rsidRPr="00A63DFF">
              <w:rPr>
                <w:bCs/>
              </w:rPr>
              <w:t>You must give appropriate credit, provide a link to the licence and indicate if changes were made.</w:t>
            </w:r>
          </w:p>
        </w:tc>
      </w:tr>
    </w:tbl>
    <w:p w14:paraId="3E974438" w14:textId="77777777" w:rsidR="00304723" w:rsidRPr="001F45A7" w:rsidRDefault="00304723" w:rsidP="00D92F48"/>
    <w:p w14:paraId="4C20E5F8" w14:textId="77777777" w:rsidR="00304723" w:rsidRDefault="00304723" w:rsidP="00D92F48">
      <w:pPr>
        <w:sectPr w:rsidR="00304723" w:rsidSect="00B5208C">
          <w:headerReference w:type="even" r:id="rId12"/>
          <w:headerReference w:type="default" r:id="rId13"/>
          <w:footerReference w:type="even" r:id="rId14"/>
          <w:footerReference w:type="default" r:id="rId15"/>
          <w:headerReference w:type="first" r:id="rId16"/>
          <w:pgSz w:w="11907" w:h="16834" w:code="9"/>
          <w:pgMar w:top="1701" w:right="2268" w:bottom="1134" w:left="2268" w:header="0" w:footer="0" w:gutter="0"/>
          <w:cols w:space="720"/>
          <w:vAlign w:val="bottom"/>
        </w:sectPr>
      </w:pPr>
    </w:p>
    <w:p w14:paraId="25233BD4" w14:textId="77777777" w:rsidR="00304723" w:rsidRDefault="00304723" w:rsidP="00D92F48">
      <w:pPr>
        <w:pStyle w:val="IntroHead"/>
      </w:pPr>
      <w:bookmarkStart w:id="1" w:name="_Toc405792991"/>
      <w:bookmarkStart w:id="2" w:name="_Toc405793224"/>
      <w:r>
        <w:lastRenderedPageBreak/>
        <w:t>Contents</w:t>
      </w:r>
      <w:bookmarkEnd w:id="1"/>
      <w:bookmarkEnd w:id="2"/>
    </w:p>
    <w:p w14:paraId="172D637E" w14:textId="52358055" w:rsidR="00F472F5" w:rsidRDefault="00304723">
      <w:pPr>
        <w:pStyle w:val="TOC1"/>
        <w:rPr>
          <w:rFonts w:asciiTheme="minorHAnsi" w:eastAsiaTheme="minorEastAsia" w:hAnsiTheme="minorHAnsi" w:cstheme="minorBidi"/>
          <w:noProof/>
          <w:sz w:val="22"/>
          <w:szCs w:val="22"/>
          <w:lang w:val="en-AU" w:eastAsia="en-AU"/>
        </w:rPr>
      </w:pPr>
      <w:r>
        <w:fldChar w:fldCharType="begin"/>
      </w:r>
      <w:r>
        <w:instrText xml:space="preserve"> TOC \o "1-2" \h \z </w:instrText>
      </w:r>
      <w:r>
        <w:fldChar w:fldCharType="separate"/>
      </w:r>
      <w:hyperlink w:anchor="_Toc38276629" w:history="1">
        <w:r w:rsidR="00F472F5" w:rsidRPr="00F726E9">
          <w:rPr>
            <w:rStyle w:val="Hyperlink"/>
            <w:noProof/>
          </w:rPr>
          <w:t>Background</w:t>
        </w:r>
        <w:r w:rsidR="00F472F5">
          <w:rPr>
            <w:noProof/>
            <w:webHidden/>
          </w:rPr>
          <w:tab/>
        </w:r>
        <w:r w:rsidR="00F472F5">
          <w:rPr>
            <w:noProof/>
            <w:webHidden/>
          </w:rPr>
          <w:fldChar w:fldCharType="begin"/>
        </w:r>
        <w:r w:rsidR="00F472F5">
          <w:rPr>
            <w:noProof/>
            <w:webHidden/>
          </w:rPr>
          <w:instrText xml:space="preserve"> PAGEREF _Toc38276629 \h </w:instrText>
        </w:r>
        <w:r w:rsidR="00F472F5">
          <w:rPr>
            <w:noProof/>
            <w:webHidden/>
          </w:rPr>
        </w:r>
        <w:r w:rsidR="00F472F5">
          <w:rPr>
            <w:noProof/>
            <w:webHidden/>
          </w:rPr>
          <w:fldChar w:fldCharType="separate"/>
        </w:r>
        <w:r w:rsidR="00F472F5">
          <w:rPr>
            <w:noProof/>
            <w:webHidden/>
          </w:rPr>
          <w:t>1</w:t>
        </w:r>
        <w:r w:rsidR="00F472F5">
          <w:rPr>
            <w:noProof/>
            <w:webHidden/>
          </w:rPr>
          <w:fldChar w:fldCharType="end"/>
        </w:r>
      </w:hyperlink>
    </w:p>
    <w:p w14:paraId="434E8D4C" w14:textId="433FAE12" w:rsidR="00F472F5" w:rsidRDefault="00D01B5B">
      <w:pPr>
        <w:pStyle w:val="TOC2"/>
        <w:rPr>
          <w:rFonts w:asciiTheme="minorHAnsi" w:eastAsiaTheme="minorEastAsia" w:hAnsiTheme="minorHAnsi" w:cstheme="minorBidi"/>
          <w:noProof/>
          <w:szCs w:val="22"/>
          <w:lang w:val="en-AU" w:eastAsia="en-AU"/>
        </w:rPr>
      </w:pPr>
      <w:hyperlink w:anchor="_Toc38276630" w:history="1">
        <w:r w:rsidR="00F472F5" w:rsidRPr="00F726E9">
          <w:rPr>
            <w:rStyle w:val="Hyperlink"/>
            <w:noProof/>
          </w:rPr>
          <w:t>Rationale for performance reviews</w:t>
        </w:r>
        <w:r w:rsidR="00F472F5">
          <w:rPr>
            <w:noProof/>
            <w:webHidden/>
          </w:rPr>
          <w:tab/>
        </w:r>
        <w:r w:rsidR="00F472F5">
          <w:rPr>
            <w:noProof/>
            <w:webHidden/>
          </w:rPr>
          <w:fldChar w:fldCharType="begin"/>
        </w:r>
        <w:r w:rsidR="00F472F5">
          <w:rPr>
            <w:noProof/>
            <w:webHidden/>
          </w:rPr>
          <w:instrText xml:space="preserve"> PAGEREF _Toc38276630 \h </w:instrText>
        </w:r>
        <w:r w:rsidR="00F472F5">
          <w:rPr>
            <w:noProof/>
            <w:webHidden/>
          </w:rPr>
        </w:r>
        <w:r w:rsidR="00F472F5">
          <w:rPr>
            <w:noProof/>
            <w:webHidden/>
          </w:rPr>
          <w:fldChar w:fldCharType="separate"/>
        </w:r>
        <w:r w:rsidR="00F472F5">
          <w:rPr>
            <w:noProof/>
            <w:webHidden/>
          </w:rPr>
          <w:t>1</w:t>
        </w:r>
        <w:r w:rsidR="00F472F5">
          <w:rPr>
            <w:noProof/>
            <w:webHidden/>
          </w:rPr>
          <w:fldChar w:fldCharType="end"/>
        </w:r>
      </w:hyperlink>
    </w:p>
    <w:p w14:paraId="378F831D" w14:textId="6428AE24" w:rsidR="00F472F5" w:rsidRDefault="00D01B5B">
      <w:pPr>
        <w:pStyle w:val="TOC1"/>
        <w:rPr>
          <w:rFonts w:asciiTheme="minorHAnsi" w:eastAsiaTheme="minorEastAsia" w:hAnsiTheme="minorHAnsi" w:cstheme="minorBidi"/>
          <w:noProof/>
          <w:sz w:val="22"/>
          <w:szCs w:val="22"/>
          <w:lang w:val="en-AU" w:eastAsia="en-AU"/>
        </w:rPr>
      </w:pPr>
      <w:hyperlink w:anchor="_Toc38276631" w:history="1">
        <w:r w:rsidR="00F472F5" w:rsidRPr="00F726E9">
          <w:rPr>
            <w:rStyle w:val="Hyperlink"/>
            <w:rFonts w:eastAsia="Calibri"/>
            <w:noProof/>
          </w:rPr>
          <w:t>Issues to be addressed</w:t>
        </w:r>
        <w:r w:rsidR="00F472F5">
          <w:rPr>
            <w:noProof/>
            <w:webHidden/>
          </w:rPr>
          <w:tab/>
        </w:r>
        <w:r w:rsidR="00F472F5">
          <w:rPr>
            <w:noProof/>
            <w:webHidden/>
          </w:rPr>
          <w:fldChar w:fldCharType="begin"/>
        </w:r>
        <w:r w:rsidR="00F472F5">
          <w:rPr>
            <w:noProof/>
            <w:webHidden/>
          </w:rPr>
          <w:instrText xml:space="preserve"> PAGEREF _Toc38276631 \h </w:instrText>
        </w:r>
        <w:r w:rsidR="00F472F5">
          <w:rPr>
            <w:noProof/>
            <w:webHidden/>
          </w:rPr>
        </w:r>
        <w:r w:rsidR="00F472F5">
          <w:rPr>
            <w:noProof/>
            <w:webHidden/>
          </w:rPr>
          <w:fldChar w:fldCharType="separate"/>
        </w:r>
        <w:r w:rsidR="00F472F5">
          <w:rPr>
            <w:noProof/>
            <w:webHidden/>
          </w:rPr>
          <w:t>3</w:t>
        </w:r>
        <w:r w:rsidR="00F472F5">
          <w:rPr>
            <w:noProof/>
            <w:webHidden/>
          </w:rPr>
          <w:fldChar w:fldCharType="end"/>
        </w:r>
      </w:hyperlink>
    </w:p>
    <w:p w14:paraId="17A5B599" w14:textId="21C96CF6" w:rsidR="00F472F5" w:rsidRDefault="00D01B5B">
      <w:pPr>
        <w:pStyle w:val="TOC2"/>
        <w:rPr>
          <w:rFonts w:asciiTheme="minorHAnsi" w:eastAsiaTheme="minorEastAsia" w:hAnsiTheme="minorHAnsi" w:cstheme="minorBidi"/>
          <w:noProof/>
          <w:szCs w:val="22"/>
          <w:lang w:val="en-AU" w:eastAsia="en-AU"/>
        </w:rPr>
      </w:pPr>
      <w:hyperlink w:anchor="_Toc38276632" w:history="1">
        <w:r w:rsidR="00F472F5" w:rsidRPr="00F726E9">
          <w:rPr>
            <w:rStyle w:val="Hyperlink"/>
            <w:noProof/>
          </w:rPr>
          <w:t>Transparency and impartiality</w:t>
        </w:r>
        <w:r w:rsidR="00F472F5">
          <w:rPr>
            <w:noProof/>
            <w:webHidden/>
          </w:rPr>
          <w:tab/>
        </w:r>
        <w:r w:rsidR="00F472F5">
          <w:rPr>
            <w:noProof/>
            <w:webHidden/>
          </w:rPr>
          <w:fldChar w:fldCharType="begin"/>
        </w:r>
        <w:r w:rsidR="00F472F5">
          <w:rPr>
            <w:noProof/>
            <w:webHidden/>
          </w:rPr>
          <w:instrText xml:space="preserve"> PAGEREF _Toc38276632 \h </w:instrText>
        </w:r>
        <w:r w:rsidR="00F472F5">
          <w:rPr>
            <w:noProof/>
            <w:webHidden/>
          </w:rPr>
        </w:r>
        <w:r w:rsidR="00F472F5">
          <w:rPr>
            <w:noProof/>
            <w:webHidden/>
          </w:rPr>
          <w:fldChar w:fldCharType="separate"/>
        </w:r>
        <w:r w:rsidR="00F472F5">
          <w:rPr>
            <w:noProof/>
            <w:webHidden/>
          </w:rPr>
          <w:t>3</w:t>
        </w:r>
        <w:r w:rsidR="00F472F5">
          <w:rPr>
            <w:noProof/>
            <w:webHidden/>
          </w:rPr>
          <w:fldChar w:fldCharType="end"/>
        </w:r>
      </w:hyperlink>
    </w:p>
    <w:p w14:paraId="4B345BB0" w14:textId="45EFA3E6" w:rsidR="00F472F5" w:rsidRDefault="00D01B5B">
      <w:pPr>
        <w:pStyle w:val="TOC2"/>
        <w:rPr>
          <w:rFonts w:asciiTheme="minorHAnsi" w:eastAsiaTheme="minorEastAsia" w:hAnsiTheme="minorHAnsi" w:cstheme="minorBidi"/>
          <w:noProof/>
          <w:szCs w:val="22"/>
          <w:lang w:val="en-AU" w:eastAsia="en-AU"/>
        </w:rPr>
      </w:pPr>
      <w:hyperlink w:anchor="_Toc38276633" w:history="1">
        <w:r w:rsidR="00F472F5" w:rsidRPr="00F726E9">
          <w:rPr>
            <w:rStyle w:val="Hyperlink"/>
            <w:noProof/>
          </w:rPr>
          <w:t>Cabinet’s agreement on performance reviews</w:t>
        </w:r>
        <w:r w:rsidR="00F472F5">
          <w:rPr>
            <w:noProof/>
            <w:webHidden/>
          </w:rPr>
          <w:tab/>
        </w:r>
        <w:r w:rsidR="00F472F5">
          <w:rPr>
            <w:noProof/>
            <w:webHidden/>
          </w:rPr>
          <w:fldChar w:fldCharType="begin"/>
        </w:r>
        <w:r w:rsidR="00F472F5">
          <w:rPr>
            <w:noProof/>
            <w:webHidden/>
          </w:rPr>
          <w:instrText xml:space="preserve"> PAGEREF _Toc38276633 \h </w:instrText>
        </w:r>
        <w:r w:rsidR="00F472F5">
          <w:rPr>
            <w:noProof/>
            <w:webHidden/>
          </w:rPr>
        </w:r>
        <w:r w:rsidR="00F472F5">
          <w:rPr>
            <w:noProof/>
            <w:webHidden/>
          </w:rPr>
          <w:fldChar w:fldCharType="separate"/>
        </w:r>
        <w:r w:rsidR="00F472F5">
          <w:rPr>
            <w:noProof/>
            <w:webHidden/>
          </w:rPr>
          <w:t>4</w:t>
        </w:r>
        <w:r w:rsidR="00F472F5">
          <w:rPr>
            <w:noProof/>
            <w:webHidden/>
          </w:rPr>
          <w:fldChar w:fldCharType="end"/>
        </w:r>
      </w:hyperlink>
    </w:p>
    <w:p w14:paraId="32AE561D" w14:textId="6056C58E" w:rsidR="00F472F5" w:rsidRDefault="00D01B5B">
      <w:pPr>
        <w:pStyle w:val="TOC1"/>
        <w:rPr>
          <w:rFonts w:asciiTheme="minorHAnsi" w:eastAsiaTheme="minorEastAsia" w:hAnsiTheme="minorHAnsi" w:cstheme="minorBidi"/>
          <w:noProof/>
          <w:sz w:val="22"/>
          <w:szCs w:val="22"/>
          <w:lang w:val="en-AU" w:eastAsia="en-AU"/>
        </w:rPr>
      </w:pPr>
      <w:hyperlink w:anchor="_Toc38276634" w:history="1">
        <w:r w:rsidR="00F472F5" w:rsidRPr="00F726E9">
          <w:rPr>
            <w:rStyle w:val="Hyperlink"/>
            <w:noProof/>
          </w:rPr>
          <w:t>Legislative requirement for performance reviews</w:t>
        </w:r>
        <w:r w:rsidR="00F472F5">
          <w:rPr>
            <w:noProof/>
            <w:webHidden/>
          </w:rPr>
          <w:tab/>
        </w:r>
        <w:r w:rsidR="00F472F5">
          <w:rPr>
            <w:noProof/>
            <w:webHidden/>
          </w:rPr>
          <w:fldChar w:fldCharType="begin"/>
        </w:r>
        <w:r w:rsidR="00F472F5">
          <w:rPr>
            <w:noProof/>
            <w:webHidden/>
          </w:rPr>
          <w:instrText xml:space="preserve"> PAGEREF _Toc38276634 \h </w:instrText>
        </w:r>
        <w:r w:rsidR="00F472F5">
          <w:rPr>
            <w:noProof/>
            <w:webHidden/>
          </w:rPr>
        </w:r>
        <w:r w:rsidR="00F472F5">
          <w:rPr>
            <w:noProof/>
            <w:webHidden/>
          </w:rPr>
          <w:fldChar w:fldCharType="separate"/>
        </w:r>
        <w:r w:rsidR="00F472F5">
          <w:rPr>
            <w:noProof/>
            <w:webHidden/>
          </w:rPr>
          <w:t>6</w:t>
        </w:r>
        <w:r w:rsidR="00F472F5">
          <w:rPr>
            <w:noProof/>
            <w:webHidden/>
          </w:rPr>
          <w:fldChar w:fldCharType="end"/>
        </w:r>
      </w:hyperlink>
    </w:p>
    <w:p w14:paraId="652A74F1" w14:textId="71E4DCA9" w:rsidR="00F472F5" w:rsidRDefault="00D01B5B">
      <w:pPr>
        <w:pStyle w:val="TOC1"/>
        <w:rPr>
          <w:rFonts w:asciiTheme="minorHAnsi" w:eastAsiaTheme="minorEastAsia" w:hAnsiTheme="minorHAnsi" w:cstheme="minorBidi"/>
          <w:noProof/>
          <w:sz w:val="22"/>
          <w:szCs w:val="22"/>
          <w:lang w:val="en-AU" w:eastAsia="en-AU"/>
        </w:rPr>
      </w:pPr>
      <w:hyperlink w:anchor="_Toc38276635" w:history="1">
        <w:r w:rsidR="00F472F5" w:rsidRPr="00F726E9">
          <w:rPr>
            <w:rStyle w:val="Hyperlink"/>
            <w:noProof/>
          </w:rPr>
          <w:t>Functions of the responsible authorities</w:t>
        </w:r>
        <w:r w:rsidR="00F472F5">
          <w:rPr>
            <w:noProof/>
            <w:webHidden/>
          </w:rPr>
          <w:tab/>
        </w:r>
        <w:r w:rsidR="00F472F5">
          <w:rPr>
            <w:noProof/>
            <w:webHidden/>
          </w:rPr>
          <w:fldChar w:fldCharType="begin"/>
        </w:r>
        <w:r w:rsidR="00F472F5">
          <w:rPr>
            <w:noProof/>
            <w:webHidden/>
          </w:rPr>
          <w:instrText xml:space="preserve"> PAGEREF _Toc38276635 \h </w:instrText>
        </w:r>
        <w:r w:rsidR="00F472F5">
          <w:rPr>
            <w:noProof/>
            <w:webHidden/>
          </w:rPr>
        </w:r>
        <w:r w:rsidR="00F472F5">
          <w:rPr>
            <w:noProof/>
            <w:webHidden/>
          </w:rPr>
          <w:fldChar w:fldCharType="separate"/>
        </w:r>
        <w:r w:rsidR="00F472F5">
          <w:rPr>
            <w:noProof/>
            <w:webHidden/>
          </w:rPr>
          <w:t>8</w:t>
        </w:r>
        <w:r w:rsidR="00F472F5">
          <w:rPr>
            <w:noProof/>
            <w:webHidden/>
          </w:rPr>
          <w:fldChar w:fldCharType="end"/>
        </w:r>
      </w:hyperlink>
    </w:p>
    <w:p w14:paraId="28D53CA9" w14:textId="6C4C3BDF" w:rsidR="00F472F5" w:rsidRDefault="00D01B5B">
      <w:pPr>
        <w:pStyle w:val="TOC1"/>
        <w:rPr>
          <w:rFonts w:asciiTheme="minorHAnsi" w:eastAsiaTheme="minorEastAsia" w:hAnsiTheme="minorHAnsi" w:cstheme="minorBidi"/>
          <w:noProof/>
          <w:sz w:val="22"/>
          <w:szCs w:val="22"/>
          <w:lang w:val="en-AU" w:eastAsia="en-AU"/>
        </w:rPr>
      </w:pPr>
      <w:hyperlink w:anchor="_Toc38276636" w:history="1">
        <w:r w:rsidR="00F472F5" w:rsidRPr="00F726E9">
          <w:rPr>
            <w:rStyle w:val="Hyperlink"/>
            <w:noProof/>
          </w:rPr>
          <w:t>General terms of reference for performance reviews</w:t>
        </w:r>
        <w:r w:rsidR="00F472F5">
          <w:rPr>
            <w:noProof/>
            <w:webHidden/>
          </w:rPr>
          <w:tab/>
        </w:r>
        <w:r w:rsidR="00F472F5">
          <w:rPr>
            <w:noProof/>
            <w:webHidden/>
          </w:rPr>
          <w:fldChar w:fldCharType="begin"/>
        </w:r>
        <w:r w:rsidR="00F472F5">
          <w:rPr>
            <w:noProof/>
            <w:webHidden/>
          </w:rPr>
          <w:instrText xml:space="preserve"> PAGEREF _Toc38276636 \h </w:instrText>
        </w:r>
        <w:r w:rsidR="00F472F5">
          <w:rPr>
            <w:noProof/>
            <w:webHidden/>
          </w:rPr>
        </w:r>
        <w:r w:rsidR="00F472F5">
          <w:rPr>
            <w:noProof/>
            <w:webHidden/>
          </w:rPr>
          <w:fldChar w:fldCharType="separate"/>
        </w:r>
        <w:r w:rsidR="00F472F5">
          <w:rPr>
            <w:noProof/>
            <w:webHidden/>
          </w:rPr>
          <w:t>9</w:t>
        </w:r>
        <w:r w:rsidR="00F472F5">
          <w:rPr>
            <w:noProof/>
            <w:webHidden/>
          </w:rPr>
          <w:fldChar w:fldCharType="end"/>
        </w:r>
      </w:hyperlink>
    </w:p>
    <w:p w14:paraId="1784E395" w14:textId="0369056A" w:rsidR="00F472F5" w:rsidRDefault="00D01B5B">
      <w:pPr>
        <w:pStyle w:val="TOC2"/>
        <w:rPr>
          <w:rFonts w:asciiTheme="minorHAnsi" w:eastAsiaTheme="minorEastAsia" w:hAnsiTheme="minorHAnsi" w:cstheme="minorBidi"/>
          <w:noProof/>
          <w:szCs w:val="22"/>
          <w:lang w:val="en-AU" w:eastAsia="en-AU"/>
        </w:rPr>
      </w:pPr>
      <w:hyperlink w:anchor="_Toc38276637" w:history="1">
        <w:r w:rsidR="00F472F5" w:rsidRPr="00F726E9">
          <w:rPr>
            <w:rStyle w:val="Hyperlink"/>
            <w:noProof/>
          </w:rPr>
          <w:t>Preamble</w:t>
        </w:r>
        <w:r w:rsidR="00F472F5">
          <w:rPr>
            <w:noProof/>
            <w:webHidden/>
          </w:rPr>
          <w:tab/>
        </w:r>
        <w:r w:rsidR="00F472F5">
          <w:rPr>
            <w:noProof/>
            <w:webHidden/>
          </w:rPr>
          <w:fldChar w:fldCharType="begin"/>
        </w:r>
        <w:r w:rsidR="00F472F5">
          <w:rPr>
            <w:noProof/>
            <w:webHidden/>
          </w:rPr>
          <w:instrText xml:space="preserve"> PAGEREF _Toc38276637 \h </w:instrText>
        </w:r>
        <w:r w:rsidR="00F472F5">
          <w:rPr>
            <w:noProof/>
            <w:webHidden/>
          </w:rPr>
        </w:r>
        <w:r w:rsidR="00F472F5">
          <w:rPr>
            <w:noProof/>
            <w:webHidden/>
          </w:rPr>
          <w:fldChar w:fldCharType="separate"/>
        </w:r>
        <w:r w:rsidR="00F472F5">
          <w:rPr>
            <w:noProof/>
            <w:webHidden/>
          </w:rPr>
          <w:t>9</w:t>
        </w:r>
        <w:r w:rsidR="00F472F5">
          <w:rPr>
            <w:noProof/>
            <w:webHidden/>
          </w:rPr>
          <w:fldChar w:fldCharType="end"/>
        </w:r>
      </w:hyperlink>
    </w:p>
    <w:p w14:paraId="601B89D8" w14:textId="4DB907A5" w:rsidR="00F472F5" w:rsidRDefault="00D01B5B">
      <w:pPr>
        <w:pStyle w:val="TOC2"/>
        <w:rPr>
          <w:rFonts w:asciiTheme="minorHAnsi" w:eastAsiaTheme="minorEastAsia" w:hAnsiTheme="minorHAnsi" w:cstheme="minorBidi"/>
          <w:noProof/>
          <w:szCs w:val="22"/>
          <w:lang w:val="en-AU" w:eastAsia="en-AU"/>
        </w:rPr>
      </w:pPr>
      <w:hyperlink w:anchor="_Toc38276638" w:history="1">
        <w:r w:rsidR="00F472F5" w:rsidRPr="00F726E9">
          <w:rPr>
            <w:rStyle w:val="Hyperlink"/>
            <w:noProof/>
          </w:rPr>
          <w:t>Purpose of performance reviews</w:t>
        </w:r>
        <w:r w:rsidR="00F472F5">
          <w:rPr>
            <w:noProof/>
            <w:webHidden/>
          </w:rPr>
          <w:tab/>
        </w:r>
        <w:r w:rsidR="00F472F5">
          <w:rPr>
            <w:noProof/>
            <w:webHidden/>
          </w:rPr>
          <w:fldChar w:fldCharType="begin"/>
        </w:r>
        <w:r w:rsidR="00F472F5">
          <w:rPr>
            <w:noProof/>
            <w:webHidden/>
          </w:rPr>
          <w:instrText xml:space="preserve"> PAGEREF _Toc38276638 \h </w:instrText>
        </w:r>
        <w:r w:rsidR="00F472F5">
          <w:rPr>
            <w:noProof/>
            <w:webHidden/>
          </w:rPr>
        </w:r>
        <w:r w:rsidR="00F472F5">
          <w:rPr>
            <w:noProof/>
            <w:webHidden/>
          </w:rPr>
          <w:fldChar w:fldCharType="separate"/>
        </w:r>
        <w:r w:rsidR="00F472F5">
          <w:rPr>
            <w:noProof/>
            <w:webHidden/>
          </w:rPr>
          <w:t>9</w:t>
        </w:r>
        <w:r w:rsidR="00F472F5">
          <w:rPr>
            <w:noProof/>
            <w:webHidden/>
          </w:rPr>
          <w:fldChar w:fldCharType="end"/>
        </w:r>
      </w:hyperlink>
    </w:p>
    <w:p w14:paraId="1B83FE96" w14:textId="7D151556" w:rsidR="00F472F5" w:rsidRDefault="00D01B5B">
      <w:pPr>
        <w:pStyle w:val="TOC2"/>
        <w:rPr>
          <w:rFonts w:asciiTheme="minorHAnsi" w:eastAsiaTheme="minorEastAsia" w:hAnsiTheme="minorHAnsi" w:cstheme="minorBidi"/>
          <w:noProof/>
          <w:szCs w:val="22"/>
          <w:lang w:val="en-AU" w:eastAsia="en-AU"/>
        </w:rPr>
      </w:pPr>
      <w:hyperlink w:anchor="_Toc38276639" w:history="1">
        <w:r w:rsidR="00F472F5" w:rsidRPr="00F726E9">
          <w:rPr>
            <w:rStyle w:val="Hyperlink"/>
            <w:noProof/>
          </w:rPr>
          <w:t>Guiding principles</w:t>
        </w:r>
        <w:r w:rsidR="00F472F5">
          <w:rPr>
            <w:noProof/>
            <w:webHidden/>
          </w:rPr>
          <w:tab/>
        </w:r>
        <w:r w:rsidR="00F472F5">
          <w:rPr>
            <w:noProof/>
            <w:webHidden/>
          </w:rPr>
          <w:fldChar w:fldCharType="begin"/>
        </w:r>
        <w:r w:rsidR="00F472F5">
          <w:rPr>
            <w:noProof/>
            <w:webHidden/>
          </w:rPr>
          <w:instrText xml:space="preserve"> PAGEREF _Toc38276639 \h </w:instrText>
        </w:r>
        <w:r w:rsidR="00F472F5">
          <w:rPr>
            <w:noProof/>
            <w:webHidden/>
          </w:rPr>
        </w:r>
        <w:r w:rsidR="00F472F5">
          <w:rPr>
            <w:noProof/>
            <w:webHidden/>
          </w:rPr>
          <w:fldChar w:fldCharType="separate"/>
        </w:r>
        <w:r w:rsidR="00F472F5">
          <w:rPr>
            <w:noProof/>
            <w:webHidden/>
          </w:rPr>
          <w:t>9</w:t>
        </w:r>
        <w:r w:rsidR="00F472F5">
          <w:rPr>
            <w:noProof/>
            <w:webHidden/>
          </w:rPr>
          <w:fldChar w:fldCharType="end"/>
        </w:r>
      </w:hyperlink>
    </w:p>
    <w:p w14:paraId="31CA6F2C" w14:textId="50BD68E1" w:rsidR="00F472F5" w:rsidRDefault="00D01B5B">
      <w:pPr>
        <w:pStyle w:val="TOC2"/>
        <w:rPr>
          <w:rFonts w:asciiTheme="minorHAnsi" w:eastAsiaTheme="minorEastAsia" w:hAnsiTheme="minorHAnsi" w:cstheme="minorBidi"/>
          <w:noProof/>
          <w:szCs w:val="22"/>
          <w:lang w:val="en-AU" w:eastAsia="en-AU"/>
        </w:rPr>
      </w:pPr>
      <w:hyperlink w:anchor="_Toc38276640" w:history="1">
        <w:r w:rsidR="00F472F5" w:rsidRPr="00F726E9">
          <w:rPr>
            <w:rStyle w:val="Hyperlink"/>
            <w:noProof/>
          </w:rPr>
          <w:t>Nature of review</w:t>
        </w:r>
        <w:r w:rsidR="00F472F5">
          <w:rPr>
            <w:noProof/>
            <w:webHidden/>
          </w:rPr>
          <w:tab/>
        </w:r>
        <w:r w:rsidR="00F472F5">
          <w:rPr>
            <w:noProof/>
            <w:webHidden/>
          </w:rPr>
          <w:fldChar w:fldCharType="begin"/>
        </w:r>
        <w:r w:rsidR="00F472F5">
          <w:rPr>
            <w:noProof/>
            <w:webHidden/>
          </w:rPr>
          <w:instrText xml:space="preserve"> PAGEREF _Toc38276640 \h </w:instrText>
        </w:r>
        <w:r w:rsidR="00F472F5">
          <w:rPr>
            <w:noProof/>
            <w:webHidden/>
          </w:rPr>
        </w:r>
        <w:r w:rsidR="00F472F5">
          <w:rPr>
            <w:noProof/>
            <w:webHidden/>
          </w:rPr>
          <w:fldChar w:fldCharType="separate"/>
        </w:r>
        <w:r w:rsidR="00F472F5">
          <w:rPr>
            <w:noProof/>
            <w:webHidden/>
          </w:rPr>
          <w:t>10</w:t>
        </w:r>
        <w:r w:rsidR="00F472F5">
          <w:rPr>
            <w:noProof/>
            <w:webHidden/>
          </w:rPr>
          <w:fldChar w:fldCharType="end"/>
        </w:r>
      </w:hyperlink>
    </w:p>
    <w:p w14:paraId="3E17CB0B" w14:textId="60C345CF" w:rsidR="00F472F5" w:rsidRDefault="00D01B5B">
      <w:pPr>
        <w:pStyle w:val="TOC2"/>
        <w:rPr>
          <w:rFonts w:asciiTheme="minorHAnsi" w:eastAsiaTheme="minorEastAsia" w:hAnsiTheme="minorHAnsi" w:cstheme="minorBidi"/>
          <w:noProof/>
          <w:szCs w:val="22"/>
          <w:lang w:val="en-AU" w:eastAsia="en-AU"/>
        </w:rPr>
      </w:pPr>
      <w:hyperlink w:anchor="_Toc38276641" w:history="1">
        <w:r w:rsidR="00F472F5" w:rsidRPr="00F726E9">
          <w:rPr>
            <w:rStyle w:val="Hyperlink"/>
            <w:noProof/>
          </w:rPr>
          <w:t>Scope of performance review and methodology</w:t>
        </w:r>
        <w:r w:rsidR="00F472F5">
          <w:rPr>
            <w:noProof/>
            <w:webHidden/>
          </w:rPr>
          <w:tab/>
        </w:r>
        <w:r w:rsidR="00F472F5">
          <w:rPr>
            <w:noProof/>
            <w:webHidden/>
          </w:rPr>
          <w:fldChar w:fldCharType="begin"/>
        </w:r>
        <w:r w:rsidR="00F472F5">
          <w:rPr>
            <w:noProof/>
            <w:webHidden/>
          </w:rPr>
          <w:instrText xml:space="preserve"> PAGEREF _Toc38276641 \h </w:instrText>
        </w:r>
        <w:r w:rsidR="00F472F5">
          <w:rPr>
            <w:noProof/>
            <w:webHidden/>
          </w:rPr>
        </w:r>
        <w:r w:rsidR="00F472F5">
          <w:rPr>
            <w:noProof/>
            <w:webHidden/>
          </w:rPr>
          <w:fldChar w:fldCharType="separate"/>
        </w:r>
        <w:r w:rsidR="00F472F5">
          <w:rPr>
            <w:noProof/>
            <w:webHidden/>
          </w:rPr>
          <w:t>10</w:t>
        </w:r>
        <w:r w:rsidR="00F472F5">
          <w:rPr>
            <w:noProof/>
            <w:webHidden/>
          </w:rPr>
          <w:fldChar w:fldCharType="end"/>
        </w:r>
      </w:hyperlink>
    </w:p>
    <w:p w14:paraId="31D53997" w14:textId="30F7B30F" w:rsidR="00F472F5" w:rsidRDefault="00D01B5B">
      <w:pPr>
        <w:pStyle w:val="TOC2"/>
        <w:rPr>
          <w:rFonts w:asciiTheme="minorHAnsi" w:eastAsiaTheme="minorEastAsia" w:hAnsiTheme="minorHAnsi" w:cstheme="minorBidi"/>
          <w:noProof/>
          <w:szCs w:val="22"/>
          <w:lang w:val="en-AU" w:eastAsia="en-AU"/>
        </w:rPr>
      </w:pPr>
      <w:hyperlink w:anchor="_Toc38276642" w:history="1">
        <w:r w:rsidR="00F472F5" w:rsidRPr="00F726E9">
          <w:rPr>
            <w:rStyle w:val="Hyperlink"/>
            <w:noProof/>
          </w:rPr>
          <w:t>Roles and responsibilities</w:t>
        </w:r>
        <w:r w:rsidR="00F472F5">
          <w:rPr>
            <w:noProof/>
            <w:webHidden/>
          </w:rPr>
          <w:tab/>
        </w:r>
        <w:r w:rsidR="00F472F5">
          <w:rPr>
            <w:noProof/>
            <w:webHidden/>
          </w:rPr>
          <w:fldChar w:fldCharType="begin"/>
        </w:r>
        <w:r w:rsidR="00F472F5">
          <w:rPr>
            <w:noProof/>
            <w:webHidden/>
          </w:rPr>
          <w:instrText xml:space="preserve"> PAGEREF _Toc38276642 \h </w:instrText>
        </w:r>
        <w:r w:rsidR="00F472F5">
          <w:rPr>
            <w:noProof/>
            <w:webHidden/>
          </w:rPr>
        </w:r>
        <w:r w:rsidR="00F472F5">
          <w:rPr>
            <w:noProof/>
            <w:webHidden/>
          </w:rPr>
          <w:fldChar w:fldCharType="separate"/>
        </w:r>
        <w:r w:rsidR="00F472F5">
          <w:rPr>
            <w:noProof/>
            <w:webHidden/>
          </w:rPr>
          <w:t>10</w:t>
        </w:r>
        <w:r w:rsidR="00F472F5">
          <w:rPr>
            <w:noProof/>
            <w:webHidden/>
          </w:rPr>
          <w:fldChar w:fldCharType="end"/>
        </w:r>
      </w:hyperlink>
    </w:p>
    <w:p w14:paraId="5C0F3277" w14:textId="4E91473F" w:rsidR="00F472F5" w:rsidRDefault="00D01B5B">
      <w:pPr>
        <w:pStyle w:val="TOC1"/>
        <w:rPr>
          <w:rFonts w:asciiTheme="minorHAnsi" w:eastAsiaTheme="minorEastAsia" w:hAnsiTheme="minorHAnsi" w:cstheme="minorBidi"/>
          <w:noProof/>
          <w:sz w:val="22"/>
          <w:szCs w:val="22"/>
          <w:lang w:val="en-AU" w:eastAsia="en-AU"/>
        </w:rPr>
      </w:pPr>
      <w:hyperlink w:anchor="_Toc38276643" w:history="1">
        <w:r w:rsidR="00F472F5" w:rsidRPr="00F726E9">
          <w:rPr>
            <w:rStyle w:val="Hyperlink"/>
            <w:noProof/>
          </w:rPr>
          <w:t>Appendix 1: Performance review standards</w:t>
        </w:r>
        <w:r w:rsidR="00F472F5">
          <w:rPr>
            <w:noProof/>
            <w:webHidden/>
          </w:rPr>
          <w:tab/>
        </w:r>
        <w:r w:rsidR="00F472F5">
          <w:rPr>
            <w:noProof/>
            <w:webHidden/>
          </w:rPr>
          <w:fldChar w:fldCharType="begin"/>
        </w:r>
        <w:r w:rsidR="00F472F5">
          <w:rPr>
            <w:noProof/>
            <w:webHidden/>
          </w:rPr>
          <w:instrText xml:space="preserve"> PAGEREF _Toc38276643 \h </w:instrText>
        </w:r>
        <w:r w:rsidR="00F472F5">
          <w:rPr>
            <w:noProof/>
            <w:webHidden/>
          </w:rPr>
        </w:r>
        <w:r w:rsidR="00F472F5">
          <w:rPr>
            <w:noProof/>
            <w:webHidden/>
          </w:rPr>
          <w:fldChar w:fldCharType="separate"/>
        </w:r>
        <w:r w:rsidR="00F472F5">
          <w:rPr>
            <w:noProof/>
            <w:webHidden/>
          </w:rPr>
          <w:t>12</w:t>
        </w:r>
        <w:r w:rsidR="00F472F5">
          <w:rPr>
            <w:noProof/>
            <w:webHidden/>
          </w:rPr>
          <w:fldChar w:fldCharType="end"/>
        </w:r>
      </w:hyperlink>
    </w:p>
    <w:p w14:paraId="18766D85" w14:textId="70DADBC1" w:rsidR="00304723" w:rsidRDefault="00304723" w:rsidP="00D92F48">
      <w:r>
        <w:fldChar w:fldCharType="end"/>
      </w:r>
    </w:p>
    <w:p w14:paraId="125440B7" w14:textId="77777777" w:rsidR="00304723" w:rsidRDefault="00304723" w:rsidP="00D92F48"/>
    <w:p w14:paraId="45436534" w14:textId="77777777" w:rsidR="00304723" w:rsidRDefault="00304723" w:rsidP="00D92F48">
      <w:pPr>
        <w:sectPr w:rsidR="00304723" w:rsidSect="00D92F48">
          <w:headerReference w:type="even" r:id="rId17"/>
          <w:headerReference w:type="default" r:id="rId18"/>
          <w:footerReference w:type="even" r:id="rId19"/>
          <w:footerReference w:type="default" r:id="rId20"/>
          <w:headerReference w:type="first" r:id="rId21"/>
          <w:pgSz w:w="11907" w:h="16840" w:code="9"/>
          <w:pgMar w:top="1418" w:right="1701" w:bottom="1134" w:left="1843" w:header="284" w:footer="283" w:gutter="284"/>
          <w:pgNumType w:fmt="lowerRoman"/>
          <w:cols w:space="720"/>
          <w:docGrid w:linePitch="286"/>
        </w:sectPr>
      </w:pPr>
    </w:p>
    <w:p w14:paraId="090C1CB3" w14:textId="77777777" w:rsidR="00304723" w:rsidRDefault="00304723" w:rsidP="00D92F48">
      <w:pPr>
        <w:pStyle w:val="Heading1"/>
      </w:pPr>
      <w:bookmarkStart w:id="3" w:name="_Toc38276629"/>
      <w:r>
        <w:lastRenderedPageBreak/>
        <w:t>Background</w:t>
      </w:r>
      <w:bookmarkEnd w:id="3"/>
    </w:p>
    <w:p w14:paraId="59884644" w14:textId="3A3C4A16" w:rsidR="00FC1990" w:rsidRDefault="00304723" w:rsidP="00D92F48">
      <w:r w:rsidRPr="00D92F48">
        <w:t xml:space="preserve">When the Health Practitioners Competence Assurance Act 2003 (the Act) was amended in 2019, </w:t>
      </w:r>
      <w:r w:rsidR="00655573" w:rsidRPr="00D92F48">
        <w:t>the requirement for independent</w:t>
      </w:r>
      <w:r w:rsidRPr="00D92F48">
        <w:t xml:space="preserve"> performance reviews </w:t>
      </w:r>
      <w:r w:rsidR="00655573" w:rsidRPr="00D92F48">
        <w:t>of</w:t>
      </w:r>
      <w:r w:rsidRPr="00D92F48">
        <w:t xml:space="preserve"> responsible authorities</w:t>
      </w:r>
      <w:r w:rsidR="00257ECB" w:rsidRPr="00D92F48">
        <w:t xml:space="preserve"> (refer s 122A of the Act)</w:t>
      </w:r>
      <w:r w:rsidR="00486553" w:rsidRPr="00D92F48">
        <w:t xml:space="preserve"> was introduced</w:t>
      </w:r>
      <w:r w:rsidRPr="00D92F48">
        <w:t xml:space="preserve">. </w:t>
      </w:r>
    </w:p>
    <w:p w14:paraId="35F2FEB1" w14:textId="77777777" w:rsidR="00D92F48" w:rsidRPr="00D92F48" w:rsidRDefault="00D92F48" w:rsidP="00D92F48"/>
    <w:p w14:paraId="016ADA2C" w14:textId="496C2C9B" w:rsidR="00343B6C" w:rsidRPr="00D92F48" w:rsidRDefault="00304723" w:rsidP="00D92F48">
      <w:r w:rsidRPr="00D92F48">
        <w:t xml:space="preserve">This is in line with international trends in health occupational regulation </w:t>
      </w:r>
      <w:r w:rsidR="00D33482" w:rsidRPr="00D92F48">
        <w:t>and</w:t>
      </w:r>
      <w:r w:rsidR="00FC1990" w:rsidRPr="00D92F48">
        <w:t xml:space="preserve"> </w:t>
      </w:r>
      <w:r w:rsidRPr="00D92F48">
        <w:t>in</w:t>
      </w:r>
      <w:r w:rsidR="000532E0" w:rsidRPr="00D92F48">
        <w:t>clud</w:t>
      </w:r>
      <w:r w:rsidR="002E06DA" w:rsidRPr="00D92F48">
        <w:t>e</w:t>
      </w:r>
      <w:r w:rsidR="00343B6C" w:rsidRPr="00D92F48">
        <w:t>:</w:t>
      </w:r>
    </w:p>
    <w:p w14:paraId="7547BBF5" w14:textId="0E552F10" w:rsidR="00343B6C" w:rsidRPr="0098437B" w:rsidRDefault="00304723" w:rsidP="00D92F48">
      <w:pPr>
        <w:pStyle w:val="Bullet"/>
      </w:pPr>
      <w:r w:rsidRPr="0098437B">
        <w:t>strengthening consumer protection</w:t>
      </w:r>
    </w:p>
    <w:p w14:paraId="2FD32DBE" w14:textId="667F5AC8" w:rsidR="00343B6C" w:rsidRPr="0098437B" w:rsidRDefault="00304723" w:rsidP="00D92F48">
      <w:pPr>
        <w:pStyle w:val="Bullet"/>
      </w:pPr>
      <w:r w:rsidRPr="0098437B">
        <w:t>standardis</w:t>
      </w:r>
      <w:r w:rsidR="00B94641" w:rsidRPr="0098437B">
        <w:t xml:space="preserve">ing </w:t>
      </w:r>
      <w:r w:rsidRPr="0098437B">
        <w:t>legislation and institutional design</w:t>
      </w:r>
    </w:p>
    <w:p w14:paraId="30B5C204" w14:textId="7BF8FA68" w:rsidR="00304723" w:rsidRPr="0098437B" w:rsidRDefault="00304723" w:rsidP="00D92F48">
      <w:pPr>
        <w:pStyle w:val="Bullet"/>
      </w:pPr>
      <w:r w:rsidRPr="0098437B">
        <w:t xml:space="preserve">improving the </w:t>
      </w:r>
      <w:r w:rsidR="002E06DA" w:rsidRPr="0098437B">
        <w:t xml:space="preserve">overall </w:t>
      </w:r>
      <w:r w:rsidRPr="0098437B">
        <w:t>performance of regulators.</w:t>
      </w:r>
    </w:p>
    <w:p w14:paraId="47E0D5C4" w14:textId="77777777" w:rsidR="00304723" w:rsidRPr="00B33B17" w:rsidRDefault="00304723" w:rsidP="00D92F48">
      <w:pPr>
        <w:pStyle w:val="Heading2"/>
      </w:pPr>
      <w:bookmarkStart w:id="4" w:name="_Toc38276630"/>
      <w:r w:rsidRPr="00B33B17">
        <w:t>Rationale for performance reviews</w:t>
      </w:r>
      <w:bookmarkEnd w:id="4"/>
    </w:p>
    <w:p w14:paraId="6C31A9AA" w14:textId="462197D4" w:rsidR="009F2D1D" w:rsidRDefault="00303DDF" w:rsidP="00D92F48">
      <w:pPr>
        <w:rPr>
          <w:rFonts w:eastAsiaTheme="minorHAnsi"/>
          <w:lang w:eastAsia="en-US"/>
        </w:rPr>
      </w:pPr>
      <w:r>
        <w:t>In 2009 t</w:t>
      </w:r>
      <w:r w:rsidR="00304723" w:rsidRPr="00B33B17">
        <w:t xml:space="preserve">he </w:t>
      </w:r>
      <w:r w:rsidR="00582D19">
        <w:t>Act was reviewed</w:t>
      </w:r>
      <w:r w:rsidR="00EC2762">
        <w:t>,</w:t>
      </w:r>
      <w:r w:rsidR="00582D19">
        <w:t xml:space="preserve"> </w:t>
      </w:r>
      <w:r w:rsidR="003C5CFE">
        <w:t xml:space="preserve">and the </w:t>
      </w:r>
      <w:r w:rsidR="00304723" w:rsidRPr="00B33B17">
        <w:t xml:space="preserve">Director-General of Health reported </w:t>
      </w:r>
      <w:r w:rsidR="00415E8B">
        <w:t xml:space="preserve">on </w:t>
      </w:r>
      <w:r w:rsidR="003A0DB8">
        <w:t>the results</w:t>
      </w:r>
      <w:r w:rsidR="00A5122A">
        <w:t xml:space="preserve"> of the review to </w:t>
      </w:r>
      <w:r w:rsidR="00A865A6">
        <w:t>the Minister of Health</w:t>
      </w:r>
      <w:r w:rsidR="00304723" w:rsidRPr="00B33B17">
        <w:t xml:space="preserve">. </w:t>
      </w:r>
      <w:r w:rsidR="003C5CFE" w:rsidRPr="00B33B17">
        <w:rPr>
          <w:rFonts w:eastAsiaTheme="minorHAnsi"/>
          <w:lang w:eastAsia="en-US"/>
        </w:rPr>
        <w:t>Th</w:t>
      </w:r>
      <w:r w:rsidR="003C5CFE">
        <w:rPr>
          <w:rFonts w:eastAsiaTheme="minorHAnsi"/>
          <w:lang w:eastAsia="en-US"/>
        </w:rPr>
        <w:t>e</w:t>
      </w:r>
      <w:r w:rsidR="003C5CFE" w:rsidRPr="00B33B17">
        <w:rPr>
          <w:rFonts w:eastAsiaTheme="minorHAnsi"/>
          <w:lang w:eastAsia="en-US"/>
        </w:rPr>
        <w:t xml:space="preserve"> </w:t>
      </w:r>
      <w:r w:rsidR="00304723" w:rsidRPr="00B33B17">
        <w:rPr>
          <w:rFonts w:eastAsiaTheme="minorHAnsi"/>
          <w:lang w:eastAsia="en-US"/>
        </w:rPr>
        <w:t xml:space="preserve">report noted concerns about the performance and decisions of some responsible authorities. </w:t>
      </w:r>
    </w:p>
    <w:p w14:paraId="11CA7D74" w14:textId="77777777" w:rsidR="00D92F48" w:rsidRDefault="00D92F48" w:rsidP="00D92F48">
      <w:pPr>
        <w:rPr>
          <w:rFonts w:eastAsiaTheme="minorHAnsi"/>
          <w:lang w:eastAsia="en-US"/>
        </w:rPr>
      </w:pPr>
    </w:p>
    <w:p w14:paraId="17759087" w14:textId="7731C513" w:rsidR="00304723" w:rsidRPr="00B33B17" w:rsidRDefault="00304723" w:rsidP="00D92F48">
      <w:pPr>
        <w:rPr>
          <w:rFonts w:eastAsiaTheme="minorHAnsi"/>
          <w:lang w:eastAsia="en-US"/>
        </w:rPr>
      </w:pPr>
      <w:r w:rsidRPr="00B33B17">
        <w:rPr>
          <w:rFonts w:eastAsiaTheme="minorHAnsi"/>
          <w:lang w:eastAsia="en-US"/>
        </w:rPr>
        <w:t xml:space="preserve">Some </w:t>
      </w:r>
      <w:r w:rsidR="00A865A6">
        <w:rPr>
          <w:rFonts w:eastAsiaTheme="minorHAnsi"/>
          <w:lang w:eastAsia="en-US"/>
        </w:rPr>
        <w:t xml:space="preserve">of these </w:t>
      </w:r>
      <w:r w:rsidRPr="00B33B17">
        <w:rPr>
          <w:rFonts w:eastAsiaTheme="minorHAnsi"/>
          <w:lang w:eastAsia="en-US"/>
        </w:rPr>
        <w:t>concerns arose through inadequate understanding of the roles and responsibilities of responsible authorities</w:t>
      </w:r>
      <w:r w:rsidR="000532E0">
        <w:rPr>
          <w:rFonts w:eastAsiaTheme="minorHAnsi"/>
          <w:lang w:eastAsia="en-US"/>
        </w:rPr>
        <w:t>, while o</w:t>
      </w:r>
      <w:r w:rsidRPr="00B33B17">
        <w:rPr>
          <w:rFonts w:eastAsiaTheme="minorHAnsi"/>
          <w:lang w:eastAsia="en-US"/>
        </w:rPr>
        <w:t>thers related to poor communication with stakeholders. The report suggested the Ministry could:</w:t>
      </w:r>
    </w:p>
    <w:p w14:paraId="14365A18" w14:textId="20DDE6E3" w:rsidR="00304723" w:rsidRPr="00B33B17" w:rsidRDefault="00304723" w:rsidP="00D92F48">
      <w:pPr>
        <w:pStyle w:val="Bullet"/>
        <w:rPr>
          <w:rFonts w:eastAsiaTheme="minorHAnsi"/>
          <w:lang w:eastAsia="en-US"/>
        </w:rPr>
      </w:pPr>
      <w:r w:rsidRPr="00B33B17">
        <w:rPr>
          <w:rFonts w:eastAsiaTheme="minorHAnsi"/>
          <w:lang w:eastAsia="en-US"/>
        </w:rPr>
        <w:t xml:space="preserve">educate people about the Act and the functions of </w:t>
      </w:r>
      <w:r w:rsidR="000B68D2">
        <w:rPr>
          <w:rFonts w:eastAsiaTheme="minorHAnsi"/>
          <w:lang w:eastAsia="en-US"/>
        </w:rPr>
        <w:t xml:space="preserve">responsible </w:t>
      </w:r>
      <w:r w:rsidRPr="00B33B17">
        <w:rPr>
          <w:rFonts w:eastAsiaTheme="minorHAnsi"/>
          <w:lang w:eastAsia="en-US"/>
        </w:rPr>
        <w:t>authorities</w:t>
      </w:r>
    </w:p>
    <w:p w14:paraId="042B1666" w14:textId="4B62514E" w:rsidR="00304723" w:rsidRPr="00B33B17" w:rsidRDefault="00304723" w:rsidP="00D92F48">
      <w:pPr>
        <w:pStyle w:val="Bullet"/>
        <w:rPr>
          <w:rFonts w:eastAsiaTheme="minorHAnsi"/>
          <w:lang w:eastAsia="en-US"/>
        </w:rPr>
      </w:pPr>
      <w:r w:rsidRPr="00B33B17">
        <w:rPr>
          <w:rFonts w:eastAsiaTheme="minorHAnsi"/>
          <w:lang w:eastAsia="en-US"/>
        </w:rPr>
        <w:t>develop, in consultation with the responsible authorities and sector stakeholders</w:t>
      </w:r>
      <w:r w:rsidRPr="00253BBA">
        <w:rPr>
          <w:rFonts w:eastAsiaTheme="minorHAnsi"/>
          <w:lang w:eastAsia="en-US"/>
        </w:rPr>
        <w:t xml:space="preserve">, a set of indicators of best practice </w:t>
      </w:r>
      <w:r w:rsidRPr="00B33B17">
        <w:rPr>
          <w:rFonts w:eastAsiaTheme="minorHAnsi"/>
          <w:lang w:eastAsia="en-US"/>
        </w:rPr>
        <w:t>to measure authorities’ effectiveness</w:t>
      </w:r>
    </w:p>
    <w:p w14:paraId="1D66A6D1" w14:textId="396E270A" w:rsidR="00304723" w:rsidRPr="00B33B17" w:rsidRDefault="00304723" w:rsidP="00D92F48">
      <w:pPr>
        <w:pStyle w:val="Bullet"/>
        <w:rPr>
          <w:rFonts w:eastAsiaTheme="minorHAnsi"/>
          <w:lang w:eastAsia="en-US"/>
        </w:rPr>
      </w:pPr>
      <w:r w:rsidRPr="00B33B17">
        <w:rPr>
          <w:rFonts w:eastAsiaTheme="minorHAnsi"/>
          <w:lang w:eastAsia="en-US"/>
        </w:rPr>
        <w:t>have a role</w:t>
      </w:r>
      <w:r w:rsidR="00331A9F">
        <w:rPr>
          <w:rFonts w:eastAsiaTheme="minorHAnsi"/>
          <w:lang w:eastAsia="en-US"/>
        </w:rPr>
        <w:t>,</w:t>
      </w:r>
      <w:r w:rsidRPr="00B33B17">
        <w:rPr>
          <w:rFonts w:eastAsiaTheme="minorHAnsi"/>
          <w:lang w:eastAsia="en-US"/>
        </w:rPr>
        <w:t xml:space="preserve"> if a Minister of Health chooses</w:t>
      </w:r>
      <w:r w:rsidR="00ED7834">
        <w:rPr>
          <w:rFonts w:eastAsiaTheme="minorHAnsi"/>
          <w:lang w:eastAsia="en-US"/>
        </w:rPr>
        <w:t>,</w:t>
      </w:r>
      <w:r w:rsidRPr="00B33B17">
        <w:rPr>
          <w:rFonts w:eastAsiaTheme="minorHAnsi"/>
          <w:lang w:eastAsia="en-US"/>
        </w:rPr>
        <w:t xml:space="preserve"> to use the power to audit an authority</w:t>
      </w:r>
      <w:r w:rsidR="000532E0" w:rsidRPr="000532E0">
        <w:rPr>
          <w:rFonts w:eastAsiaTheme="minorHAnsi"/>
          <w:lang w:eastAsia="en-US"/>
        </w:rPr>
        <w:t xml:space="preserve"> </w:t>
      </w:r>
      <w:r w:rsidR="000532E0">
        <w:rPr>
          <w:rFonts w:eastAsiaTheme="minorHAnsi"/>
          <w:lang w:eastAsia="en-US"/>
        </w:rPr>
        <w:t>(refer s 124 of the Act).</w:t>
      </w:r>
    </w:p>
    <w:p w14:paraId="285DC394" w14:textId="77777777" w:rsidR="00D92F48" w:rsidRDefault="00D92F48" w:rsidP="00D92F48">
      <w:pPr>
        <w:rPr>
          <w:rFonts w:eastAsiaTheme="minorHAnsi"/>
          <w:lang w:eastAsia="en-US"/>
        </w:rPr>
      </w:pPr>
    </w:p>
    <w:p w14:paraId="061A7413" w14:textId="203B9206" w:rsidR="00304723" w:rsidRPr="00B33B17" w:rsidRDefault="00304723" w:rsidP="00D92F48">
      <w:pPr>
        <w:rPr>
          <w:rFonts w:eastAsia="Calibri"/>
        </w:rPr>
      </w:pPr>
      <w:r w:rsidRPr="00B33B17">
        <w:rPr>
          <w:rFonts w:eastAsiaTheme="minorHAnsi"/>
          <w:lang w:eastAsia="en-US"/>
        </w:rPr>
        <w:t>A</w:t>
      </w:r>
      <w:r w:rsidR="002E06DA">
        <w:rPr>
          <w:rFonts w:eastAsiaTheme="minorHAnsi"/>
          <w:lang w:eastAsia="en-US"/>
        </w:rPr>
        <w:t xml:space="preserve"> 2014</w:t>
      </w:r>
      <w:r w:rsidRPr="00B33B17">
        <w:rPr>
          <w:rFonts w:eastAsiaTheme="minorHAnsi"/>
          <w:lang w:eastAsia="en-US"/>
        </w:rPr>
        <w:t xml:space="preserve"> Ministry </w:t>
      </w:r>
      <w:r w:rsidR="00123D26">
        <w:rPr>
          <w:rFonts w:eastAsiaTheme="minorHAnsi"/>
          <w:lang w:eastAsia="en-US"/>
        </w:rPr>
        <w:t xml:space="preserve">of Health </w:t>
      </w:r>
      <w:r w:rsidRPr="00B33B17">
        <w:rPr>
          <w:rFonts w:eastAsiaTheme="minorHAnsi"/>
          <w:lang w:eastAsia="en-US"/>
        </w:rPr>
        <w:t xml:space="preserve">report </w:t>
      </w:r>
      <w:r w:rsidRPr="003E0269">
        <w:rPr>
          <w:rFonts w:eastAsiaTheme="minorHAnsi"/>
          <w:i/>
          <w:lang w:eastAsia="en-US"/>
        </w:rPr>
        <w:t>The Case for Change</w:t>
      </w:r>
      <w:r w:rsidR="00655573">
        <w:rPr>
          <w:rStyle w:val="FootnoteReference"/>
          <w:rFonts w:eastAsiaTheme="minorHAnsi" w:cs="Segoe UI"/>
          <w:i/>
          <w:szCs w:val="21"/>
          <w:lang w:eastAsia="en-US"/>
        </w:rPr>
        <w:footnoteReference w:id="1"/>
      </w:r>
      <w:r w:rsidRPr="00B33B17">
        <w:rPr>
          <w:rFonts w:eastAsiaTheme="minorHAnsi"/>
          <w:lang w:eastAsia="en-US"/>
        </w:rPr>
        <w:t xml:space="preserve"> noted </w:t>
      </w:r>
      <w:r w:rsidR="00560483">
        <w:rPr>
          <w:rFonts w:eastAsiaTheme="minorHAnsi"/>
          <w:lang w:eastAsia="en-US"/>
        </w:rPr>
        <w:t xml:space="preserve">there was </w:t>
      </w:r>
      <w:r w:rsidRPr="00B33B17">
        <w:rPr>
          <w:rFonts w:eastAsia="Calibri"/>
        </w:rPr>
        <w:t xml:space="preserve">considerable variation </w:t>
      </w:r>
      <w:r w:rsidR="00560483">
        <w:rPr>
          <w:rFonts w:eastAsia="Calibri"/>
        </w:rPr>
        <w:t>in performance an</w:t>
      </w:r>
      <w:r w:rsidR="000F69F2">
        <w:rPr>
          <w:rFonts w:eastAsia="Calibri"/>
        </w:rPr>
        <w:t xml:space="preserve">d transparency </w:t>
      </w:r>
      <w:r w:rsidRPr="00B33B17">
        <w:rPr>
          <w:rFonts w:eastAsia="Calibri"/>
        </w:rPr>
        <w:t>across the responsible authorities</w:t>
      </w:r>
      <w:r w:rsidR="000F69F2">
        <w:rPr>
          <w:rFonts w:eastAsia="Calibri"/>
        </w:rPr>
        <w:t>.</w:t>
      </w:r>
    </w:p>
    <w:p w14:paraId="4D571758" w14:textId="3024BE9D" w:rsidR="00C04D25" w:rsidRDefault="005325DB" w:rsidP="00D92F48">
      <w:pPr>
        <w:rPr>
          <w:rFonts w:eastAsia="Calibri"/>
        </w:rPr>
      </w:pPr>
      <w:r>
        <w:rPr>
          <w:rFonts w:eastAsia="Calibri"/>
        </w:rPr>
        <w:t xml:space="preserve">Prior to </w:t>
      </w:r>
      <w:r w:rsidR="005F3F6A">
        <w:rPr>
          <w:rFonts w:eastAsia="Calibri"/>
        </w:rPr>
        <w:t xml:space="preserve">the 2019 </w:t>
      </w:r>
      <w:r>
        <w:rPr>
          <w:rFonts w:eastAsia="Calibri"/>
        </w:rPr>
        <w:t>amendments</w:t>
      </w:r>
      <w:r w:rsidR="003E52DC">
        <w:rPr>
          <w:rFonts w:eastAsia="Calibri"/>
        </w:rPr>
        <w:t>,</w:t>
      </w:r>
      <w:r>
        <w:rPr>
          <w:rFonts w:eastAsia="Calibri"/>
        </w:rPr>
        <w:t xml:space="preserve"> </w:t>
      </w:r>
      <w:r w:rsidR="00304723" w:rsidRPr="00B33B17">
        <w:rPr>
          <w:rFonts w:eastAsia="Calibri"/>
        </w:rPr>
        <w:t xml:space="preserve">the </w:t>
      </w:r>
      <w:r w:rsidR="00655573">
        <w:rPr>
          <w:rFonts w:eastAsia="Calibri"/>
        </w:rPr>
        <w:t xml:space="preserve">settings of the </w:t>
      </w:r>
      <w:r w:rsidR="00304723" w:rsidRPr="00B33B17">
        <w:rPr>
          <w:rFonts w:eastAsia="Calibri"/>
        </w:rPr>
        <w:t>Act d</w:t>
      </w:r>
      <w:r>
        <w:rPr>
          <w:rFonts w:eastAsia="Calibri"/>
        </w:rPr>
        <w:t>id</w:t>
      </w:r>
      <w:r w:rsidR="00304723" w:rsidRPr="00B33B17">
        <w:rPr>
          <w:rFonts w:eastAsia="Calibri"/>
        </w:rPr>
        <w:t xml:space="preserve"> not allow the Crown to assert with confidence that any or all responsible authorities are carrying out their functions as intended and that they rigorously regulate to </w:t>
      </w:r>
      <w:r w:rsidR="000532E0">
        <w:rPr>
          <w:rFonts w:eastAsia="Calibri"/>
        </w:rPr>
        <w:t xml:space="preserve">protect </w:t>
      </w:r>
      <w:r w:rsidR="00031E47">
        <w:rPr>
          <w:rFonts w:eastAsia="Calibri"/>
        </w:rPr>
        <w:t>the health and safety of members of the</w:t>
      </w:r>
      <w:r w:rsidR="00304723" w:rsidRPr="00B33B17">
        <w:rPr>
          <w:rFonts w:eastAsia="Calibri"/>
        </w:rPr>
        <w:t xml:space="preserve"> public. </w:t>
      </w:r>
    </w:p>
    <w:p w14:paraId="0CB14935" w14:textId="77777777" w:rsidR="00D92F48" w:rsidRDefault="00D92F48" w:rsidP="00D92F48">
      <w:pPr>
        <w:rPr>
          <w:rFonts w:eastAsia="Calibri"/>
        </w:rPr>
      </w:pPr>
    </w:p>
    <w:p w14:paraId="3FE3AFB4" w14:textId="08522443" w:rsidR="00304723" w:rsidRDefault="00304723" w:rsidP="00D92F48">
      <w:pPr>
        <w:rPr>
          <w:rFonts w:eastAsia="Calibri"/>
        </w:rPr>
      </w:pPr>
      <w:r w:rsidRPr="00B33B17">
        <w:rPr>
          <w:rFonts w:eastAsia="Calibri"/>
        </w:rPr>
        <w:t xml:space="preserve">The establishment of professional regulation under the Act seeks to strike a balance between professional and public-led processes. There is a risk that this balance may not be appropriately </w:t>
      </w:r>
      <w:r w:rsidR="00031E47" w:rsidRPr="00B33B17">
        <w:rPr>
          <w:rFonts w:eastAsia="Calibri"/>
        </w:rPr>
        <w:t>maintained,</w:t>
      </w:r>
      <w:r w:rsidRPr="00B33B17">
        <w:rPr>
          <w:rFonts w:eastAsia="Calibri"/>
        </w:rPr>
        <w:t xml:space="preserve"> and</w:t>
      </w:r>
      <w:r w:rsidR="00031E47">
        <w:rPr>
          <w:rFonts w:eastAsia="Calibri"/>
        </w:rPr>
        <w:t xml:space="preserve"> that</w:t>
      </w:r>
      <w:r w:rsidRPr="00B33B17">
        <w:rPr>
          <w:rFonts w:eastAsia="Calibri"/>
        </w:rPr>
        <w:t xml:space="preserve"> a responsible authority </w:t>
      </w:r>
      <w:r w:rsidR="00031E47">
        <w:rPr>
          <w:rFonts w:eastAsia="Calibri"/>
        </w:rPr>
        <w:t>could</w:t>
      </w:r>
      <w:r w:rsidRPr="00B33B17">
        <w:rPr>
          <w:rFonts w:eastAsia="Calibri"/>
        </w:rPr>
        <w:t xml:space="preserve"> become subject to </w:t>
      </w:r>
      <w:r w:rsidR="00031E47">
        <w:rPr>
          <w:rFonts w:eastAsia="Calibri"/>
        </w:rPr>
        <w:t xml:space="preserve">a </w:t>
      </w:r>
      <w:r w:rsidRPr="00B33B17">
        <w:rPr>
          <w:rFonts w:eastAsia="Calibri"/>
        </w:rPr>
        <w:t xml:space="preserve">level of regulatory capture that </w:t>
      </w:r>
      <w:r w:rsidR="00031E47">
        <w:rPr>
          <w:rFonts w:eastAsia="Calibri"/>
        </w:rPr>
        <w:t>may undermine</w:t>
      </w:r>
      <w:r w:rsidRPr="00B33B17">
        <w:rPr>
          <w:rFonts w:eastAsia="Calibri"/>
        </w:rPr>
        <w:t xml:space="preserve"> impartiality. </w:t>
      </w:r>
    </w:p>
    <w:p w14:paraId="5245E60C" w14:textId="77777777" w:rsidR="00D92F48" w:rsidRPr="00B33B17" w:rsidRDefault="00D92F48" w:rsidP="00D92F48">
      <w:pPr>
        <w:rPr>
          <w:rFonts w:eastAsia="Calibri"/>
        </w:rPr>
      </w:pPr>
    </w:p>
    <w:p w14:paraId="43C44E0B" w14:textId="5E972DAE" w:rsidR="004F45FB" w:rsidRDefault="00304723" w:rsidP="00D92F48">
      <w:pPr>
        <w:rPr>
          <w:rFonts w:eastAsia="Calibri"/>
        </w:rPr>
      </w:pPr>
      <w:r w:rsidRPr="00B33B17">
        <w:rPr>
          <w:rFonts w:eastAsia="Calibri"/>
        </w:rPr>
        <w:t xml:space="preserve">Jurisdictions overseas tend to provide more scrutiny of their health regulators than </w:t>
      </w:r>
      <w:r w:rsidR="003A76E2">
        <w:rPr>
          <w:rFonts w:eastAsia="Calibri"/>
        </w:rPr>
        <w:t xml:space="preserve">currently </w:t>
      </w:r>
      <w:r w:rsidR="00446F77">
        <w:rPr>
          <w:rFonts w:eastAsia="Calibri"/>
        </w:rPr>
        <w:t>happens</w:t>
      </w:r>
      <w:r w:rsidR="00446F77" w:rsidRPr="00B33B17">
        <w:rPr>
          <w:rFonts w:eastAsia="Calibri"/>
        </w:rPr>
        <w:t xml:space="preserve"> </w:t>
      </w:r>
      <w:r w:rsidRPr="00B33B17">
        <w:rPr>
          <w:rFonts w:eastAsia="Calibri"/>
        </w:rPr>
        <w:t xml:space="preserve">in New Zealand. For example, in the United Kingdom the Professional Standards Authority scrutinises and oversees the </w:t>
      </w:r>
      <w:r w:rsidR="00031E47">
        <w:rPr>
          <w:rFonts w:eastAsia="Calibri"/>
        </w:rPr>
        <w:t xml:space="preserve">nine </w:t>
      </w:r>
      <w:r w:rsidRPr="00B33B17">
        <w:rPr>
          <w:rFonts w:eastAsia="Calibri"/>
        </w:rPr>
        <w:t xml:space="preserve">organisations that regulate health professionals. </w:t>
      </w:r>
    </w:p>
    <w:p w14:paraId="68C04573" w14:textId="77777777" w:rsidR="00D92F48" w:rsidRDefault="00D92F48" w:rsidP="00D92F48">
      <w:pPr>
        <w:rPr>
          <w:rFonts w:eastAsia="Calibri"/>
        </w:rPr>
      </w:pPr>
    </w:p>
    <w:p w14:paraId="1CD86C14" w14:textId="3335336E" w:rsidR="00304723" w:rsidRDefault="004F45FB" w:rsidP="00D92F48">
      <w:pPr>
        <w:rPr>
          <w:rFonts w:eastAsia="Calibri"/>
        </w:rPr>
      </w:pPr>
      <w:r>
        <w:rPr>
          <w:rFonts w:eastAsia="Calibri"/>
        </w:rPr>
        <w:t>In</w:t>
      </w:r>
      <w:r w:rsidR="00304723" w:rsidRPr="00B33B17">
        <w:rPr>
          <w:rFonts w:eastAsia="Calibri"/>
        </w:rPr>
        <w:t xml:space="preserve"> New Zealand, an oversight body</w:t>
      </w:r>
      <w:r w:rsidR="000E3F2F">
        <w:rPr>
          <w:rFonts w:eastAsia="Calibri"/>
        </w:rPr>
        <w:t xml:space="preserve"> like the Professional Standards Authority </w:t>
      </w:r>
      <w:r w:rsidR="00304723" w:rsidRPr="00B33B17">
        <w:rPr>
          <w:rFonts w:eastAsia="Calibri"/>
        </w:rPr>
        <w:t xml:space="preserve">may not be the best solution </w:t>
      </w:r>
      <w:r w:rsidRPr="00B33B17">
        <w:rPr>
          <w:rFonts w:eastAsia="Calibri"/>
        </w:rPr>
        <w:t xml:space="preserve">because such an independent body would significantly </w:t>
      </w:r>
      <w:r>
        <w:rPr>
          <w:rFonts w:eastAsia="Calibri"/>
        </w:rPr>
        <w:t xml:space="preserve">add </w:t>
      </w:r>
      <w:r w:rsidRPr="00B33B17">
        <w:rPr>
          <w:rFonts w:eastAsia="Calibri"/>
        </w:rPr>
        <w:t xml:space="preserve">to the costs of </w:t>
      </w:r>
      <w:r>
        <w:rPr>
          <w:rFonts w:eastAsia="Calibri"/>
        </w:rPr>
        <w:t xml:space="preserve">regulating </w:t>
      </w:r>
      <w:r w:rsidRPr="00B33B17">
        <w:rPr>
          <w:rFonts w:eastAsia="Calibri"/>
        </w:rPr>
        <w:t>health practitioner</w:t>
      </w:r>
      <w:r w:rsidR="003A4A85">
        <w:rPr>
          <w:rFonts w:eastAsia="Calibri"/>
        </w:rPr>
        <w:t>s</w:t>
      </w:r>
      <w:r w:rsidR="00304723" w:rsidRPr="00B33B17">
        <w:rPr>
          <w:rFonts w:eastAsia="Calibri"/>
        </w:rPr>
        <w:t xml:space="preserve">. However, </w:t>
      </w:r>
      <w:r w:rsidR="001D6E52">
        <w:rPr>
          <w:rFonts w:eastAsia="Calibri"/>
        </w:rPr>
        <w:t xml:space="preserve">the issue of </w:t>
      </w:r>
      <w:r w:rsidR="00304723" w:rsidRPr="00B33B17">
        <w:rPr>
          <w:rFonts w:eastAsia="Calibri"/>
        </w:rPr>
        <w:t xml:space="preserve">oversight and assurance remains and an alternative means of assuring the integrity and </w:t>
      </w:r>
      <w:r w:rsidR="00031E47">
        <w:rPr>
          <w:rFonts w:eastAsia="Calibri"/>
        </w:rPr>
        <w:t xml:space="preserve">effectiveness </w:t>
      </w:r>
      <w:r w:rsidR="00304723" w:rsidRPr="00B33B17">
        <w:rPr>
          <w:rFonts w:eastAsia="Calibri"/>
        </w:rPr>
        <w:t xml:space="preserve">of regulation needs to be </w:t>
      </w:r>
      <w:r w:rsidR="003A76E2">
        <w:rPr>
          <w:rFonts w:eastAsia="Calibri"/>
        </w:rPr>
        <w:t>developed</w:t>
      </w:r>
      <w:r w:rsidR="00304723" w:rsidRPr="00B33B17">
        <w:rPr>
          <w:rFonts w:eastAsia="Calibri"/>
        </w:rPr>
        <w:t xml:space="preserve">. </w:t>
      </w:r>
    </w:p>
    <w:p w14:paraId="1B02D6F5" w14:textId="77777777" w:rsidR="00D92F48" w:rsidRPr="00B33B17" w:rsidRDefault="00D92F48" w:rsidP="00D92F48">
      <w:pPr>
        <w:rPr>
          <w:rFonts w:eastAsia="Calibri"/>
        </w:rPr>
      </w:pPr>
    </w:p>
    <w:p w14:paraId="45AFA3AB" w14:textId="0C4E1123" w:rsidR="00304723" w:rsidRPr="00B33B17" w:rsidRDefault="00304723" w:rsidP="00D92F48">
      <w:pPr>
        <w:rPr>
          <w:rFonts w:eastAsia="Calibri"/>
        </w:rPr>
      </w:pPr>
      <w:r w:rsidRPr="00B33B17">
        <w:rPr>
          <w:rFonts w:eastAsia="Calibri"/>
        </w:rPr>
        <w:t xml:space="preserve">Independent performance reviews </w:t>
      </w:r>
      <w:r w:rsidR="005311FA">
        <w:rPr>
          <w:rFonts w:eastAsia="Calibri"/>
        </w:rPr>
        <w:t>will</w:t>
      </w:r>
      <w:r w:rsidRPr="00B33B17">
        <w:rPr>
          <w:rFonts w:eastAsia="Calibri"/>
        </w:rPr>
        <w:t xml:space="preserve"> help improve confidence in responsible authorities and the </w:t>
      </w:r>
      <w:r w:rsidR="003A76E2">
        <w:rPr>
          <w:rFonts w:eastAsia="Calibri"/>
        </w:rPr>
        <w:t xml:space="preserve">HPCA </w:t>
      </w:r>
      <w:r w:rsidRPr="00B33B17">
        <w:rPr>
          <w:rFonts w:eastAsia="Calibri"/>
        </w:rPr>
        <w:t>Act</w:t>
      </w:r>
      <w:r w:rsidR="005325DB">
        <w:rPr>
          <w:rFonts w:eastAsia="Calibri"/>
        </w:rPr>
        <w:t xml:space="preserve">, in an affordable and sustainable </w:t>
      </w:r>
      <w:r w:rsidR="00E64749">
        <w:rPr>
          <w:rFonts w:eastAsia="Calibri"/>
        </w:rPr>
        <w:t>way</w:t>
      </w:r>
      <w:r w:rsidRPr="00B33B17">
        <w:rPr>
          <w:rFonts w:eastAsia="Calibri"/>
        </w:rPr>
        <w:t>.</w:t>
      </w:r>
    </w:p>
    <w:p w14:paraId="7E2EE3A3" w14:textId="77777777" w:rsidR="00321192" w:rsidRDefault="00321192" w:rsidP="00D92F48">
      <w:pPr>
        <w:rPr>
          <w:rFonts w:eastAsia="Calibri"/>
        </w:rPr>
      </w:pPr>
      <w:r>
        <w:rPr>
          <w:rFonts w:eastAsia="Calibri"/>
        </w:rPr>
        <w:br w:type="page"/>
      </w:r>
    </w:p>
    <w:p w14:paraId="7E26C291" w14:textId="12C72DA6" w:rsidR="00304723" w:rsidRPr="00B33B17" w:rsidRDefault="00304723" w:rsidP="00D92F48">
      <w:pPr>
        <w:pStyle w:val="Heading1"/>
        <w:rPr>
          <w:rFonts w:eastAsia="Calibri"/>
        </w:rPr>
      </w:pPr>
      <w:bookmarkStart w:id="5" w:name="_Toc38276631"/>
      <w:r w:rsidRPr="00B33B17">
        <w:rPr>
          <w:rFonts w:eastAsia="Calibri"/>
        </w:rPr>
        <w:lastRenderedPageBreak/>
        <w:t>Issues to be addressed</w:t>
      </w:r>
      <w:bookmarkEnd w:id="5"/>
    </w:p>
    <w:p w14:paraId="03085068" w14:textId="317243CA" w:rsidR="00304723" w:rsidRDefault="00304723" w:rsidP="00D92F48">
      <w:pPr>
        <w:rPr>
          <w:rFonts w:eastAsia="Calibri"/>
        </w:rPr>
      </w:pPr>
      <w:r w:rsidRPr="00B33B17">
        <w:rPr>
          <w:rFonts w:eastAsia="Calibri"/>
        </w:rPr>
        <w:t xml:space="preserve">While New Zealand’s responsible authorities </w:t>
      </w:r>
      <w:r w:rsidR="00535755">
        <w:rPr>
          <w:rFonts w:eastAsia="Calibri"/>
        </w:rPr>
        <w:t>have a</w:t>
      </w:r>
      <w:r w:rsidR="00535755" w:rsidRPr="00B33B17">
        <w:rPr>
          <w:rFonts w:eastAsia="Calibri"/>
        </w:rPr>
        <w:t xml:space="preserve"> </w:t>
      </w:r>
      <w:r w:rsidRPr="00B33B17">
        <w:rPr>
          <w:rFonts w:eastAsia="Calibri"/>
        </w:rPr>
        <w:t xml:space="preserve">strong knowledge and understanding of the Act, </w:t>
      </w:r>
      <w:r w:rsidR="00031E47">
        <w:rPr>
          <w:rFonts w:eastAsia="Calibri"/>
        </w:rPr>
        <w:t xml:space="preserve">health </w:t>
      </w:r>
      <w:r w:rsidRPr="00B33B17">
        <w:rPr>
          <w:rFonts w:eastAsia="Calibri"/>
        </w:rPr>
        <w:t xml:space="preserve">practitioners sometimes appear to </w:t>
      </w:r>
      <w:r w:rsidR="00225477">
        <w:rPr>
          <w:rFonts w:eastAsia="Calibri"/>
        </w:rPr>
        <w:t xml:space="preserve">not </w:t>
      </w:r>
      <w:r w:rsidRPr="00B33B17">
        <w:rPr>
          <w:rFonts w:eastAsia="Calibri"/>
        </w:rPr>
        <w:t xml:space="preserve">recognise that the Act’s purpose is essentially outward </w:t>
      </w:r>
      <w:r w:rsidR="003A76E2">
        <w:rPr>
          <w:rFonts w:eastAsia="Calibri"/>
        </w:rPr>
        <w:t>–</w:t>
      </w:r>
      <w:r w:rsidRPr="00B33B17">
        <w:rPr>
          <w:rFonts w:eastAsia="Calibri"/>
        </w:rPr>
        <w:t xml:space="preserve"> on protecting </w:t>
      </w:r>
      <w:r w:rsidR="00031E47">
        <w:rPr>
          <w:rFonts w:eastAsia="Calibri"/>
        </w:rPr>
        <w:t xml:space="preserve">the safety of the </w:t>
      </w:r>
      <w:r w:rsidRPr="00B33B17">
        <w:rPr>
          <w:rFonts w:eastAsia="Calibri"/>
        </w:rPr>
        <w:t xml:space="preserve">public </w:t>
      </w:r>
      <w:r w:rsidR="003A76E2">
        <w:rPr>
          <w:rFonts w:eastAsia="Calibri"/>
        </w:rPr>
        <w:t>–</w:t>
      </w:r>
      <w:r w:rsidRPr="00B33B17">
        <w:rPr>
          <w:rFonts w:eastAsia="Calibri"/>
        </w:rPr>
        <w:t xml:space="preserve"> rather than inward </w:t>
      </w:r>
      <w:r w:rsidR="003A76E2">
        <w:rPr>
          <w:rFonts w:eastAsia="Calibri"/>
        </w:rPr>
        <w:t>–</w:t>
      </w:r>
      <w:r w:rsidRPr="00B33B17">
        <w:rPr>
          <w:rFonts w:eastAsia="Calibri"/>
        </w:rPr>
        <w:t xml:space="preserve"> on </w:t>
      </w:r>
      <w:r w:rsidR="00E411C9">
        <w:rPr>
          <w:rFonts w:eastAsia="Calibri"/>
        </w:rPr>
        <w:t xml:space="preserve">prioritising the welfare of </w:t>
      </w:r>
      <w:r w:rsidRPr="00B33B17">
        <w:rPr>
          <w:rFonts w:eastAsia="Calibri"/>
        </w:rPr>
        <w:t>the profession.</w:t>
      </w:r>
      <w:r w:rsidR="002235D4">
        <w:rPr>
          <w:rFonts w:eastAsia="Calibri"/>
        </w:rPr>
        <w:t xml:space="preserve"> </w:t>
      </w:r>
    </w:p>
    <w:p w14:paraId="079F6E49" w14:textId="77777777" w:rsidR="00D92F48" w:rsidRPr="00B33B17" w:rsidRDefault="00D92F48" w:rsidP="00D92F48">
      <w:pPr>
        <w:rPr>
          <w:rFonts w:eastAsia="Calibri"/>
        </w:rPr>
      </w:pPr>
    </w:p>
    <w:p w14:paraId="71015FEC" w14:textId="0A568817" w:rsidR="00304723" w:rsidRDefault="00E411C9" w:rsidP="00D92F48">
      <w:pPr>
        <w:rPr>
          <w:rFonts w:eastAsia="Calibri"/>
        </w:rPr>
      </w:pPr>
      <w:r>
        <w:rPr>
          <w:rFonts w:eastAsia="Calibri"/>
        </w:rPr>
        <w:t>C</w:t>
      </w:r>
      <w:r w:rsidR="00304723" w:rsidRPr="00B33B17">
        <w:rPr>
          <w:rFonts w:eastAsia="Calibri"/>
        </w:rPr>
        <w:t xml:space="preserve">onsumers of health services </w:t>
      </w:r>
      <w:r>
        <w:rPr>
          <w:rFonts w:eastAsia="Calibri"/>
        </w:rPr>
        <w:t xml:space="preserve">and the wider public </w:t>
      </w:r>
      <w:r w:rsidR="00304723" w:rsidRPr="00B33B17">
        <w:rPr>
          <w:rFonts w:eastAsia="Calibri"/>
        </w:rPr>
        <w:t>are</w:t>
      </w:r>
      <w:r>
        <w:rPr>
          <w:rFonts w:eastAsia="Calibri"/>
        </w:rPr>
        <w:t xml:space="preserve"> generally</w:t>
      </w:r>
      <w:r w:rsidR="00304723" w:rsidRPr="00B33B17">
        <w:rPr>
          <w:rFonts w:eastAsia="Calibri"/>
        </w:rPr>
        <w:t xml:space="preserve"> not well informed about how the Act protects them, how it relates to their health care needs, and what part </w:t>
      </w:r>
      <w:r w:rsidR="001A7BC2">
        <w:rPr>
          <w:rFonts w:eastAsia="Calibri"/>
        </w:rPr>
        <w:t>they can</w:t>
      </w:r>
      <w:r w:rsidR="00304723" w:rsidRPr="00B33B17">
        <w:rPr>
          <w:rFonts w:eastAsia="Calibri"/>
        </w:rPr>
        <w:t xml:space="preserve"> in its effectiveness. </w:t>
      </w:r>
    </w:p>
    <w:p w14:paraId="34AF9C38" w14:textId="77777777" w:rsidR="00D92F48" w:rsidRPr="00B33B17" w:rsidRDefault="00D92F48" w:rsidP="00D92F48">
      <w:pPr>
        <w:rPr>
          <w:rFonts w:eastAsia="Calibri"/>
        </w:rPr>
      </w:pPr>
    </w:p>
    <w:p w14:paraId="5CC9DF24" w14:textId="5008DD38" w:rsidR="00304723" w:rsidRDefault="00304723" w:rsidP="00D92F48">
      <w:pPr>
        <w:rPr>
          <w:rFonts w:eastAsia="Calibri"/>
        </w:rPr>
      </w:pPr>
      <w:r w:rsidRPr="00B33B17">
        <w:rPr>
          <w:rFonts w:eastAsia="Calibri"/>
        </w:rPr>
        <w:t xml:space="preserve">Public information about the Act is available on </w:t>
      </w:r>
      <w:r w:rsidR="001A7BC2">
        <w:rPr>
          <w:rFonts w:eastAsia="Calibri"/>
        </w:rPr>
        <w:t xml:space="preserve">the </w:t>
      </w:r>
      <w:r w:rsidRPr="00B33B17">
        <w:rPr>
          <w:rFonts w:eastAsia="Calibri"/>
        </w:rPr>
        <w:t xml:space="preserve">Ministry </w:t>
      </w:r>
      <w:r w:rsidR="001A7BC2">
        <w:rPr>
          <w:rFonts w:eastAsia="Calibri"/>
        </w:rPr>
        <w:t xml:space="preserve">of Health </w:t>
      </w:r>
      <w:r w:rsidRPr="00B33B17">
        <w:rPr>
          <w:rFonts w:eastAsia="Calibri"/>
        </w:rPr>
        <w:t xml:space="preserve">and responsible authority websites. </w:t>
      </w:r>
      <w:r w:rsidR="00E411C9">
        <w:rPr>
          <w:rFonts w:eastAsia="Calibri"/>
        </w:rPr>
        <w:t xml:space="preserve">Some </w:t>
      </w:r>
      <w:r w:rsidR="002955C6">
        <w:rPr>
          <w:rFonts w:eastAsia="Calibri"/>
        </w:rPr>
        <w:t xml:space="preserve">of </w:t>
      </w:r>
      <w:r w:rsidRPr="00B33B17">
        <w:rPr>
          <w:rFonts w:eastAsia="Calibri"/>
        </w:rPr>
        <w:t xml:space="preserve">the information </w:t>
      </w:r>
      <w:r w:rsidR="002955C6">
        <w:rPr>
          <w:rFonts w:eastAsia="Calibri"/>
        </w:rPr>
        <w:t xml:space="preserve">appears to focus on </w:t>
      </w:r>
      <w:r w:rsidRPr="00B33B17">
        <w:rPr>
          <w:rFonts w:eastAsia="Calibri"/>
        </w:rPr>
        <w:t xml:space="preserve">needs of health professionals rather than those of consumers. Information </w:t>
      </w:r>
      <w:r w:rsidR="00612230">
        <w:rPr>
          <w:rFonts w:eastAsia="Calibri"/>
        </w:rPr>
        <w:t>is not written in</w:t>
      </w:r>
      <w:r w:rsidRPr="00B33B17">
        <w:rPr>
          <w:rFonts w:eastAsia="Calibri"/>
        </w:rPr>
        <w:t xml:space="preserve"> plain English </w:t>
      </w:r>
      <w:r w:rsidR="00E8169F">
        <w:rPr>
          <w:rFonts w:eastAsia="Calibri"/>
        </w:rPr>
        <w:t xml:space="preserve">and, </w:t>
      </w:r>
      <w:r w:rsidR="00B36A41">
        <w:rPr>
          <w:rFonts w:eastAsia="Calibri"/>
        </w:rPr>
        <w:t>i</w:t>
      </w:r>
      <w:r w:rsidRPr="00B33B17">
        <w:rPr>
          <w:rFonts w:eastAsia="Calibri"/>
        </w:rPr>
        <w:t xml:space="preserve">n many instances, </w:t>
      </w:r>
      <w:r w:rsidR="00B36A41">
        <w:rPr>
          <w:rFonts w:eastAsia="Calibri"/>
        </w:rPr>
        <w:t xml:space="preserve">is hard to find. </w:t>
      </w:r>
      <w:r w:rsidRPr="00B33B17">
        <w:rPr>
          <w:rFonts w:eastAsia="Calibri"/>
        </w:rPr>
        <w:t xml:space="preserve">The information that is available tends to be fragmented across professions, rather than giving </w:t>
      </w:r>
      <w:r w:rsidR="00DB55CC">
        <w:rPr>
          <w:rFonts w:eastAsia="Calibri"/>
        </w:rPr>
        <w:t>an overview</w:t>
      </w:r>
      <w:r w:rsidRPr="00B33B17">
        <w:rPr>
          <w:rFonts w:eastAsia="Calibri"/>
        </w:rPr>
        <w:t xml:space="preserve"> of how the provisions of the Act can respond to consumer</w:t>
      </w:r>
      <w:r w:rsidR="00DB55CC">
        <w:rPr>
          <w:rFonts w:eastAsia="Calibri"/>
        </w:rPr>
        <w:t>s’</w:t>
      </w:r>
      <w:r w:rsidRPr="00B33B17">
        <w:rPr>
          <w:rFonts w:eastAsia="Calibri"/>
        </w:rPr>
        <w:t xml:space="preserve"> needs and concerns. </w:t>
      </w:r>
    </w:p>
    <w:p w14:paraId="7F1B951E" w14:textId="77777777" w:rsidR="00D92F48" w:rsidRPr="00B33B17" w:rsidRDefault="00D92F48" w:rsidP="00D92F48">
      <w:pPr>
        <w:rPr>
          <w:rFonts w:eastAsia="Calibri"/>
        </w:rPr>
      </w:pPr>
    </w:p>
    <w:p w14:paraId="478242F7" w14:textId="362A0D54" w:rsidR="00304723" w:rsidRPr="00B33B17" w:rsidRDefault="00304723" w:rsidP="00D92F48">
      <w:pPr>
        <w:rPr>
          <w:rFonts w:eastAsia="Calibri"/>
        </w:rPr>
      </w:pPr>
      <w:r w:rsidRPr="00B33B17">
        <w:rPr>
          <w:rFonts w:eastAsia="Calibri"/>
        </w:rPr>
        <w:t xml:space="preserve">There is a contrast between the lack of information about the Act </w:t>
      </w:r>
      <w:r w:rsidR="00103E09">
        <w:rPr>
          <w:rFonts w:eastAsia="Calibri"/>
        </w:rPr>
        <w:t xml:space="preserve">provided by the responsible authorities </w:t>
      </w:r>
      <w:r w:rsidRPr="00B33B17">
        <w:rPr>
          <w:rFonts w:eastAsia="Calibri"/>
        </w:rPr>
        <w:t xml:space="preserve">and the information </w:t>
      </w:r>
      <w:r w:rsidR="00103E09">
        <w:rPr>
          <w:rFonts w:eastAsia="Calibri"/>
        </w:rPr>
        <w:t>people can access regarding</w:t>
      </w:r>
      <w:r w:rsidRPr="00B33B17">
        <w:rPr>
          <w:rFonts w:eastAsia="Calibri"/>
        </w:rPr>
        <w:t xml:space="preserve"> the Health and Disability Commissioner’s role. </w:t>
      </w:r>
    </w:p>
    <w:p w14:paraId="01E053AB" w14:textId="77777777" w:rsidR="00304723" w:rsidRPr="00D92F48" w:rsidRDefault="00304723" w:rsidP="00D92F48">
      <w:pPr>
        <w:pStyle w:val="Heading2"/>
      </w:pPr>
      <w:bookmarkStart w:id="6" w:name="_Toc38276632"/>
      <w:r w:rsidRPr="00D92F48">
        <w:t>Transparency and impartiality</w:t>
      </w:r>
      <w:bookmarkEnd w:id="6"/>
    </w:p>
    <w:p w14:paraId="15F68205" w14:textId="044F45D6" w:rsidR="00304723" w:rsidRDefault="00304723" w:rsidP="00D92F48">
      <w:pPr>
        <w:rPr>
          <w:rFonts w:eastAsia="Calibri"/>
        </w:rPr>
      </w:pPr>
      <w:r w:rsidRPr="00B33B17">
        <w:rPr>
          <w:rFonts w:eastAsia="Calibri"/>
        </w:rPr>
        <w:t xml:space="preserve">As well as knowing that the Act exists to protect the safety of </w:t>
      </w:r>
      <w:r w:rsidR="00103E09">
        <w:rPr>
          <w:rFonts w:eastAsia="Calibri"/>
        </w:rPr>
        <w:t>the public</w:t>
      </w:r>
      <w:r w:rsidRPr="00B33B17">
        <w:rPr>
          <w:rFonts w:eastAsia="Calibri"/>
        </w:rPr>
        <w:t xml:space="preserve">, stakeholders </w:t>
      </w:r>
      <w:r w:rsidR="003A76E2">
        <w:rPr>
          <w:rFonts w:eastAsia="Calibri"/>
        </w:rPr>
        <w:t>–</w:t>
      </w:r>
      <w:r w:rsidRPr="00B33B17">
        <w:rPr>
          <w:rFonts w:eastAsia="Calibri"/>
        </w:rPr>
        <w:t xml:space="preserve"> practitioners, consumers</w:t>
      </w:r>
      <w:r w:rsidR="00E84501">
        <w:rPr>
          <w:rFonts w:eastAsia="Calibri"/>
        </w:rPr>
        <w:t>,</w:t>
      </w:r>
      <w:r w:rsidRPr="00B33B17">
        <w:rPr>
          <w:rFonts w:eastAsia="Calibri"/>
        </w:rPr>
        <w:t xml:space="preserve"> and employers </w:t>
      </w:r>
      <w:r w:rsidR="003A76E2">
        <w:rPr>
          <w:rFonts w:eastAsia="Calibri"/>
        </w:rPr>
        <w:t>–</w:t>
      </w:r>
      <w:r w:rsidRPr="00B33B17">
        <w:rPr>
          <w:rFonts w:eastAsia="Calibri"/>
        </w:rPr>
        <w:t xml:space="preserve"> need to know that </w:t>
      </w:r>
      <w:r w:rsidR="008D3BEB">
        <w:rPr>
          <w:rFonts w:eastAsia="Calibri"/>
        </w:rPr>
        <w:t>using the</w:t>
      </w:r>
      <w:r w:rsidRPr="00B33B17">
        <w:rPr>
          <w:rFonts w:eastAsia="Calibri"/>
        </w:rPr>
        <w:t xml:space="preserve"> provisions in the Act will have timely, consistent</w:t>
      </w:r>
      <w:r w:rsidR="00103E09">
        <w:rPr>
          <w:rFonts w:eastAsia="Calibri"/>
        </w:rPr>
        <w:t>,</w:t>
      </w:r>
      <w:r w:rsidRPr="00B33B17">
        <w:rPr>
          <w:rFonts w:eastAsia="Calibri"/>
        </w:rPr>
        <w:t xml:space="preserve"> and impartial outcomes. They can only have this confidence if there is a level of transparency about the operations of responsible authorities that provides evidence of such outcomes.</w:t>
      </w:r>
      <w:r w:rsidR="002235D4">
        <w:rPr>
          <w:rFonts w:eastAsia="Calibri"/>
        </w:rPr>
        <w:t xml:space="preserve"> </w:t>
      </w:r>
    </w:p>
    <w:p w14:paraId="7036D0AC" w14:textId="77777777" w:rsidR="00D92F48" w:rsidRPr="00B33B17" w:rsidRDefault="00D92F48" w:rsidP="00D92F48">
      <w:pPr>
        <w:rPr>
          <w:rFonts w:eastAsia="Calibri"/>
        </w:rPr>
      </w:pPr>
    </w:p>
    <w:p w14:paraId="2CE6A474" w14:textId="01F03D97" w:rsidR="00304723" w:rsidRDefault="00304723" w:rsidP="00D92F48">
      <w:pPr>
        <w:rPr>
          <w:rFonts w:eastAsia="Calibri"/>
        </w:rPr>
      </w:pPr>
      <w:r w:rsidRPr="00B33B17">
        <w:rPr>
          <w:rFonts w:eastAsia="Calibri"/>
        </w:rPr>
        <w:t xml:space="preserve">Currently, transparency </w:t>
      </w:r>
      <w:r w:rsidR="00103E09" w:rsidRPr="00B33B17">
        <w:rPr>
          <w:rFonts w:eastAsia="Calibri"/>
        </w:rPr>
        <w:t>varies</w:t>
      </w:r>
      <w:r w:rsidR="00E84501">
        <w:rPr>
          <w:rFonts w:eastAsia="Calibri"/>
        </w:rPr>
        <w:t xml:space="preserve"> between responsible authorities</w:t>
      </w:r>
      <w:r w:rsidRPr="00B33B17">
        <w:rPr>
          <w:rFonts w:eastAsia="Calibri"/>
        </w:rPr>
        <w:t xml:space="preserve"> and it is hard to judge levels of timeliness, consistency</w:t>
      </w:r>
      <w:r w:rsidR="00103E09">
        <w:rPr>
          <w:rFonts w:eastAsia="Calibri"/>
        </w:rPr>
        <w:t>,</w:t>
      </w:r>
      <w:r w:rsidRPr="00B33B17">
        <w:rPr>
          <w:rFonts w:eastAsia="Calibri"/>
        </w:rPr>
        <w:t xml:space="preserve"> and impartiality. </w:t>
      </w:r>
      <w:r w:rsidR="00EA5DA7">
        <w:rPr>
          <w:rFonts w:eastAsia="Calibri"/>
        </w:rPr>
        <w:t>R</w:t>
      </w:r>
      <w:r w:rsidRPr="00B33B17">
        <w:rPr>
          <w:rFonts w:eastAsia="Calibri"/>
        </w:rPr>
        <w:t>esponsible authorities are not Crown entities</w:t>
      </w:r>
      <w:r w:rsidR="00EA5DA7">
        <w:rPr>
          <w:rFonts w:eastAsia="Calibri"/>
        </w:rPr>
        <w:t xml:space="preserve"> and are </w:t>
      </w:r>
      <w:r w:rsidRPr="00B33B17">
        <w:rPr>
          <w:rFonts w:eastAsia="Calibri"/>
        </w:rPr>
        <w:t xml:space="preserve">not subject to the Official Information Act </w:t>
      </w:r>
      <w:r w:rsidR="00C256EE">
        <w:rPr>
          <w:rFonts w:eastAsia="Calibri"/>
        </w:rPr>
        <w:t xml:space="preserve">1982 </w:t>
      </w:r>
      <w:r w:rsidRPr="00B33B17">
        <w:rPr>
          <w:rFonts w:eastAsia="Calibri"/>
        </w:rPr>
        <w:t xml:space="preserve">and stakeholders cannot use </w:t>
      </w:r>
      <w:r w:rsidR="00403EC0">
        <w:rPr>
          <w:rFonts w:eastAsia="Calibri"/>
        </w:rPr>
        <w:t xml:space="preserve">it to find out </w:t>
      </w:r>
      <w:r w:rsidR="00B52CB0">
        <w:rPr>
          <w:rFonts w:eastAsia="Calibri"/>
        </w:rPr>
        <w:t xml:space="preserve">about </w:t>
      </w:r>
      <w:r w:rsidRPr="00B33B17">
        <w:rPr>
          <w:rFonts w:eastAsia="Calibri"/>
        </w:rPr>
        <w:t>responsible authorit</w:t>
      </w:r>
      <w:r w:rsidR="00B52CB0">
        <w:rPr>
          <w:rFonts w:eastAsia="Calibri"/>
        </w:rPr>
        <w:t>ies’</w:t>
      </w:r>
      <w:r w:rsidRPr="00B33B17">
        <w:rPr>
          <w:rFonts w:eastAsia="Calibri"/>
        </w:rPr>
        <w:t xml:space="preserve"> policies, procedures</w:t>
      </w:r>
      <w:r w:rsidR="00103E09">
        <w:rPr>
          <w:rFonts w:eastAsia="Calibri"/>
        </w:rPr>
        <w:t>,</w:t>
      </w:r>
      <w:r w:rsidRPr="00B33B17">
        <w:rPr>
          <w:rFonts w:eastAsia="Calibri"/>
        </w:rPr>
        <w:t xml:space="preserve"> and decisions.</w:t>
      </w:r>
    </w:p>
    <w:p w14:paraId="78777AEE" w14:textId="77777777" w:rsidR="00D92F48" w:rsidRPr="00B33B17" w:rsidRDefault="00D92F48" w:rsidP="00D92F48">
      <w:pPr>
        <w:rPr>
          <w:rFonts w:eastAsia="Calibri"/>
        </w:rPr>
      </w:pPr>
    </w:p>
    <w:p w14:paraId="6B5656E5" w14:textId="1AB3FBB2" w:rsidR="005E235C" w:rsidRDefault="002E14EA" w:rsidP="00D92F48">
      <w:pPr>
        <w:rPr>
          <w:rFonts w:eastAsia="Calibri"/>
        </w:rPr>
      </w:pPr>
      <w:r>
        <w:rPr>
          <w:rFonts w:eastAsia="Calibri"/>
        </w:rPr>
        <w:t xml:space="preserve">There is little </w:t>
      </w:r>
      <w:r w:rsidR="002D5983">
        <w:rPr>
          <w:rFonts w:eastAsia="Calibri"/>
        </w:rPr>
        <w:t xml:space="preserve">guidance </w:t>
      </w:r>
      <w:r w:rsidR="00EC05A3">
        <w:rPr>
          <w:rFonts w:eastAsia="Calibri"/>
        </w:rPr>
        <w:t xml:space="preserve">for </w:t>
      </w:r>
      <w:r w:rsidR="00EC05A3" w:rsidRPr="00B33B17">
        <w:rPr>
          <w:rFonts w:eastAsia="Calibri"/>
        </w:rPr>
        <w:t xml:space="preserve">responsible </w:t>
      </w:r>
      <w:r w:rsidR="002D5983" w:rsidRPr="00B33B17">
        <w:rPr>
          <w:rFonts w:eastAsia="Calibri"/>
        </w:rPr>
        <w:t xml:space="preserve">authorities </w:t>
      </w:r>
      <w:r w:rsidR="00EC05A3">
        <w:rPr>
          <w:rFonts w:eastAsia="Calibri"/>
        </w:rPr>
        <w:t>in t</w:t>
      </w:r>
      <w:r w:rsidR="00EC05A3" w:rsidRPr="00B33B17">
        <w:rPr>
          <w:rFonts w:eastAsia="Calibri"/>
        </w:rPr>
        <w:t xml:space="preserve">he </w:t>
      </w:r>
      <w:r w:rsidR="00EC05A3">
        <w:rPr>
          <w:rFonts w:eastAsia="Calibri"/>
        </w:rPr>
        <w:t xml:space="preserve">HPCA </w:t>
      </w:r>
      <w:r w:rsidR="00EC05A3" w:rsidRPr="00B33B17">
        <w:rPr>
          <w:rFonts w:eastAsia="Calibri"/>
        </w:rPr>
        <w:t xml:space="preserve">Act </w:t>
      </w:r>
      <w:r w:rsidR="002D5983" w:rsidRPr="00B33B17">
        <w:rPr>
          <w:rFonts w:eastAsia="Calibri"/>
        </w:rPr>
        <w:t>about transparency</w:t>
      </w:r>
      <w:r w:rsidR="00EC05A3">
        <w:rPr>
          <w:rFonts w:eastAsia="Calibri"/>
        </w:rPr>
        <w:t>.</w:t>
      </w:r>
      <w:r w:rsidR="002D5983">
        <w:rPr>
          <w:rFonts w:eastAsia="Calibri"/>
        </w:rPr>
        <w:t xml:space="preserve"> </w:t>
      </w:r>
      <w:r w:rsidR="00304723" w:rsidRPr="00B33B17">
        <w:rPr>
          <w:rFonts w:eastAsia="Calibri"/>
        </w:rPr>
        <w:t>Specific provisions in the Act address natural justice and privacy considerations for both practitioners and complainants in some circumstances</w:t>
      </w:r>
      <w:r w:rsidR="00E84501">
        <w:rPr>
          <w:rFonts w:eastAsia="Calibri"/>
        </w:rPr>
        <w:t xml:space="preserve"> but allows for </w:t>
      </w:r>
      <w:r w:rsidR="00304723" w:rsidRPr="00B33B17">
        <w:rPr>
          <w:rFonts w:eastAsia="Calibri"/>
        </w:rPr>
        <w:t xml:space="preserve">greater transparency in other circumstances. </w:t>
      </w:r>
    </w:p>
    <w:p w14:paraId="05CB9031" w14:textId="77777777" w:rsidR="00D92F48" w:rsidRDefault="00D92F48" w:rsidP="00D92F48">
      <w:pPr>
        <w:rPr>
          <w:rFonts w:eastAsia="Calibri"/>
        </w:rPr>
      </w:pPr>
    </w:p>
    <w:p w14:paraId="273FCE2F" w14:textId="6D6767F0" w:rsidR="00304723" w:rsidRDefault="005E235C" w:rsidP="00D92F48">
      <w:pPr>
        <w:rPr>
          <w:rFonts w:eastAsia="Calibri"/>
        </w:rPr>
      </w:pPr>
      <w:r>
        <w:rPr>
          <w:rFonts w:eastAsia="Calibri"/>
        </w:rPr>
        <w:t>In the past</w:t>
      </w:r>
      <w:r w:rsidR="00C51A75">
        <w:rPr>
          <w:rFonts w:eastAsia="Calibri"/>
        </w:rPr>
        <w:t>,</w:t>
      </w:r>
      <w:r>
        <w:rPr>
          <w:rFonts w:eastAsia="Calibri"/>
        </w:rPr>
        <w:t xml:space="preserve"> r</w:t>
      </w:r>
      <w:r w:rsidR="00103E09">
        <w:rPr>
          <w:rFonts w:eastAsia="Calibri"/>
        </w:rPr>
        <w:t>esponsible authorities have</w:t>
      </w:r>
      <w:r w:rsidR="00304723" w:rsidRPr="00B33B17">
        <w:rPr>
          <w:rFonts w:eastAsia="Calibri"/>
        </w:rPr>
        <w:t xml:space="preserve"> agreed that </w:t>
      </w:r>
      <w:r w:rsidR="005F6D18">
        <w:rPr>
          <w:rFonts w:eastAsia="Calibri"/>
        </w:rPr>
        <w:t>they</w:t>
      </w:r>
      <w:r w:rsidR="00304723" w:rsidRPr="00B33B17">
        <w:rPr>
          <w:rFonts w:eastAsia="Calibri"/>
        </w:rPr>
        <w:t xml:space="preserve"> could contribute to increased public safety by enhancing transparency. </w:t>
      </w:r>
    </w:p>
    <w:p w14:paraId="330B4E9C" w14:textId="77777777" w:rsidR="00D92F48" w:rsidRPr="00B33B17" w:rsidRDefault="00D92F48" w:rsidP="00D92F48">
      <w:pPr>
        <w:rPr>
          <w:rFonts w:eastAsia="Calibri"/>
        </w:rPr>
      </w:pPr>
    </w:p>
    <w:p w14:paraId="55D5A4F5" w14:textId="53D38A37" w:rsidR="00304723" w:rsidRDefault="00630BCE" w:rsidP="00D92F48">
      <w:pPr>
        <w:rPr>
          <w:rFonts w:eastAsia="Calibri"/>
        </w:rPr>
      </w:pPr>
      <w:r>
        <w:rPr>
          <w:rFonts w:eastAsia="Calibri"/>
        </w:rPr>
        <w:t>As noted above</w:t>
      </w:r>
      <w:r w:rsidR="00304723" w:rsidRPr="00B33B17">
        <w:rPr>
          <w:rFonts w:eastAsia="Calibri"/>
        </w:rPr>
        <w:t xml:space="preserve">, the public </w:t>
      </w:r>
      <w:r>
        <w:rPr>
          <w:rFonts w:eastAsia="Calibri"/>
        </w:rPr>
        <w:t xml:space="preserve">sometimes </w:t>
      </w:r>
      <w:r w:rsidR="00304723" w:rsidRPr="00B33B17">
        <w:rPr>
          <w:rFonts w:eastAsia="Calibri"/>
        </w:rPr>
        <w:t xml:space="preserve">perceive responsible authorities as preserving the interests of their registrants rather than protecting the health and safety of </w:t>
      </w:r>
      <w:r w:rsidR="00C51A75">
        <w:rPr>
          <w:rFonts w:eastAsia="Calibri"/>
        </w:rPr>
        <w:t>consumers</w:t>
      </w:r>
      <w:r w:rsidR="00304723" w:rsidRPr="00B33B17">
        <w:rPr>
          <w:rFonts w:eastAsia="Calibri"/>
        </w:rPr>
        <w:t xml:space="preserve">. Professor Ron Paterson says in his book </w:t>
      </w:r>
      <w:r w:rsidR="00304723" w:rsidRPr="00123E67">
        <w:rPr>
          <w:rFonts w:eastAsia="Calibri"/>
          <w:i/>
        </w:rPr>
        <w:t xml:space="preserve">The Good Doctor: What Patients </w:t>
      </w:r>
      <w:r w:rsidR="00304723" w:rsidRPr="00123E67">
        <w:rPr>
          <w:rFonts w:eastAsia="Calibri"/>
          <w:i/>
        </w:rPr>
        <w:lastRenderedPageBreak/>
        <w:t>Want</w:t>
      </w:r>
      <w:r w:rsidR="00304723" w:rsidRPr="00B33B17">
        <w:rPr>
          <w:rFonts w:eastAsia="Calibri"/>
          <w:vertAlign w:val="superscript"/>
        </w:rPr>
        <w:footnoteReference w:id="2"/>
      </w:r>
      <w:r w:rsidR="00304723" w:rsidRPr="00B33B17">
        <w:rPr>
          <w:rFonts w:eastAsia="Calibri"/>
        </w:rPr>
        <w:t xml:space="preserve"> </w:t>
      </w:r>
      <w:r w:rsidR="00123E67">
        <w:rPr>
          <w:rFonts w:eastAsia="Calibri"/>
        </w:rPr>
        <w:t>‘</w:t>
      </w:r>
      <w:r w:rsidR="00304723" w:rsidRPr="00B33B17">
        <w:rPr>
          <w:rFonts w:eastAsia="Calibri"/>
        </w:rPr>
        <w:t>secrecy risks undermining public confidence in the health profession and disciplinary procedures</w:t>
      </w:r>
      <w:r w:rsidR="00123E67">
        <w:rPr>
          <w:rFonts w:eastAsia="Calibri"/>
        </w:rPr>
        <w:t>’</w:t>
      </w:r>
      <w:r w:rsidR="00304723" w:rsidRPr="00B33B17">
        <w:rPr>
          <w:rFonts w:eastAsia="Calibri"/>
        </w:rPr>
        <w:t>. He notes that</w:t>
      </w:r>
      <w:r w:rsidR="00671B86">
        <w:rPr>
          <w:rFonts w:eastAsia="Calibri"/>
        </w:rPr>
        <w:t>,</w:t>
      </w:r>
      <w:r w:rsidR="00304723" w:rsidRPr="00B33B17">
        <w:rPr>
          <w:rFonts w:eastAsia="Calibri"/>
        </w:rPr>
        <w:t xml:space="preserve"> from time to time, </w:t>
      </w:r>
      <w:r w:rsidR="00ED1BB3">
        <w:rPr>
          <w:rFonts w:eastAsia="Calibri"/>
        </w:rPr>
        <w:t xml:space="preserve">there are </w:t>
      </w:r>
      <w:r w:rsidR="00304723" w:rsidRPr="00B33B17">
        <w:rPr>
          <w:rFonts w:eastAsia="Calibri"/>
        </w:rPr>
        <w:t xml:space="preserve">cases where complainants or consumers publicly question the impartiality of regulators. </w:t>
      </w:r>
    </w:p>
    <w:p w14:paraId="756A4E1F" w14:textId="77777777" w:rsidR="00D92F48" w:rsidRPr="00B33B17" w:rsidRDefault="00D92F48" w:rsidP="00D92F48">
      <w:pPr>
        <w:rPr>
          <w:rFonts w:eastAsia="Calibri"/>
        </w:rPr>
      </w:pPr>
    </w:p>
    <w:p w14:paraId="00263A94" w14:textId="0A43FBEB" w:rsidR="00304723" w:rsidRDefault="00304723" w:rsidP="00D92F48">
      <w:pPr>
        <w:rPr>
          <w:rFonts w:eastAsia="Calibri"/>
        </w:rPr>
      </w:pPr>
      <w:r w:rsidRPr="00B33B17">
        <w:rPr>
          <w:rFonts w:eastAsia="Calibri"/>
        </w:rPr>
        <w:t xml:space="preserve">Contrast this with the practice of other bodies involved with health practitioner regulation. In the UK, the </w:t>
      </w:r>
      <w:r w:rsidR="00B0235F">
        <w:rPr>
          <w:rFonts w:eastAsia="Calibri"/>
        </w:rPr>
        <w:t xml:space="preserve">Professional Standards Authority </w:t>
      </w:r>
      <w:r w:rsidRPr="00B33B17">
        <w:rPr>
          <w:rFonts w:eastAsia="Calibri"/>
        </w:rPr>
        <w:t>provides explicit information about their expectation</w:t>
      </w:r>
      <w:r w:rsidR="00630BCE">
        <w:rPr>
          <w:rFonts w:eastAsia="Calibri"/>
        </w:rPr>
        <w:t>s</w:t>
      </w:r>
      <w:r w:rsidRPr="00B33B17">
        <w:rPr>
          <w:rFonts w:eastAsia="Calibri"/>
        </w:rPr>
        <w:t xml:space="preserve"> of health regulators. </w:t>
      </w:r>
      <w:r w:rsidR="00630BCE">
        <w:rPr>
          <w:rFonts w:eastAsia="Calibri"/>
        </w:rPr>
        <w:t xml:space="preserve">Subsequently, UK </w:t>
      </w:r>
      <w:r w:rsidR="005F6D18">
        <w:rPr>
          <w:rFonts w:eastAsia="Calibri"/>
        </w:rPr>
        <w:t>r</w:t>
      </w:r>
      <w:r w:rsidRPr="00B33B17">
        <w:rPr>
          <w:rFonts w:eastAsia="Calibri"/>
        </w:rPr>
        <w:t>egulators</w:t>
      </w:r>
      <w:r w:rsidR="00630BCE">
        <w:rPr>
          <w:rFonts w:eastAsia="Calibri"/>
        </w:rPr>
        <w:t xml:space="preserve"> </w:t>
      </w:r>
      <w:r w:rsidRPr="00B33B17">
        <w:rPr>
          <w:rFonts w:eastAsia="Calibri"/>
        </w:rPr>
        <w:t xml:space="preserve">are more transparent </w:t>
      </w:r>
      <w:r w:rsidR="00630BCE">
        <w:rPr>
          <w:rFonts w:eastAsia="Calibri"/>
        </w:rPr>
        <w:t xml:space="preserve">about their work </w:t>
      </w:r>
      <w:r w:rsidRPr="00B33B17">
        <w:rPr>
          <w:rFonts w:eastAsia="Calibri"/>
        </w:rPr>
        <w:t xml:space="preserve">than </w:t>
      </w:r>
      <w:r w:rsidR="00630BCE">
        <w:rPr>
          <w:rFonts w:eastAsia="Calibri"/>
        </w:rPr>
        <w:t xml:space="preserve">are </w:t>
      </w:r>
      <w:r w:rsidRPr="00B33B17">
        <w:rPr>
          <w:rFonts w:eastAsia="Calibri"/>
        </w:rPr>
        <w:t>New Zealand’s responsible authorities</w:t>
      </w:r>
      <w:r w:rsidR="009E5D54">
        <w:rPr>
          <w:rFonts w:eastAsia="Calibri"/>
        </w:rPr>
        <w:t>,</w:t>
      </w:r>
      <w:r w:rsidR="00630BCE">
        <w:rPr>
          <w:rFonts w:eastAsia="Calibri"/>
        </w:rPr>
        <w:t xml:space="preserve"> </w:t>
      </w:r>
      <w:r w:rsidRPr="00B33B17">
        <w:rPr>
          <w:rFonts w:eastAsia="Calibri"/>
        </w:rPr>
        <w:t>and</w:t>
      </w:r>
      <w:r w:rsidR="00630BCE">
        <w:rPr>
          <w:rFonts w:eastAsia="Calibri"/>
        </w:rPr>
        <w:t xml:space="preserve"> </w:t>
      </w:r>
      <w:r w:rsidR="005F6D18">
        <w:rPr>
          <w:rFonts w:eastAsia="Calibri"/>
        </w:rPr>
        <w:t xml:space="preserve">they appear to </w:t>
      </w:r>
      <w:r w:rsidRPr="00B33B17">
        <w:rPr>
          <w:rFonts w:eastAsia="Calibri"/>
        </w:rPr>
        <w:t xml:space="preserve">achieve an appropriate balance between transparency and individual privacy rights. </w:t>
      </w:r>
      <w:r w:rsidR="00630BCE">
        <w:rPr>
          <w:rFonts w:eastAsia="Calibri"/>
        </w:rPr>
        <w:t>For</w:t>
      </w:r>
      <w:r w:rsidRPr="00B33B17">
        <w:rPr>
          <w:rFonts w:eastAsia="Calibri"/>
        </w:rPr>
        <w:t xml:space="preserve"> example, since 2005 the UK</w:t>
      </w:r>
      <w:r w:rsidR="005325DB">
        <w:rPr>
          <w:rFonts w:eastAsia="Calibri"/>
        </w:rPr>
        <w:t>’s</w:t>
      </w:r>
      <w:r w:rsidRPr="00B33B17">
        <w:rPr>
          <w:rFonts w:eastAsia="Calibri"/>
        </w:rPr>
        <w:t xml:space="preserve"> General Medical Council has provided a complete history of each medical practitioner’s registration status, including details of any erasure or suspension from the register, and any conditions, voluntary undertakings</w:t>
      </w:r>
      <w:r w:rsidR="00630BCE">
        <w:rPr>
          <w:rFonts w:eastAsia="Calibri"/>
        </w:rPr>
        <w:t>,</w:t>
      </w:r>
      <w:r w:rsidRPr="00B33B17">
        <w:rPr>
          <w:rFonts w:eastAsia="Calibri"/>
        </w:rPr>
        <w:t xml:space="preserve"> and warnings that have been set for the practitioner as a result of investigations or hearings. Except where there are privacy issues that outweigh the </w:t>
      </w:r>
      <w:r w:rsidR="00145331">
        <w:rPr>
          <w:rFonts w:eastAsia="Calibri"/>
        </w:rPr>
        <w:t xml:space="preserve">public’s </w:t>
      </w:r>
      <w:r w:rsidRPr="00B33B17">
        <w:rPr>
          <w:rFonts w:eastAsia="Calibri"/>
        </w:rPr>
        <w:t>interest (usually practitioner health issues), the minutes of the panels are available to the public.</w:t>
      </w:r>
      <w:r w:rsidR="00630BCE">
        <w:rPr>
          <w:rFonts w:eastAsia="Calibri"/>
        </w:rPr>
        <w:t xml:space="preserve"> </w:t>
      </w:r>
    </w:p>
    <w:p w14:paraId="6D241533" w14:textId="77777777" w:rsidR="00D92F48" w:rsidRPr="00B33B17" w:rsidRDefault="00D92F48" w:rsidP="00D92F48">
      <w:pPr>
        <w:rPr>
          <w:rFonts w:eastAsia="Calibri"/>
        </w:rPr>
      </w:pPr>
    </w:p>
    <w:p w14:paraId="55A1DEA3" w14:textId="1C4E3386" w:rsidR="00304723" w:rsidRDefault="005F6D18" w:rsidP="00D92F48">
      <w:pPr>
        <w:rPr>
          <w:rFonts w:eastAsia="Calibri"/>
        </w:rPr>
      </w:pPr>
      <w:r>
        <w:rPr>
          <w:rFonts w:eastAsia="Calibri"/>
        </w:rPr>
        <w:t>S</w:t>
      </w:r>
      <w:r w:rsidRPr="00B33B17">
        <w:rPr>
          <w:rFonts w:eastAsia="Calibri"/>
        </w:rPr>
        <w:t xml:space="preserve">ince 2010 </w:t>
      </w:r>
      <w:r>
        <w:rPr>
          <w:rFonts w:eastAsia="Calibri"/>
        </w:rPr>
        <w:t>t</w:t>
      </w:r>
      <w:r w:rsidR="00304723" w:rsidRPr="00B33B17">
        <w:rPr>
          <w:rFonts w:eastAsia="Calibri"/>
        </w:rPr>
        <w:t xml:space="preserve">he Australian Health Practitioner Regulatory Agency publishes all its panel decisions </w:t>
      </w:r>
      <w:r w:rsidR="00630BCE" w:rsidRPr="00B33B17">
        <w:rPr>
          <w:rFonts w:eastAsia="Calibri"/>
        </w:rPr>
        <w:t>regarding</w:t>
      </w:r>
      <w:r w:rsidR="00304723" w:rsidRPr="00B33B17">
        <w:rPr>
          <w:rFonts w:eastAsia="Calibri"/>
        </w:rPr>
        <w:t xml:space="preserve"> health practitioners. In addition, summaries of findings are provided where there is educational and clinical value. Practitioners’ names are not published.</w:t>
      </w:r>
      <w:r w:rsidR="002235D4">
        <w:rPr>
          <w:rFonts w:eastAsia="Calibri"/>
        </w:rPr>
        <w:t xml:space="preserve"> </w:t>
      </w:r>
    </w:p>
    <w:p w14:paraId="7F1B6807" w14:textId="77777777" w:rsidR="00D92F48" w:rsidRPr="00B33B17" w:rsidRDefault="00D92F48" w:rsidP="00D92F48">
      <w:pPr>
        <w:rPr>
          <w:rFonts w:eastAsia="Calibri"/>
        </w:rPr>
      </w:pPr>
    </w:p>
    <w:p w14:paraId="3DE6E6C3" w14:textId="5972D844" w:rsidR="00304723" w:rsidRDefault="00304723" w:rsidP="00D92F48">
      <w:pPr>
        <w:rPr>
          <w:rFonts w:eastAsia="Calibri"/>
        </w:rPr>
      </w:pPr>
      <w:r w:rsidRPr="00B33B17">
        <w:rPr>
          <w:rFonts w:eastAsia="Calibri"/>
        </w:rPr>
        <w:t>In New Zealand, the office of the Health and Disability Commissioner publishes its decisions and case notes in full detail, subject to privacy</w:t>
      </w:r>
      <w:r w:rsidR="00572882">
        <w:rPr>
          <w:rFonts w:eastAsia="Calibri"/>
        </w:rPr>
        <w:t xml:space="preserve"> considerations</w:t>
      </w:r>
      <w:r w:rsidRPr="00B33B17">
        <w:rPr>
          <w:rFonts w:eastAsia="Calibri"/>
        </w:rPr>
        <w:t xml:space="preserve">. </w:t>
      </w:r>
      <w:r w:rsidR="008116DE">
        <w:rPr>
          <w:rFonts w:eastAsia="Calibri"/>
        </w:rPr>
        <w:t>N</w:t>
      </w:r>
      <w:r w:rsidRPr="00B33B17">
        <w:rPr>
          <w:rFonts w:eastAsia="Calibri"/>
        </w:rPr>
        <w:t xml:space="preserve">aming </w:t>
      </w:r>
      <w:r w:rsidR="008116DE">
        <w:rPr>
          <w:rFonts w:eastAsia="Calibri"/>
        </w:rPr>
        <w:t xml:space="preserve">health </w:t>
      </w:r>
      <w:r w:rsidR="00D0470E">
        <w:rPr>
          <w:rFonts w:eastAsia="Calibri"/>
        </w:rPr>
        <w:t>p</w:t>
      </w:r>
      <w:r w:rsidRPr="00B33B17">
        <w:rPr>
          <w:rFonts w:eastAsia="Calibri"/>
        </w:rPr>
        <w:t xml:space="preserve">ractitioners is subject to a naming policy </w:t>
      </w:r>
      <w:r w:rsidR="00D0470E">
        <w:rPr>
          <w:rFonts w:eastAsia="Calibri"/>
        </w:rPr>
        <w:t>that</w:t>
      </w:r>
      <w:r w:rsidR="00D0470E" w:rsidRPr="00B33B17">
        <w:rPr>
          <w:rFonts w:eastAsia="Calibri"/>
        </w:rPr>
        <w:t xml:space="preserve"> </w:t>
      </w:r>
      <w:r w:rsidR="00D0470E">
        <w:rPr>
          <w:rFonts w:eastAsia="Calibri"/>
        </w:rPr>
        <w:t>protects</w:t>
      </w:r>
      <w:r w:rsidRPr="00B33B17">
        <w:rPr>
          <w:rFonts w:eastAsia="Calibri"/>
        </w:rPr>
        <w:t xml:space="preserve"> most individual practitioners without depriving the public of knowledge of the basis of the Commissioner’s decisions. In the case of the </w:t>
      </w:r>
      <w:r w:rsidR="00630BCE">
        <w:rPr>
          <w:rFonts w:eastAsia="Calibri"/>
        </w:rPr>
        <w:t xml:space="preserve">Health </w:t>
      </w:r>
      <w:r w:rsidRPr="00B33B17">
        <w:rPr>
          <w:rFonts w:eastAsia="Calibri"/>
        </w:rPr>
        <w:t>Practitioners Disciplinary Tribunal, hearings are public unless there is clear reason why they should not be. Decisions and penalties are published</w:t>
      </w:r>
      <w:r w:rsidR="00630BCE">
        <w:rPr>
          <w:rFonts w:eastAsia="Calibri"/>
        </w:rPr>
        <w:t xml:space="preserve"> on</w:t>
      </w:r>
      <w:r w:rsidR="00880574">
        <w:rPr>
          <w:rFonts w:eastAsia="Calibri"/>
        </w:rPr>
        <w:t>line</w:t>
      </w:r>
      <w:r w:rsidRPr="00B33B17">
        <w:rPr>
          <w:rFonts w:eastAsia="Calibri"/>
        </w:rPr>
        <w:t>.</w:t>
      </w:r>
    </w:p>
    <w:p w14:paraId="25DF8F22" w14:textId="77777777" w:rsidR="00D92F48" w:rsidRPr="00B33B17" w:rsidRDefault="00D92F48" w:rsidP="00D92F48">
      <w:pPr>
        <w:rPr>
          <w:rFonts w:eastAsia="Calibri"/>
        </w:rPr>
      </w:pPr>
    </w:p>
    <w:p w14:paraId="5E2F9D02" w14:textId="5B5A9742" w:rsidR="00304723" w:rsidRPr="00B33B17" w:rsidRDefault="00965A9E" w:rsidP="00D92F48">
      <w:pPr>
        <w:rPr>
          <w:rFonts w:eastAsia="Calibri"/>
        </w:rPr>
      </w:pPr>
      <w:r>
        <w:rPr>
          <w:rFonts w:eastAsia="Calibri"/>
        </w:rPr>
        <w:t>W</w:t>
      </w:r>
      <w:r w:rsidRPr="00B33B17">
        <w:rPr>
          <w:rFonts w:eastAsia="Calibri"/>
        </w:rPr>
        <w:t xml:space="preserve">ith </w:t>
      </w:r>
      <w:r>
        <w:rPr>
          <w:rFonts w:eastAsia="Calibri"/>
        </w:rPr>
        <w:t xml:space="preserve">the </w:t>
      </w:r>
      <w:r w:rsidRPr="00B33B17">
        <w:rPr>
          <w:rFonts w:eastAsia="Calibri"/>
        </w:rPr>
        <w:t>increased interest in protecting the public</w:t>
      </w:r>
      <w:r>
        <w:rPr>
          <w:rFonts w:eastAsia="Calibri"/>
        </w:rPr>
        <w:t>, t</w:t>
      </w:r>
      <w:r w:rsidR="00304723" w:rsidRPr="00B33B17">
        <w:rPr>
          <w:rFonts w:eastAsia="Calibri"/>
        </w:rPr>
        <w:t>here is an international trend towards more public engagement, improved transparency of complaints and complaint processes</w:t>
      </w:r>
      <w:r w:rsidR="00630BCE">
        <w:rPr>
          <w:rFonts w:eastAsia="Calibri"/>
        </w:rPr>
        <w:t>,</w:t>
      </w:r>
      <w:r w:rsidR="00304723" w:rsidRPr="00B33B17">
        <w:rPr>
          <w:rFonts w:eastAsia="Calibri"/>
        </w:rPr>
        <w:t xml:space="preserve"> and transparency of information. New Zealand risks falling behind in this regard. </w:t>
      </w:r>
    </w:p>
    <w:p w14:paraId="63A72B38" w14:textId="77777777" w:rsidR="00304723" w:rsidRPr="00B33B17" w:rsidRDefault="00304723" w:rsidP="00D92F48">
      <w:pPr>
        <w:pStyle w:val="Heading2"/>
      </w:pPr>
      <w:bookmarkStart w:id="7" w:name="_Toc38276633"/>
      <w:r w:rsidRPr="00B33B17">
        <w:t>Cabinet’s agreement on performance reviews</w:t>
      </w:r>
      <w:bookmarkEnd w:id="7"/>
    </w:p>
    <w:p w14:paraId="1F31E6DA" w14:textId="0C82CA72" w:rsidR="00304723" w:rsidRDefault="00584C88" w:rsidP="00D92F48">
      <w:pPr>
        <w:rPr>
          <w:rFonts w:eastAsia="Calibri"/>
        </w:rPr>
      </w:pPr>
      <w:r>
        <w:rPr>
          <w:rFonts w:eastAsia="Calibri"/>
        </w:rPr>
        <w:t xml:space="preserve">In 2019 </w:t>
      </w:r>
      <w:r w:rsidR="00304723" w:rsidRPr="00B33B17">
        <w:rPr>
          <w:rFonts w:eastAsia="Calibri"/>
        </w:rPr>
        <w:t>Cabinet agreed that responsible authorities would be subject to five-yearly performance reviews.</w:t>
      </w:r>
    </w:p>
    <w:p w14:paraId="109D28A5" w14:textId="77777777" w:rsidR="00D92F48" w:rsidRPr="00B33B17" w:rsidRDefault="00D92F48" w:rsidP="00D92F48">
      <w:pPr>
        <w:rPr>
          <w:rFonts w:eastAsia="Calibri"/>
        </w:rPr>
      </w:pPr>
    </w:p>
    <w:p w14:paraId="5871F510" w14:textId="05B4A7C6" w:rsidR="00304723" w:rsidRPr="00B33B17" w:rsidRDefault="00304723" w:rsidP="00D92F48">
      <w:pPr>
        <w:rPr>
          <w:rFonts w:eastAsia="Calibri"/>
        </w:rPr>
      </w:pPr>
      <w:r w:rsidRPr="00B33B17">
        <w:rPr>
          <w:rFonts w:eastAsia="Calibri"/>
        </w:rPr>
        <w:t>The regulatory impact statement that accompanied the Cabinet paper sets out more detail for developing a performance review programme. A summary of key points is provided below</w:t>
      </w:r>
      <w:r w:rsidR="00970AF9">
        <w:rPr>
          <w:rFonts w:eastAsia="Calibri"/>
        </w:rPr>
        <w:t>.</w:t>
      </w:r>
    </w:p>
    <w:p w14:paraId="5D8F7BD8" w14:textId="655EB40F" w:rsidR="005F6D18" w:rsidRPr="00253BBA" w:rsidRDefault="005F6D18" w:rsidP="00D92F48">
      <w:pPr>
        <w:pStyle w:val="Bullet"/>
        <w:rPr>
          <w:lang w:eastAsia="en-US"/>
        </w:rPr>
      </w:pPr>
      <w:r w:rsidRPr="00D92F48">
        <w:rPr>
          <w:rFonts w:eastAsia="Calibri"/>
        </w:rPr>
        <w:t xml:space="preserve">Performance reviews should provide the Crown and the public assurance that </w:t>
      </w:r>
      <w:r w:rsidRPr="00253BBA">
        <w:rPr>
          <w:lang w:eastAsia="en-US"/>
        </w:rPr>
        <w:t xml:space="preserve">responsible authorities are carrying out their required functions in the interests of </w:t>
      </w:r>
      <w:r w:rsidRPr="00253BBA">
        <w:rPr>
          <w:lang w:eastAsia="en-US"/>
        </w:rPr>
        <w:lastRenderedPageBreak/>
        <w:t>public safety, that their activities focus on protecting the public without being compromised by professional self-interest, and that their overall performance is conducive to high public confidence in the regulatory system.</w:t>
      </w:r>
      <w:r w:rsidR="002235D4">
        <w:rPr>
          <w:lang w:eastAsia="en-US"/>
        </w:rPr>
        <w:t xml:space="preserve"> </w:t>
      </w:r>
    </w:p>
    <w:p w14:paraId="4343CD48" w14:textId="4A8E8826" w:rsidR="004D6AAC" w:rsidRPr="00253BBA" w:rsidRDefault="004D6AAC" w:rsidP="00D92F48">
      <w:pPr>
        <w:pStyle w:val="Bullet"/>
        <w:rPr>
          <w:lang w:eastAsia="en-US"/>
        </w:rPr>
      </w:pPr>
      <w:r w:rsidRPr="00B33B17">
        <w:rPr>
          <w:lang w:eastAsia="en-US"/>
        </w:rPr>
        <w:t>Performance reviews should be required every five years with the terms of reference being set at least three years before the review take</w:t>
      </w:r>
      <w:r>
        <w:rPr>
          <w:lang w:eastAsia="en-US"/>
        </w:rPr>
        <w:t>s</w:t>
      </w:r>
      <w:r w:rsidRPr="00B33B17">
        <w:rPr>
          <w:lang w:eastAsia="en-US"/>
        </w:rPr>
        <w:t xml:space="preserve"> place. </w:t>
      </w:r>
    </w:p>
    <w:p w14:paraId="1B27289D" w14:textId="77777777" w:rsidR="004D6AAC" w:rsidRPr="00253BBA" w:rsidRDefault="004D6AAC" w:rsidP="00D92F48">
      <w:pPr>
        <w:pStyle w:val="Bullet"/>
        <w:rPr>
          <w:lang w:eastAsia="en-US"/>
        </w:rPr>
      </w:pPr>
      <w:r w:rsidRPr="00B33B17">
        <w:rPr>
          <w:lang w:eastAsia="en-US"/>
        </w:rPr>
        <w:t>A schedule should be developed so that not all responsible authorities undergo performance review in the same year.</w:t>
      </w:r>
    </w:p>
    <w:p w14:paraId="38F5B193" w14:textId="64F1DE76" w:rsidR="004D6AAC" w:rsidRPr="00253BBA" w:rsidRDefault="00471CA4" w:rsidP="00D92F48">
      <w:pPr>
        <w:pStyle w:val="Bullet"/>
        <w:rPr>
          <w:lang w:eastAsia="en-US"/>
        </w:rPr>
      </w:pPr>
      <w:r>
        <w:rPr>
          <w:lang w:eastAsia="en-US"/>
        </w:rPr>
        <w:t>The Ministry of Health should devel</w:t>
      </w:r>
      <w:r w:rsidR="00967D3F">
        <w:rPr>
          <w:lang w:eastAsia="en-US"/>
        </w:rPr>
        <w:t>op the t</w:t>
      </w:r>
      <w:r w:rsidR="004D6AAC" w:rsidRPr="00B33B17">
        <w:rPr>
          <w:lang w:eastAsia="en-US"/>
        </w:rPr>
        <w:t>erms of reference</w:t>
      </w:r>
      <w:r w:rsidR="00D515BE">
        <w:rPr>
          <w:lang w:eastAsia="en-US"/>
        </w:rPr>
        <w:t xml:space="preserve"> </w:t>
      </w:r>
      <w:r w:rsidR="004D6AAC" w:rsidRPr="00B33B17">
        <w:rPr>
          <w:lang w:eastAsia="en-US"/>
        </w:rPr>
        <w:t xml:space="preserve">in consultation with responsible authorities, </w:t>
      </w:r>
      <w:r w:rsidR="00AE7E13">
        <w:rPr>
          <w:lang w:eastAsia="en-US"/>
        </w:rPr>
        <w:t>considering</w:t>
      </w:r>
      <w:r w:rsidR="004D6AAC" w:rsidRPr="00B33B17">
        <w:rPr>
          <w:lang w:eastAsia="en-US"/>
        </w:rPr>
        <w:t xml:space="preserve"> the views of stakeholders </w:t>
      </w:r>
      <w:r w:rsidR="004D6AAC">
        <w:rPr>
          <w:lang w:eastAsia="en-US"/>
        </w:rPr>
        <w:t>(</w:t>
      </w:r>
      <w:r w:rsidR="004D6AAC" w:rsidRPr="00B33B17">
        <w:rPr>
          <w:lang w:eastAsia="en-US"/>
        </w:rPr>
        <w:t>including employers, professional associations</w:t>
      </w:r>
      <w:r w:rsidR="004D6AAC">
        <w:rPr>
          <w:lang w:eastAsia="en-US"/>
        </w:rPr>
        <w:t>,</w:t>
      </w:r>
      <w:r w:rsidR="004D6AAC" w:rsidRPr="00B33B17">
        <w:rPr>
          <w:lang w:eastAsia="en-US"/>
        </w:rPr>
        <w:t xml:space="preserve"> and consumer organisations</w:t>
      </w:r>
      <w:r w:rsidR="004D6AAC">
        <w:rPr>
          <w:lang w:eastAsia="en-US"/>
        </w:rPr>
        <w:t>)</w:t>
      </w:r>
      <w:r w:rsidR="004D6AAC" w:rsidRPr="00B33B17">
        <w:rPr>
          <w:lang w:eastAsia="en-US"/>
        </w:rPr>
        <w:t xml:space="preserve">. </w:t>
      </w:r>
    </w:p>
    <w:p w14:paraId="26D345AC" w14:textId="5FBAA859" w:rsidR="00304723" w:rsidRPr="00253BBA" w:rsidRDefault="00304723" w:rsidP="00D92F48">
      <w:pPr>
        <w:pStyle w:val="Bullet"/>
        <w:rPr>
          <w:lang w:eastAsia="en-US"/>
        </w:rPr>
      </w:pPr>
      <w:r w:rsidRPr="00B33B17">
        <w:rPr>
          <w:lang w:eastAsia="en-US"/>
        </w:rPr>
        <w:t>Performance monitoring should focus on learning and continual improvement (rather than a tick-box exercise).</w:t>
      </w:r>
    </w:p>
    <w:p w14:paraId="3DAEF658" w14:textId="16D952A0" w:rsidR="00304723" w:rsidRPr="00253BBA" w:rsidRDefault="00304723" w:rsidP="00D92F48">
      <w:pPr>
        <w:pStyle w:val="Bullet"/>
        <w:rPr>
          <w:lang w:eastAsia="en-US"/>
        </w:rPr>
      </w:pPr>
      <w:r w:rsidRPr="00253BBA">
        <w:rPr>
          <w:lang w:eastAsia="en-US"/>
        </w:rPr>
        <w:t xml:space="preserve">The cost of </w:t>
      </w:r>
      <w:r w:rsidR="00970AF9">
        <w:rPr>
          <w:lang w:eastAsia="en-US"/>
        </w:rPr>
        <w:t>a</w:t>
      </w:r>
      <w:r w:rsidRPr="00253BBA">
        <w:rPr>
          <w:lang w:eastAsia="en-US"/>
        </w:rPr>
        <w:t xml:space="preserve"> performance review should be </w:t>
      </w:r>
      <w:r w:rsidR="00E15CB4">
        <w:rPr>
          <w:lang w:eastAsia="en-US"/>
        </w:rPr>
        <w:t>met</w:t>
      </w:r>
      <w:r w:rsidR="00E15CB4" w:rsidRPr="00253BBA">
        <w:rPr>
          <w:lang w:eastAsia="en-US"/>
        </w:rPr>
        <w:t xml:space="preserve"> </w:t>
      </w:r>
      <w:r w:rsidRPr="00253BBA">
        <w:rPr>
          <w:lang w:eastAsia="en-US"/>
        </w:rPr>
        <w:t>by the responsible authorit</w:t>
      </w:r>
      <w:r w:rsidR="00970AF9">
        <w:rPr>
          <w:lang w:eastAsia="en-US"/>
        </w:rPr>
        <w:t>y</w:t>
      </w:r>
      <w:r w:rsidRPr="00253BBA">
        <w:rPr>
          <w:lang w:eastAsia="en-US"/>
        </w:rPr>
        <w:t xml:space="preserve"> (effectively by health practitioners and their employers). </w:t>
      </w:r>
      <w:r w:rsidR="004D6AAC">
        <w:rPr>
          <w:lang w:eastAsia="en-US"/>
        </w:rPr>
        <w:t>[</w:t>
      </w:r>
      <w:r w:rsidR="004D6AAC" w:rsidRPr="00253BBA">
        <w:rPr>
          <w:lang w:eastAsia="en-US"/>
        </w:rPr>
        <w:t xml:space="preserve">Aside: The need for </w:t>
      </w:r>
      <w:r w:rsidR="006E183B">
        <w:rPr>
          <w:lang w:eastAsia="en-US"/>
        </w:rPr>
        <w:t>core</w:t>
      </w:r>
      <w:r w:rsidR="004D6AAC" w:rsidRPr="00253BBA">
        <w:rPr>
          <w:lang w:eastAsia="en-US"/>
        </w:rPr>
        <w:t xml:space="preserve"> standards and for safe, quality services does not diminish with the size of the profession. A health regulatory system needs to ensure that resources within the system appropriately address risk.</w:t>
      </w:r>
      <w:r w:rsidR="004D6AAC">
        <w:rPr>
          <w:lang w:eastAsia="en-US"/>
        </w:rPr>
        <w:t xml:space="preserve"> Reviews must therefore be manageable and sustainable for any authority.</w:t>
      </w:r>
      <w:r w:rsidR="004D6AAC" w:rsidRPr="00253BBA">
        <w:rPr>
          <w:lang w:eastAsia="en-US"/>
        </w:rPr>
        <w:t>]</w:t>
      </w:r>
    </w:p>
    <w:p w14:paraId="7C2D52E6" w14:textId="430F9435" w:rsidR="00304723" w:rsidRPr="00253BBA" w:rsidRDefault="00304723" w:rsidP="00D92F48">
      <w:pPr>
        <w:pStyle w:val="Bullet"/>
        <w:rPr>
          <w:lang w:eastAsia="en-US"/>
        </w:rPr>
      </w:pPr>
      <w:r w:rsidRPr="00B33B17">
        <w:rPr>
          <w:lang w:eastAsia="en-US"/>
        </w:rPr>
        <w:t xml:space="preserve">The Ministry should </w:t>
      </w:r>
      <w:r w:rsidR="00965A9E">
        <w:rPr>
          <w:lang w:eastAsia="en-US"/>
        </w:rPr>
        <w:t xml:space="preserve">appoint </w:t>
      </w:r>
      <w:r w:rsidRPr="00B33B17">
        <w:rPr>
          <w:lang w:eastAsia="en-US"/>
        </w:rPr>
        <w:t>reviewer</w:t>
      </w:r>
      <w:r w:rsidR="006E0C4A">
        <w:rPr>
          <w:lang w:eastAsia="en-US"/>
        </w:rPr>
        <w:t>s</w:t>
      </w:r>
      <w:r w:rsidRPr="00B33B17">
        <w:rPr>
          <w:lang w:eastAsia="en-US"/>
        </w:rPr>
        <w:t xml:space="preserve"> in consultation with the responsible authorities.</w:t>
      </w:r>
    </w:p>
    <w:p w14:paraId="71D245F3" w14:textId="4CF6CF28" w:rsidR="00304723" w:rsidRPr="00B33B17" w:rsidRDefault="00304723" w:rsidP="00D92F48">
      <w:pPr>
        <w:pStyle w:val="Bullet"/>
        <w:rPr>
          <w:lang w:eastAsia="en-US"/>
        </w:rPr>
      </w:pPr>
      <w:r w:rsidRPr="00B33B17">
        <w:rPr>
          <w:lang w:eastAsia="en-US"/>
        </w:rPr>
        <w:t>Responsible authorities should be required to make the</w:t>
      </w:r>
      <w:r w:rsidR="00965A9E">
        <w:rPr>
          <w:lang w:eastAsia="en-US"/>
        </w:rPr>
        <w:t xml:space="preserve"> reviewer’s final report </w:t>
      </w:r>
      <w:r w:rsidRPr="00B33B17">
        <w:rPr>
          <w:lang w:eastAsia="en-US"/>
        </w:rPr>
        <w:t xml:space="preserve">available on their websites. </w:t>
      </w:r>
    </w:p>
    <w:p w14:paraId="2AD279FC" w14:textId="77777777" w:rsidR="00304723" w:rsidRPr="00B33B17" w:rsidRDefault="00304723" w:rsidP="00D92F48">
      <w:pPr>
        <w:pStyle w:val="Bullet"/>
        <w:rPr>
          <w:rFonts w:eastAsia="Calibri"/>
        </w:rPr>
      </w:pPr>
      <w:r w:rsidRPr="00B33B17">
        <w:rPr>
          <w:lang w:eastAsia="en-US"/>
        </w:rPr>
        <w:t xml:space="preserve">The Minister would respond to the performance reviews and may require a responsible authority to respond to concerns following a review. </w:t>
      </w:r>
    </w:p>
    <w:p w14:paraId="5372E2D6" w14:textId="61219A70" w:rsidR="00304723" w:rsidRPr="00011D4A" w:rsidRDefault="00304723" w:rsidP="00D92F48">
      <w:pPr>
        <w:pStyle w:val="Heading1"/>
      </w:pPr>
      <w:bookmarkStart w:id="8" w:name="_Toc38276634"/>
      <w:r w:rsidRPr="00011D4A">
        <w:lastRenderedPageBreak/>
        <w:t xml:space="preserve">Legislative </w:t>
      </w:r>
      <w:r w:rsidR="00E750B8">
        <w:t>r</w:t>
      </w:r>
      <w:r w:rsidRPr="00011D4A">
        <w:t>equirement</w:t>
      </w:r>
      <w:r w:rsidR="00E043B1">
        <w:t xml:space="preserve"> for performance reviews</w:t>
      </w:r>
      <w:bookmarkEnd w:id="8"/>
    </w:p>
    <w:p w14:paraId="797517EF" w14:textId="19F86268" w:rsidR="00304723" w:rsidRDefault="00304723" w:rsidP="00D92F48">
      <w:pPr>
        <w:rPr>
          <w:b/>
        </w:rPr>
      </w:pPr>
      <w:r w:rsidRPr="008A1778">
        <w:rPr>
          <w:b/>
        </w:rPr>
        <w:t>From the Health Practitioners Competence Assurance Act 2003</w:t>
      </w:r>
    </w:p>
    <w:p w14:paraId="68E3FFF4" w14:textId="77777777" w:rsidR="008A1778" w:rsidRPr="008A1778" w:rsidRDefault="008A1778" w:rsidP="00D92F48">
      <w:pPr>
        <w:rPr>
          <w:b/>
        </w:rPr>
      </w:pPr>
    </w:p>
    <w:p w14:paraId="1C24371E" w14:textId="0DDF1B1F" w:rsidR="00304723" w:rsidRDefault="00304723" w:rsidP="00D92F48">
      <w:pPr>
        <w:rPr>
          <w:b/>
        </w:rPr>
      </w:pPr>
      <w:r w:rsidRPr="008A1778">
        <w:rPr>
          <w:b/>
        </w:rPr>
        <w:t>122A Performance reviews</w:t>
      </w:r>
    </w:p>
    <w:p w14:paraId="432021D1" w14:textId="77777777" w:rsidR="008A1778" w:rsidRPr="008A1778" w:rsidRDefault="008A1778" w:rsidP="00D92F48">
      <w:pPr>
        <w:rPr>
          <w:b/>
        </w:rPr>
      </w:pPr>
    </w:p>
    <w:p w14:paraId="38B4CC35" w14:textId="144E66B0" w:rsidR="008A1778" w:rsidRPr="00965A9E" w:rsidRDefault="00304723" w:rsidP="008A1778">
      <w:pPr>
        <w:pStyle w:val="ListParagraph"/>
        <w:numPr>
          <w:ilvl w:val="0"/>
          <w:numId w:val="13"/>
        </w:numPr>
        <w:spacing w:before="90"/>
        <w:ind w:left="567" w:hanging="567"/>
        <w:contextualSpacing w:val="0"/>
      </w:pPr>
      <w:r w:rsidRPr="00965A9E">
        <w:t xml:space="preserve">From time to time, there must be conducted in respect of each authority a review of how effectively and efficiently the authority is performing its functions (a </w:t>
      </w:r>
      <w:r w:rsidRPr="008A1778">
        <w:rPr>
          <w:b/>
          <w:bCs/>
        </w:rPr>
        <w:t>performance review)</w:t>
      </w:r>
      <w:r w:rsidRPr="00965A9E">
        <w:t>.</w:t>
      </w:r>
    </w:p>
    <w:p w14:paraId="5FAD610F" w14:textId="68567B77" w:rsidR="00304723" w:rsidRPr="00965A9E" w:rsidRDefault="00304723" w:rsidP="008A1778">
      <w:pPr>
        <w:pStyle w:val="ListParagraph"/>
        <w:numPr>
          <w:ilvl w:val="0"/>
          <w:numId w:val="13"/>
        </w:numPr>
        <w:spacing w:before="90"/>
        <w:ind w:left="567" w:hanging="567"/>
        <w:contextualSpacing w:val="0"/>
      </w:pPr>
      <w:r w:rsidRPr="00965A9E">
        <w:t>The first performance review must be conducted within 3 years after the commencement of this section.</w:t>
      </w:r>
    </w:p>
    <w:p w14:paraId="197157A4" w14:textId="56618669" w:rsidR="00304723" w:rsidRDefault="00304723" w:rsidP="008A1778">
      <w:pPr>
        <w:pStyle w:val="ListParagraph"/>
        <w:numPr>
          <w:ilvl w:val="0"/>
          <w:numId w:val="13"/>
        </w:numPr>
        <w:spacing w:before="90"/>
        <w:ind w:left="567" w:hanging="567"/>
        <w:contextualSpacing w:val="0"/>
      </w:pPr>
      <w:r w:rsidRPr="00965A9E">
        <w:t>Subsequent performance reviews must be conducted at intervals that are no more than 5 years apart.</w:t>
      </w:r>
    </w:p>
    <w:p w14:paraId="2C3BE43A" w14:textId="73A05129" w:rsidR="00304723" w:rsidRPr="00965A9E" w:rsidRDefault="00304723" w:rsidP="008A1778">
      <w:pPr>
        <w:pStyle w:val="ListParagraph"/>
        <w:numPr>
          <w:ilvl w:val="0"/>
          <w:numId w:val="13"/>
        </w:numPr>
        <w:spacing w:before="90"/>
        <w:ind w:left="567" w:hanging="567"/>
        <w:contextualSpacing w:val="0"/>
      </w:pPr>
      <w:r w:rsidRPr="00965A9E">
        <w:t>For each performance review to be conducted in respect of an authority, the Ministry of Health must, in consultation with the authority,—</w:t>
      </w:r>
    </w:p>
    <w:p w14:paraId="10AF6103" w14:textId="41EAD623" w:rsidR="00304723" w:rsidRPr="00965A9E" w:rsidRDefault="00304723" w:rsidP="008A1778">
      <w:pPr>
        <w:pStyle w:val="ListParagraph"/>
        <w:numPr>
          <w:ilvl w:val="1"/>
          <w:numId w:val="16"/>
        </w:numPr>
        <w:spacing w:before="90"/>
        <w:ind w:left="993" w:hanging="426"/>
        <w:contextualSpacing w:val="0"/>
      </w:pPr>
      <w:r w:rsidRPr="00965A9E">
        <w:t xml:space="preserve">appoint an independent person to conduct the review (a </w:t>
      </w:r>
      <w:r w:rsidRPr="008A1778">
        <w:rPr>
          <w:b/>
          <w:bCs/>
        </w:rPr>
        <w:t>reviewer</w:t>
      </w:r>
      <w:r w:rsidRPr="008A1778">
        <w:rPr>
          <w:bCs/>
        </w:rPr>
        <w:t>)</w:t>
      </w:r>
      <w:r w:rsidRPr="00965A9E">
        <w:t>; and</w:t>
      </w:r>
    </w:p>
    <w:p w14:paraId="33295EB2" w14:textId="7A5B030D" w:rsidR="00304723" w:rsidRPr="00965A9E" w:rsidRDefault="00304723" w:rsidP="008A1778">
      <w:pPr>
        <w:pStyle w:val="ListParagraph"/>
        <w:numPr>
          <w:ilvl w:val="1"/>
          <w:numId w:val="16"/>
        </w:numPr>
        <w:spacing w:before="90"/>
        <w:ind w:left="993" w:hanging="426"/>
        <w:contextualSpacing w:val="0"/>
      </w:pPr>
      <w:r w:rsidRPr="00965A9E">
        <w:t>set the terms of reference for the review.</w:t>
      </w:r>
    </w:p>
    <w:p w14:paraId="5522ABC1" w14:textId="314A57DE" w:rsidR="00304723" w:rsidRPr="00965A9E" w:rsidRDefault="00304723" w:rsidP="008A1778">
      <w:pPr>
        <w:pStyle w:val="ListParagraph"/>
        <w:numPr>
          <w:ilvl w:val="0"/>
          <w:numId w:val="13"/>
        </w:numPr>
        <w:spacing w:before="90"/>
        <w:ind w:left="567" w:hanging="567"/>
        <w:contextualSpacing w:val="0"/>
      </w:pPr>
      <w:r w:rsidRPr="00965A9E">
        <w:t>Before setting the terms of reference for a review, the Ministry of Health may, but is not obliged to, consult any other person, organisation, or group about the terms of reference.</w:t>
      </w:r>
    </w:p>
    <w:p w14:paraId="2E23E3D4" w14:textId="2667CF2C" w:rsidR="00304723" w:rsidRPr="00965A9E" w:rsidRDefault="00304723" w:rsidP="008A1778">
      <w:pPr>
        <w:pStyle w:val="ListParagraph"/>
        <w:numPr>
          <w:ilvl w:val="0"/>
          <w:numId w:val="13"/>
        </w:numPr>
        <w:spacing w:before="90"/>
        <w:ind w:left="567" w:hanging="567"/>
        <w:contextualSpacing w:val="0"/>
      </w:pPr>
      <w:r w:rsidRPr="00965A9E">
        <w:t xml:space="preserve">A reviewer must, as soon as practicable after conducting a </w:t>
      </w:r>
      <w:r w:rsidR="004D6AAC" w:rsidRPr="00965A9E">
        <w:t>review,—</w:t>
      </w:r>
    </w:p>
    <w:p w14:paraId="31E81841" w14:textId="3D374CAC" w:rsidR="00304723" w:rsidRPr="00965A9E" w:rsidRDefault="00304723" w:rsidP="008A1778">
      <w:pPr>
        <w:pStyle w:val="ListParagraph"/>
        <w:numPr>
          <w:ilvl w:val="0"/>
          <w:numId w:val="17"/>
        </w:numPr>
        <w:spacing w:before="90"/>
        <w:ind w:left="993" w:hanging="426"/>
        <w:contextualSpacing w:val="0"/>
      </w:pPr>
      <w:r w:rsidRPr="00965A9E">
        <w:t>prepare a written report on the conclusions reached and of any recommendations; and</w:t>
      </w:r>
    </w:p>
    <w:p w14:paraId="2FF74018" w14:textId="3C33784D" w:rsidR="00304723" w:rsidRPr="00965A9E" w:rsidRDefault="00304723" w:rsidP="008A1778">
      <w:pPr>
        <w:pStyle w:val="ListParagraph"/>
        <w:numPr>
          <w:ilvl w:val="0"/>
          <w:numId w:val="17"/>
        </w:numPr>
        <w:spacing w:before="90"/>
        <w:ind w:left="993" w:hanging="426"/>
        <w:contextualSpacing w:val="0"/>
      </w:pPr>
      <w:r w:rsidRPr="00965A9E">
        <w:t>give a copy of the report to—</w:t>
      </w:r>
    </w:p>
    <w:p w14:paraId="3B62A153" w14:textId="1D9AEF3A" w:rsidR="00304723" w:rsidRPr="00965A9E" w:rsidRDefault="00304723" w:rsidP="008A1778">
      <w:pPr>
        <w:pStyle w:val="ListParagraph"/>
        <w:spacing w:before="90"/>
        <w:ind w:left="993"/>
        <w:contextualSpacing w:val="0"/>
      </w:pPr>
      <w:r w:rsidRPr="00965A9E">
        <w:t>(</w:t>
      </w:r>
      <w:proofErr w:type="spellStart"/>
      <w:r w:rsidRPr="00965A9E">
        <w:t>i</w:t>
      </w:r>
      <w:proofErr w:type="spellEnd"/>
      <w:r w:rsidRPr="00965A9E">
        <w:t xml:space="preserve">) </w:t>
      </w:r>
      <w:r w:rsidR="008A1778">
        <w:tab/>
      </w:r>
      <w:r w:rsidRPr="00965A9E">
        <w:t>the Minister; and</w:t>
      </w:r>
    </w:p>
    <w:p w14:paraId="51D3C75E" w14:textId="2F9F3D85" w:rsidR="00304723" w:rsidRPr="00965A9E" w:rsidRDefault="00304723" w:rsidP="008A1778">
      <w:pPr>
        <w:pStyle w:val="ListParagraph"/>
        <w:spacing w:before="90"/>
        <w:ind w:left="993"/>
        <w:contextualSpacing w:val="0"/>
      </w:pPr>
      <w:r w:rsidRPr="00965A9E">
        <w:t>(ii)</w:t>
      </w:r>
      <w:r w:rsidR="008A1778">
        <w:tab/>
      </w:r>
      <w:r w:rsidRPr="00965A9E">
        <w:t>the authority.</w:t>
      </w:r>
    </w:p>
    <w:p w14:paraId="44942F4C" w14:textId="56682557" w:rsidR="00304723" w:rsidRPr="00965A9E" w:rsidRDefault="00304723" w:rsidP="008A1778">
      <w:pPr>
        <w:pStyle w:val="ListParagraph"/>
        <w:numPr>
          <w:ilvl w:val="0"/>
          <w:numId w:val="13"/>
        </w:numPr>
        <w:spacing w:before="90"/>
        <w:ind w:left="567" w:hanging="567"/>
        <w:contextualSpacing w:val="0"/>
      </w:pPr>
      <w:r w:rsidRPr="00965A9E">
        <w:t>On receipt of a report under subsection (6)﻿(b)﻿(ii), an authority must, as soon as practicable, publish the report on its Internet site.</w:t>
      </w:r>
    </w:p>
    <w:p w14:paraId="03E761C3" w14:textId="7401B821" w:rsidR="00304723" w:rsidRPr="00965A9E" w:rsidRDefault="00304723" w:rsidP="008A1778">
      <w:pPr>
        <w:pStyle w:val="ListParagraph"/>
        <w:numPr>
          <w:ilvl w:val="0"/>
          <w:numId w:val="13"/>
        </w:numPr>
        <w:spacing w:before="90"/>
        <w:ind w:left="567" w:hanging="567"/>
        <w:contextualSpacing w:val="0"/>
      </w:pPr>
      <w:r w:rsidRPr="00965A9E">
        <w:t>The costs of conducting a performance review in respect of an authority must be met by the authority.</w:t>
      </w:r>
    </w:p>
    <w:p w14:paraId="4A00859C" w14:textId="77777777" w:rsidR="008A1778" w:rsidRDefault="008A1778" w:rsidP="00D92F48"/>
    <w:p w14:paraId="5E9E1F93" w14:textId="11128A64" w:rsidR="00304723" w:rsidRDefault="00304723" w:rsidP="00D92F48">
      <w:pPr>
        <w:rPr>
          <w:b/>
        </w:rPr>
      </w:pPr>
      <w:r w:rsidRPr="008A1778">
        <w:rPr>
          <w:b/>
        </w:rPr>
        <w:t>122B Information about implementation of recommendations to be included in annual report</w:t>
      </w:r>
    </w:p>
    <w:p w14:paraId="0F53D434" w14:textId="77777777" w:rsidR="008A1778" w:rsidRPr="008A1778" w:rsidRDefault="008A1778" w:rsidP="00D92F48">
      <w:pPr>
        <w:rPr>
          <w:b/>
        </w:rPr>
      </w:pPr>
    </w:p>
    <w:p w14:paraId="732E2AE8" w14:textId="592EA68D" w:rsidR="00304723" w:rsidRPr="00965A9E" w:rsidRDefault="00304723" w:rsidP="008A1778">
      <w:pPr>
        <w:pStyle w:val="ListParagraph"/>
        <w:numPr>
          <w:ilvl w:val="0"/>
          <w:numId w:val="14"/>
        </w:numPr>
        <w:spacing w:before="90"/>
        <w:ind w:left="567" w:hanging="567"/>
        <w:contextualSpacing w:val="0"/>
      </w:pPr>
      <w:r w:rsidRPr="00965A9E">
        <w:t xml:space="preserve">If a performance review has been completed in respect of any authority during the first 6 months of the authority’s financial year and the report prepared under </w:t>
      </w:r>
      <w:bookmarkStart w:id="9" w:name="LMS193149"/>
      <w:r w:rsidRPr="00965A9E">
        <w:fldChar w:fldCharType="begin"/>
      </w:r>
      <w:r w:rsidRPr="00965A9E">
        <w:instrText xml:space="preserve"> HYPERLINK "http://legislation.govt.nz/act/public/2003/0048/latest/link.aspx?search=sw_096be8ed818de835_review_25_se&amp;p=1&amp;id=LMS193149" \l "LMS193149" </w:instrText>
      </w:r>
      <w:r w:rsidRPr="00965A9E">
        <w:fldChar w:fldCharType="separate"/>
      </w:r>
      <w:r w:rsidRPr="00965A9E">
        <w:t>section 122A(6)﻿(a)</w:t>
      </w:r>
      <w:r w:rsidRPr="00965A9E">
        <w:fldChar w:fldCharType="end"/>
      </w:r>
      <w:r w:rsidRPr="00965A9E">
        <w:t xml:space="preserve"> in respect of that review contains recommendations, the authority must include in its annual report for that financial year delivered to the Minister under </w:t>
      </w:r>
      <w:bookmarkStart w:id="10" w:name="DLM204358"/>
      <w:r w:rsidRPr="00965A9E">
        <w:fldChar w:fldCharType="begin"/>
      </w:r>
      <w:r w:rsidRPr="00965A9E">
        <w:instrText xml:space="preserve"> HYPERLINK "http://legislation.govt.nz/act/public/2003/0048/latest/link.aspx?search=sw_096be8ed818de835_review_25_se&amp;p=1&amp;id=DLM204358" \l "DLM204358" </w:instrText>
      </w:r>
      <w:r w:rsidRPr="00965A9E">
        <w:fldChar w:fldCharType="separate"/>
      </w:r>
      <w:r w:rsidRPr="00965A9E">
        <w:t>section 134</w:t>
      </w:r>
      <w:r w:rsidRPr="00965A9E">
        <w:fldChar w:fldCharType="end"/>
      </w:r>
      <w:r w:rsidRPr="00965A9E">
        <w:t xml:space="preserve"> the information specified in subsection (3).</w:t>
      </w:r>
    </w:p>
    <w:p w14:paraId="4D3104AF" w14:textId="3E2B6C87" w:rsidR="00304723" w:rsidRPr="00965A9E" w:rsidRDefault="00304723" w:rsidP="008A1778">
      <w:pPr>
        <w:pStyle w:val="ListParagraph"/>
        <w:numPr>
          <w:ilvl w:val="0"/>
          <w:numId w:val="14"/>
        </w:numPr>
        <w:spacing w:before="90"/>
        <w:ind w:left="567" w:hanging="567"/>
        <w:contextualSpacing w:val="0"/>
      </w:pPr>
      <w:r w:rsidRPr="00965A9E">
        <w:lastRenderedPageBreak/>
        <w:t xml:space="preserve">If a performance review has been completed in respect of any authority during the last 6 months of the authority’s financial year and the report prepared under </w:t>
      </w:r>
      <w:hyperlink r:id="rId22" w:anchor="LMS193149" w:history="1">
        <w:r w:rsidRPr="00965A9E">
          <w:t>section 122A(6)﻿(a)</w:t>
        </w:r>
      </w:hyperlink>
      <w:bookmarkEnd w:id="9"/>
      <w:r w:rsidRPr="00965A9E">
        <w:t xml:space="preserve"> in respect of that review contains recommendations, the authority must include in its annual report for the following financial year delivered to the Minister under </w:t>
      </w:r>
      <w:hyperlink r:id="rId23" w:anchor="DLM204358" w:history="1">
        <w:r w:rsidRPr="00965A9E">
          <w:t>section 134</w:t>
        </w:r>
      </w:hyperlink>
      <w:bookmarkEnd w:id="10"/>
      <w:r w:rsidRPr="00965A9E">
        <w:t xml:space="preserve"> the information specified in subsection (3).</w:t>
      </w:r>
    </w:p>
    <w:p w14:paraId="6C8D97E5" w14:textId="5017EA4E" w:rsidR="00304723" w:rsidRPr="00965A9E" w:rsidRDefault="00304723" w:rsidP="008A1778">
      <w:pPr>
        <w:pStyle w:val="ListParagraph"/>
        <w:numPr>
          <w:ilvl w:val="0"/>
          <w:numId w:val="14"/>
        </w:numPr>
        <w:spacing w:before="90"/>
        <w:ind w:left="567" w:hanging="567"/>
        <w:contextualSpacing w:val="0"/>
      </w:pPr>
      <w:r w:rsidRPr="00965A9E">
        <w:t>The information referred to in subsections (1) and (2) is—</w:t>
      </w:r>
    </w:p>
    <w:p w14:paraId="0F0922BB" w14:textId="43A15BFD" w:rsidR="00304723" w:rsidRPr="00965A9E" w:rsidRDefault="00304723" w:rsidP="008A1778">
      <w:pPr>
        <w:pStyle w:val="ListParagraph"/>
        <w:numPr>
          <w:ilvl w:val="0"/>
          <w:numId w:val="18"/>
        </w:numPr>
        <w:spacing w:before="90"/>
        <w:ind w:left="993" w:hanging="426"/>
        <w:contextualSpacing w:val="0"/>
      </w:pPr>
      <w:r w:rsidRPr="00965A9E">
        <w:t>which of the recommendations the authority—</w:t>
      </w:r>
    </w:p>
    <w:p w14:paraId="6C862132" w14:textId="77777777" w:rsidR="00304723" w:rsidRPr="00965A9E" w:rsidRDefault="00304723" w:rsidP="008A1778">
      <w:pPr>
        <w:pStyle w:val="ListParagraph"/>
        <w:spacing w:before="90"/>
        <w:ind w:left="993"/>
        <w:contextualSpacing w:val="0"/>
      </w:pPr>
      <w:r w:rsidRPr="00965A9E">
        <w:t>(i) proposes to implement; and</w:t>
      </w:r>
    </w:p>
    <w:p w14:paraId="70B45D05" w14:textId="77777777" w:rsidR="00304723" w:rsidRPr="00965A9E" w:rsidRDefault="00304723" w:rsidP="008A1778">
      <w:pPr>
        <w:pStyle w:val="ListParagraph"/>
        <w:spacing w:before="90"/>
        <w:ind w:left="993"/>
        <w:contextualSpacing w:val="0"/>
      </w:pPr>
      <w:r w:rsidRPr="00965A9E">
        <w:t>(ii) does not propose to implement; and</w:t>
      </w:r>
    </w:p>
    <w:p w14:paraId="52616B59" w14:textId="706379CA" w:rsidR="00304723" w:rsidRPr="00965A9E" w:rsidRDefault="00304723" w:rsidP="008A1778">
      <w:pPr>
        <w:pStyle w:val="ListParagraph"/>
        <w:numPr>
          <w:ilvl w:val="0"/>
          <w:numId w:val="18"/>
        </w:numPr>
        <w:spacing w:before="90"/>
        <w:ind w:left="993" w:hanging="426"/>
        <w:contextualSpacing w:val="0"/>
      </w:pPr>
      <w:r w:rsidRPr="00965A9E">
        <w:t>the time frame for implementing the recommendations identified under paragraph (a)﻿(i); and</w:t>
      </w:r>
    </w:p>
    <w:p w14:paraId="7E6009C6" w14:textId="07D734BF" w:rsidR="00304723" w:rsidRPr="003E02BB" w:rsidRDefault="00304723" w:rsidP="008A1778">
      <w:pPr>
        <w:pStyle w:val="ListParagraph"/>
        <w:numPr>
          <w:ilvl w:val="0"/>
          <w:numId w:val="18"/>
        </w:numPr>
        <w:spacing w:before="90"/>
        <w:ind w:left="993" w:hanging="426"/>
        <w:contextualSpacing w:val="0"/>
      </w:pPr>
      <w:r w:rsidRPr="00965A9E">
        <w:t>the reason for not implementing the recommendations identified under paragraph (a)﻿(ii).</w:t>
      </w:r>
    </w:p>
    <w:p w14:paraId="4563E5F8" w14:textId="77777777" w:rsidR="00304723" w:rsidRPr="003E02BB" w:rsidRDefault="00304723" w:rsidP="00D92F48"/>
    <w:p w14:paraId="247A2A72" w14:textId="77777777" w:rsidR="00304723" w:rsidRDefault="00304723" w:rsidP="00D92F48"/>
    <w:p w14:paraId="7DBB1899" w14:textId="1578576A" w:rsidR="00304723" w:rsidRDefault="00304723" w:rsidP="00D92F48">
      <w:pPr>
        <w:pStyle w:val="Heading1"/>
      </w:pPr>
      <w:bookmarkStart w:id="11" w:name="_Toc38276635"/>
      <w:r>
        <w:lastRenderedPageBreak/>
        <w:t xml:space="preserve">Functions of the </w:t>
      </w:r>
      <w:r w:rsidR="00E750B8">
        <w:t>r</w:t>
      </w:r>
      <w:r>
        <w:t xml:space="preserve">esponsible </w:t>
      </w:r>
      <w:r w:rsidR="00E750B8">
        <w:t>a</w:t>
      </w:r>
      <w:r>
        <w:t>uthorities</w:t>
      </w:r>
      <w:bookmarkEnd w:id="11"/>
    </w:p>
    <w:p w14:paraId="0DABA6D6" w14:textId="7F28D1FE" w:rsidR="00304723" w:rsidRDefault="00304723" w:rsidP="00D92F48">
      <w:r>
        <w:t>The Health Practitioners Competence Assurance Act 2003 sets out New Zealand’s framework for regulating certain health professions</w:t>
      </w:r>
      <w:r w:rsidR="004A5600">
        <w:t xml:space="preserve"> and </w:t>
      </w:r>
      <w:r>
        <w:t xml:space="preserve">practitioners to protect the </w:t>
      </w:r>
      <w:r w:rsidR="00965A9E">
        <w:t xml:space="preserve">health and safety of the </w:t>
      </w:r>
      <w:r>
        <w:t>New Zealand public</w:t>
      </w:r>
      <w:r w:rsidR="00965A9E">
        <w:t>.</w:t>
      </w:r>
    </w:p>
    <w:p w14:paraId="5C0D0378" w14:textId="77777777" w:rsidR="00157D1C" w:rsidRDefault="00157D1C" w:rsidP="00D92F48"/>
    <w:p w14:paraId="0D2C1FF6" w14:textId="7A4AF8B8" w:rsidR="00304723" w:rsidRDefault="00304723" w:rsidP="00D92F48">
      <w:r>
        <w:t>The functions of each authority appointed in respect of a health profession are as follows</w:t>
      </w:r>
      <w:r w:rsidR="00970AF9">
        <w:t>;</w:t>
      </w:r>
      <w:r>
        <w:rPr>
          <w:rStyle w:val="FootnoteReference"/>
        </w:rPr>
        <w:footnoteReference w:id="3"/>
      </w:r>
    </w:p>
    <w:p w14:paraId="29349ACA" w14:textId="77777777" w:rsidR="00157D1C" w:rsidRDefault="00157D1C" w:rsidP="00D92F48"/>
    <w:p w14:paraId="70D2C707" w14:textId="77777777" w:rsidR="00304723" w:rsidRDefault="00304723" w:rsidP="00157D1C">
      <w:pPr>
        <w:pStyle w:val="ListParagraph"/>
        <w:numPr>
          <w:ilvl w:val="0"/>
          <w:numId w:val="2"/>
        </w:numPr>
        <w:spacing w:before="90"/>
        <w:ind w:left="567" w:hanging="567"/>
        <w:contextualSpacing w:val="0"/>
      </w:pPr>
      <w:r>
        <w:t>to prescribe the qualifications required for scopes of practice within the profession, and, for that purpose, to accredit and monitor educational institutions and degrees, courses of studies, or programmes:</w:t>
      </w:r>
    </w:p>
    <w:p w14:paraId="612A4D41" w14:textId="77777777" w:rsidR="00304723" w:rsidRDefault="00304723" w:rsidP="00157D1C">
      <w:pPr>
        <w:pStyle w:val="ListParagraph"/>
        <w:numPr>
          <w:ilvl w:val="0"/>
          <w:numId w:val="2"/>
        </w:numPr>
        <w:spacing w:before="90"/>
        <w:ind w:left="567" w:hanging="567"/>
        <w:contextualSpacing w:val="0"/>
      </w:pPr>
      <w:r>
        <w:t>to authorise the registration of health practitioners under this Act, and to maintain registers:</w:t>
      </w:r>
    </w:p>
    <w:p w14:paraId="2EE29E3E" w14:textId="77777777" w:rsidR="00304723" w:rsidRDefault="00304723" w:rsidP="00157D1C">
      <w:pPr>
        <w:pStyle w:val="ListParagraph"/>
        <w:numPr>
          <w:ilvl w:val="0"/>
          <w:numId w:val="2"/>
        </w:numPr>
        <w:spacing w:before="90"/>
        <w:ind w:left="567" w:hanging="567"/>
        <w:contextualSpacing w:val="0"/>
      </w:pPr>
      <w:r>
        <w:t>to consider applications for annual practising certificates:</w:t>
      </w:r>
    </w:p>
    <w:p w14:paraId="46DD6C04" w14:textId="77777777" w:rsidR="00304723" w:rsidRDefault="00304723" w:rsidP="00157D1C">
      <w:pPr>
        <w:pStyle w:val="ListParagraph"/>
        <w:numPr>
          <w:ilvl w:val="0"/>
          <w:numId w:val="2"/>
        </w:numPr>
        <w:spacing w:before="90"/>
        <w:ind w:left="567" w:hanging="567"/>
        <w:contextualSpacing w:val="0"/>
      </w:pPr>
      <w:r>
        <w:t>to review and promote the competence of health practitioners:</w:t>
      </w:r>
    </w:p>
    <w:p w14:paraId="3785B7D6" w14:textId="77777777" w:rsidR="00304723" w:rsidRDefault="00304723" w:rsidP="00157D1C">
      <w:pPr>
        <w:pStyle w:val="ListParagraph"/>
        <w:numPr>
          <w:ilvl w:val="0"/>
          <w:numId w:val="2"/>
        </w:numPr>
        <w:spacing w:before="90"/>
        <w:ind w:left="567" w:hanging="567"/>
        <w:contextualSpacing w:val="0"/>
      </w:pPr>
      <w:r>
        <w:t>to recognise, accredit, and set programmes to ensure the ongoing competence of health practitioners:</w:t>
      </w:r>
    </w:p>
    <w:p w14:paraId="1FEA532D" w14:textId="77777777" w:rsidR="00304723" w:rsidRDefault="00304723" w:rsidP="00157D1C">
      <w:pPr>
        <w:pStyle w:val="ListParagraph"/>
        <w:numPr>
          <w:ilvl w:val="0"/>
          <w:numId w:val="2"/>
        </w:numPr>
        <w:spacing w:before="90"/>
        <w:ind w:left="567" w:hanging="567"/>
        <w:contextualSpacing w:val="0"/>
      </w:pPr>
      <w:r>
        <w:t>to receive information from any person about the practice, conduct, or competence of health practitioners and, if it is appropriate to do so, act on that information:</w:t>
      </w:r>
    </w:p>
    <w:p w14:paraId="7B85B54B" w14:textId="77777777" w:rsidR="00304723" w:rsidRDefault="00304723" w:rsidP="00157D1C">
      <w:pPr>
        <w:pStyle w:val="ListParagraph"/>
        <w:numPr>
          <w:ilvl w:val="0"/>
          <w:numId w:val="2"/>
        </w:numPr>
        <w:spacing w:before="90"/>
        <w:ind w:left="567" w:hanging="567"/>
        <w:contextualSpacing w:val="0"/>
      </w:pPr>
      <w:r>
        <w:t>to notify employers, the Accident Compensation Corporation, the Director-General of Health, and the Health and Disability Commissioner that the practice of a health practitioner may pose a risk of harm to the public:</w:t>
      </w:r>
    </w:p>
    <w:p w14:paraId="5388F72E" w14:textId="77777777" w:rsidR="00304723" w:rsidRDefault="00304723" w:rsidP="00157D1C">
      <w:pPr>
        <w:pStyle w:val="ListParagraph"/>
        <w:numPr>
          <w:ilvl w:val="0"/>
          <w:numId w:val="2"/>
        </w:numPr>
        <w:spacing w:before="90"/>
        <w:ind w:left="567" w:hanging="567"/>
        <w:contextualSpacing w:val="0"/>
      </w:pPr>
      <w:r>
        <w:t>to consider the cases of health practitioners who may be unable to perform the functions required for the practice of the profession:</w:t>
      </w:r>
    </w:p>
    <w:p w14:paraId="487F8025" w14:textId="77777777" w:rsidR="00304723" w:rsidRDefault="00304723" w:rsidP="00157D1C">
      <w:pPr>
        <w:pStyle w:val="ListParagraph"/>
        <w:numPr>
          <w:ilvl w:val="0"/>
          <w:numId w:val="2"/>
        </w:numPr>
        <w:spacing w:before="90"/>
        <w:ind w:left="567" w:hanging="567"/>
        <w:contextualSpacing w:val="0"/>
      </w:pPr>
      <w:r>
        <w:t>to set standards of clinical competence, cultural competence (including competencies that will enable effective and respectful interaction with Māori), and ethical conduct to be observed by health practitioners of the profession:</w:t>
      </w:r>
    </w:p>
    <w:p w14:paraId="5E63DC83" w14:textId="77777777" w:rsidR="00304723" w:rsidRDefault="00304723" w:rsidP="00157D1C">
      <w:pPr>
        <w:pStyle w:val="ListParagraph"/>
        <w:numPr>
          <w:ilvl w:val="0"/>
          <w:numId w:val="2"/>
        </w:numPr>
        <w:spacing w:before="90"/>
        <w:ind w:left="567" w:hanging="567"/>
        <w:contextualSpacing w:val="0"/>
      </w:pPr>
      <w:r>
        <w:t>to liaise with other authorities appointed under this Act about matters of common interest:</w:t>
      </w:r>
    </w:p>
    <w:p w14:paraId="380F7BF6" w14:textId="0F7DEDC2" w:rsidR="00304723" w:rsidRDefault="009006CE" w:rsidP="00157D1C">
      <w:pPr>
        <w:spacing w:before="90"/>
        <w:ind w:left="567" w:hanging="567"/>
      </w:pPr>
      <w:r>
        <w:t>(ja)</w:t>
      </w:r>
      <w:r>
        <w:tab/>
      </w:r>
      <w:r w:rsidR="00304723">
        <w:t>to promote and facilitate inter-disciplinary collaboration and co-operation in the delivery of health services:</w:t>
      </w:r>
    </w:p>
    <w:p w14:paraId="45135533" w14:textId="77777777" w:rsidR="00304723" w:rsidRDefault="00304723" w:rsidP="00157D1C">
      <w:pPr>
        <w:pStyle w:val="ListParagraph"/>
        <w:numPr>
          <w:ilvl w:val="0"/>
          <w:numId w:val="2"/>
        </w:numPr>
        <w:spacing w:before="90"/>
        <w:ind w:left="567" w:hanging="567"/>
        <w:contextualSpacing w:val="0"/>
      </w:pPr>
      <w:r>
        <w:t>to promote education and training in the profession:</w:t>
      </w:r>
    </w:p>
    <w:p w14:paraId="11B84E49" w14:textId="77777777" w:rsidR="00304723" w:rsidRDefault="00304723" w:rsidP="00157D1C">
      <w:pPr>
        <w:pStyle w:val="ListParagraph"/>
        <w:numPr>
          <w:ilvl w:val="0"/>
          <w:numId w:val="2"/>
        </w:numPr>
        <w:spacing w:before="90"/>
        <w:ind w:left="567" w:hanging="567"/>
        <w:contextualSpacing w:val="0"/>
      </w:pPr>
      <w:r>
        <w:t>to promote public awareness of the responsibilities of the authority:</w:t>
      </w:r>
    </w:p>
    <w:p w14:paraId="66A0084E" w14:textId="77777777" w:rsidR="00304723" w:rsidRDefault="00304723" w:rsidP="00157D1C">
      <w:pPr>
        <w:pStyle w:val="ListParagraph"/>
        <w:numPr>
          <w:ilvl w:val="0"/>
          <w:numId w:val="2"/>
        </w:numPr>
        <w:spacing w:before="90"/>
        <w:ind w:left="567" w:hanging="567"/>
        <w:contextualSpacing w:val="0"/>
      </w:pPr>
      <w:r>
        <w:t>to exercise and perform any other functions, powers, and duties that are conferred or imposed on it by or under this Act or any other enactment.</w:t>
      </w:r>
    </w:p>
    <w:p w14:paraId="246B849C" w14:textId="77409BE7" w:rsidR="00304723" w:rsidRDefault="00900B66" w:rsidP="00D92F48">
      <w:pPr>
        <w:pStyle w:val="Heading1"/>
      </w:pPr>
      <w:bookmarkStart w:id="12" w:name="_Toc38276636"/>
      <w:r>
        <w:lastRenderedPageBreak/>
        <w:t xml:space="preserve">General </w:t>
      </w:r>
      <w:r w:rsidR="009F2D1D">
        <w:t xml:space="preserve">terms </w:t>
      </w:r>
      <w:r w:rsidR="009006CE">
        <w:t xml:space="preserve">of </w:t>
      </w:r>
      <w:r w:rsidR="009F2D1D">
        <w:t xml:space="preserve">reference </w:t>
      </w:r>
      <w:r w:rsidR="009006CE">
        <w:t>for performance reviews</w:t>
      </w:r>
      <w:bookmarkEnd w:id="12"/>
    </w:p>
    <w:p w14:paraId="2ADED6A7" w14:textId="77777777" w:rsidR="00470547" w:rsidRPr="00055928" w:rsidRDefault="00470547" w:rsidP="00D92F48">
      <w:pPr>
        <w:pStyle w:val="Heading2"/>
      </w:pPr>
      <w:bookmarkStart w:id="13" w:name="_Toc38276637"/>
      <w:r w:rsidRPr="00253BBA">
        <w:t>Preamble</w:t>
      </w:r>
      <w:bookmarkEnd w:id="13"/>
      <w:r w:rsidRPr="00055928">
        <w:t xml:space="preserve"> </w:t>
      </w:r>
    </w:p>
    <w:p w14:paraId="41DD9B0F" w14:textId="1F118727" w:rsidR="00470547" w:rsidRPr="00055928" w:rsidRDefault="00470547" w:rsidP="00157D1C">
      <w:pPr>
        <w:rPr>
          <w:rFonts w:eastAsia="Calibri"/>
        </w:rPr>
      </w:pPr>
      <w:r w:rsidRPr="00055928">
        <w:rPr>
          <w:rFonts w:eastAsia="Calibri"/>
        </w:rPr>
        <w:t xml:space="preserve">These </w:t>
      </w:r>
      <w:r>
        <w:rPr>
          <w:rFonts w:eastAsia="Calibri"/>
        </w:rPr>
        <w:t>G</w:t>
      </w:r>
      <w:r w:rsidRPr="00055928">
        <w:rPr>
          <w:rFonts w:eastAsia="Calibri"/>
        </w:rPr>
        <w:t xml:space="preserve">eneral </w:t>
      </w:r>
      <w:r w:rsidR="00A20D5F">
        <w:rPr>
          <w:rFonts w:eastAsia="Calibri"/>
        </w:rPr>
        <w:t>t</w:t>
      </w:r>
      <w:r w:rsidR="00A20D5F" w:rsidRPr="00055928">
        <w:rPr>
          <w:rFonts w:eastAsia="Calibri"/>
        </w:rPr>
        <w:t xml:space="preserve">erms </w:t>
      </w:r>
      <w:r w:rsidRPr="00055928">
        <w:rPr>
          <w:rFonts w:eastAsia="Calibri"/>
        </w:rPr>
        <w:t xml:space="preserve">of </w:t>
      </w:r>
      <w:r w:rsidR="00A20D5F">
        <w:rPr>
          <w:rFonts w:eastAsia="Calibri"/>
        </w:rPr>
        <w:t>r</w:t>
      </w:r>
      <w:r w:rsidR="00A20D5F" w:rsidRPr="00055928">
        <w:rPr>
          <w:rFonts w:eastAsia="Calibri"/>
        </w:rPr>
        <w:t xml:space="preserve">eference </w:t>
      </w:r>
      <w:r w:rsidRPr="00055928">
        <w:rPr>
          <w:rFonts w:eastAsia="Calibri"/>
        </w:rPr>
        <w:t>set the high-level requirements for performance reviews. More detailed requirements</w:t>
      </w:r>
      <w:r>
        <w:rPr>
          <w:rFonts w:eastAsia="Calibri"/>
        </w:rPr>
        <w:t xml:space="preserve"> for each review </w:t>
      </w:r>
      <w:r w:rsidRPr="00055928">
        <w:rPr>
          <w:rFonts w:eastAsia="Calibri"/>
        </w:rPr>
        <w:t xml:space="preserve">will be </w:t>
      </w:r>
      <w:r>
        <w:rPr>
          <w:rFonts w:eastAsia="Calibri"/>
        </w:rPr>
        <w:t>set by the Ministry in consultation with the responsible authority being reviewed.</w:t>
      </w:r>
    </w:p>
    <w:p w14:paraId="6D9278D8" w14:textId="5EC97B59" w:rsidR="00470547" w:rsidRDefault="00470547" w:rsidP="00D92F48">
      <w:pPr>
        <w:pStyle w:val="Heading2"/>
      </w:pPr>
      <w:bookmarkStart w:id="14" w:name="_Toc38276638"/>
      <w:r w:rsidRPr="00253BBA">
        <w:t xml:space="preserve">Purpose of </w:t>
      </w:r>
      <w:r w:rsidR="00591899">
        <w:t xml:space="preserve">performance </w:t>
      </w:r>
      <w:r>
        <w:t>r</w:t>
      </w:r>
      <w:r w:rsidRPr="00253BBA">
        <w:t>eview</w:t>
      </w:r>
      <w:r w:rsidR="00591899">
        <w:t>s</w:t>
      </w:r>
      <w:bookmarkEnd w:id="14"/>
      <w:r w:rsidRPr="00253BBA">
        <w:t xml:space="preserve"> </w:t>
      </w:r>
    </w:p>
    <w:p w14:paraId="0B8F96EE" w14:textId="318EF236" w:rsidR="0089583A" w:rsidRDefault="00591899" w:rsidP="00D92F48">
      <w:pPr>
        <w:rPr>
          <w:rFonts w:cs="Segoe UI"/>
          <w:szCs w:val="21"/>
          <w:lang w:eastAsia="en-US"/>
        </w:rPr>
      </w:pPr>
      <w:r>
        <w:rPr>
          <w:rFonts w:eastAsia="Arial"/>
        </w:rPr>
        <w:t>Performance r</w:t>
      </w:r>
      <w:r w:rsidR="00470547" w:rsidRPr="00253BBA">
        <w:rPr>
          <w:rFonts w:eastAsia="Calibri"/>
        </w:rPr>
        <w:t>eview</w:t>
      </w:r>
      <w:r w:rsidR="00470547">
        <w:rPr>
          <w:rFonts w:eastAsia="Calibri"/>
        </w:rPr>
        <w:t>s</w:t>
      </w:r>
      <w:r w:rsidR="00470547" w:rsidRPr="00253BBA">
        <w:rPr>
          <w:rFonts w:eastAsia="Calibri"/>
        </w:rPr>
        <w:t xml:space="preserve"> provide the Crown and the public assurance that </w:t>
      </w:r>
      <w:r>
        <w:rPr>
          <w:rFonts w:cs="Segoe UI"/>
          <w:szCs w:val="21"/>
          <w:lang w:eastAsia="en-US"/>
        </w:rPr>
        <w:t>responsible authorities</w:t>
      </w:r>
      <w:r w:rsidR="0089583A">
        <w:rPr>
          <w:rFonts w:cs="Segoe UI"/>
          <w:szCs w:val="21"/>
          <w:lang w:eastAsia="en-US"/>
        </w:rPr>
        <w:t>:</w:t>
      </w:r>
    </w:p>
    <w:p w14:paraId="62320E05" w14:textId="77777777" w:rsidR="0089583A" w:rsidRDefault="00470547" w:rsidP="00D92F48">
      <w:pPr>
        <w:pStyle w:val="Bullet"/>
        <w:rPr>
          <w:lang w:eastAsia="en-US"/>
        </w:rPr>
      </w:pPr>
      <w:r w:rsidRPr="00253BBA">
        <w:rPr>
          <w:lang w:eastAsia="en-US"/>
        </w:rPr>
        <w:t>are carrying out their required functions in the interests of public safety</w:t>
      </w:r>
    </w:p>
    <w:p w14:paraId="12B459C6" w14:textId="53EEC234" w:rsidR="0089583A" w:rsidRDefault="00470547" w:rsidP="00D92F48">
      <w:pPr>
        <w:pStyle w:val="Bullet"/>
        <w:rPr>
          <w:lang w:eastAsia="en-US"/>
        </w:rPr>
      </w:pPr>
      <w:r w:rsidRPr="00253BBA">
        <w:rPr>
          <w:lang w:eastAsia="en-US"/>
        </w:rPr>
        <w:t>that their activities focus on protecting the public without being compromised by professional self-interest</w:t>
      </w:r>
    </w:p>
    <w:p w14:paraId="1CE25B2E" w14:textId="099D34C3" w:rsidR="0089583A" w:rsidRDefault="00470547" w:rsidP="00D92F48">
      <w:pPr>
        <w:pStyle w:val="Bullet"/>
        <w:rPr>
          <w:lang w:eastAsia="en-US"/>
        </w:rPr>
      </w:pPr>
      <w:r w:rsidRPr="00253BBA">
        <w:rPr>
          <w:lang w:eastAsia="en-US"/>
        </w:rPr>
        <w:t>that their overall performance is conducive to high public confidence in the regulatory system.</w:t>
      </w:r>
      <w:r w:rsidR="002235D4">
        <w:rPr>
          <w:lang w:eastAsia="en-US"/>
        </w:rPr>
        <w:t xml:space="preserve"> </w:t>
      </w:r>
    </w:p>
    <w:p w14:paraId="73DDAAFD" w14:textId="77777777" w:rsidR="00157D1C" w:rsidRDefault="00157D1C" w:rsidP="00D92F48">
      <w:pPr>
        <w:rPr>
          <w:lang w:eastAsia="en-US"/>
        </w:rPr>
      </w:pPr>
    </w:p>
    <w:p w14:paraId="2732F3FA" w14:textId="62BC7B93" w:rsidR="00470547" w:rsidRPr="00253BBA" w:rsidRDefault="00F70639" w:rsidP="00157D1C">
      <w:pPr>
        <w:rPr>
          <w:lang w:eastAsia="en-US"/>
        </w:rPr>
      </w:pPr>
      <w:r>
        <w:rPr>
          <w:lang w:eastAsia="en-US"/>
        </w:rPr>
        <w:t>Performance r</w:t>
      </w:r>
      <w:r w:rsidR="00470547">
        <w:rPr>
          <w:lang w:eastAsia="en-US"/>
        </w:rPr>
        <w:t xml:space="preserve">eviews also support and facilitate </w:t>
      </w:r>
      <w:r>
        <w:rPr>
          <w:lang w:eastAsia="en-US"/>
        </w:rPr>
        <w:t xml:space="preserve">responsible authorities </w:t>
      </w:r>
      <w:r w:rsidR="00741AC2">
        <w:rPr>
          <w:lang w:eastAsia="en-US"/>
        </w:rPr>
        <w:t xml:space="preserve">to </w:t>
      </w:r>
      <w:r w:rsidR="00FF24DB">
        <w:rPr>
          <w:lang w:eastAsia="en-US"/>
        </w:rPr>
        <w:t xml:space="preserve">develop </w:t>
      </w:r>
      <w:r w:rsidR="00470547">
        <w:rPr>
          <w:lang w:eastAsia="en-US"/>
        </w:rPr>
        <w:t xml:space="preserve">capability and quality improvement efforts. </w:t>
      </w:r>
    </w:p>
    <w:p w14:paraId="68C67AE2" w14:textId="77777777" w:rsidR="00470547" w:rsidRPr="00253BBA" w:rsidRDefault="00470547" w:rsidP="00D92F48">
      <w:pPr>
        <w:pStyle w:val="Heading2"/>
      </w:pPr>
      <w:bookmarkStart w:id="15" w:name="_Toc38276639"/>
      <w:r w:rsidRPr="00253BBA">
        <w:t>Guiding principles</w:t>
      </w:r>
      <w:bookmarkEnd w:id="15"/>
    </w:p>
    <w:p w14:paraId="5DF82472" w14:textId="1833FC83" w:rsidR="00741AC2" w:rsidRDefault="00FF24DB" w:rsidP="00157D1C">
      <w:pPr>
        <w:rPr>
          <w:rFonts w:eastAsia="Calibri"/>
        </w:rPr>
      </w:pPr>
      <w:r>
        <w:rPr>
          <w:rFonts w:eastAsia="Calibri"/>
        </w:rPr>
        <w:t>Performance r</w:t>
      </w:r>
      <w:r w:rsidR="00470547" w:rsidRPr="00253BBA">
        <w:rPr>
          <w:rFonts w:eastAsia="Calibri"/>
        </w:rPr>
        <w:t>eview</w:t>
      </w:r>
      <w:r w:rsidR="00470547">
        <w:rPr>
          <w:rFonts w:eastAsia="Calibri"/>
        </w:rPr>
        <w:t>s</w:t>
      </w:r>
      <w:r w:rsidR="00470547" w:rsidRPr="00253BBA">
        <w:rPr>
          <w:rFonts w:eastAsia="Calibri"/>
        </w:rPr>
        <w:t xml:space="preserve"> </w:t>
      </w:r>
      <w:r w:rsidR="00470547">
        <w:rPr>
          <w:rFonts w:eastAsia="Calibri"/>
        </w:rPr>
        <w:t>will</w:t>
      </w:r>
      <w:r w:rsidR="00741AC2">
        <w:rPr>
          <w:rFonts w:eastAsia="Calibri"/>
        </w:rPr>
        <w:t>:</w:t>
      </w:r>
    </w:p>
    <w:p w14:paraId="216531BB" w14:textId="54DFF1E9" w:rsidR="00470547" w:rsidRPr="00253BBA" w:rsidRDefault="00470547" w:rsidP="00157D1C">
      <w:pPr>
        <w:pStyle w:val="Bullet"/>
        <w:rPr>
          <w:rFonts w:eastAsia="Calibri"/>
        </w:rPr>
      </w:pPr>
      <w:r w:rsidRPr="00253BBA">
        <w:rPr>
          <w:rFonts w:eastAsia="Calibri"/>
        </w:rPr>
        <w:t xml:space="preserve">provide the </w:t>
      </w:r>
      <w:r>
        <w:rPr>
          <w:rFonts w:eastAsia="Calibri"/>
        </w:rPr>
        <w:t xml:space="preserve">Crown and the </w:t>
      </w:r>
      <w:r w:rsidRPr="00253BBA">
        <w:rPr>
          <w:rFonts w:eastAsia="Calibri"/>
        </w:rPr>
        <w:t xml:space="preserve">public better visibility of how efficiently and effectively </w:t>
      </w:r>
      <w:r w:rsidR="00741AC2">
        <w:rPr>
          <w:rFonts w:eastAsia="Calibri"/>
        </w:rPr>
        <w:t>responsible authorities</w:t>
      </w:r>
      <w:r>
        <w:rPr>
          <w:rFonts w:eastAsia="Calibri"/>
        </w:rPr>
        <w:t xml:space="preserve"> are</w:t>
      </w:r>
      <w:r w:rsidRPr="00253BBA">
        <w:rPr>
          <w:rFonts w:eastAsia="Calibri"/>
        </w:rPr>
        <w:t xml:space="preserve"> performing </w:t>
      </w:r>
      <w:r>
        <w:rPr>
          <w:rFonts w:eastAsia="Calibri"/>
        </w:rPr>
        <w:t>their</w:t>
      </w:r>
      <w:r w:rsidRPr="00253BBA">
        <w:rPr>
          <w:rFonts w:eastAsia="Calibri"/>
        </w:rPr>
        <w:t xml:space="preserve"> functions under the Ac</w:t>
      </w:r>
      <w:r w:rsidR="00741AC2">
        <w:rPr>
          <w:rFonts w:eastAsia="Calibri"/>
        </w:rPr>
        <w:t>t</w:t>
      </w:r>
    </w:p>
    <w:p w14:paraId="42318F8D" w14:textId="36E3602A" w:rsidR="00470547" w:rsidRPr="00D92F48" w:rsidRDefault="00470547" w:rsidP="00157D1C">
      <w:pPr>
        <w:pStyle w:val="Bullet"/>
        <w:rPr>
          <w:rFonts w:eastAsia="Calibri"/>
        </w:rPr>
      </w:pPr>
      <w:r w:rsidRPr="00D92F48">
        <w:rPr>
          <w:rFonts w:eastAsia="Calibri"/>
        </w:rPr>
        <w:t xml:space="preserve">consider how well </w:t>
      </w:r>
      <w:r w:rsidR="00741AC2" w:rsidRPr="00D92F48">
        <w:rPr>
          <w:rFonts w:eastAsia="Calibri"/>
        </w:rPr>
        <w:t>responsible authorities</w:t>
      </w:r>
      <w:r w:rsidRPr="00D92F48">
        <w:rPr>
          <w:rFonts w:eastAsia="Calibri"/>
        </w:rPr>
        <w:t xml:space="preserve"> are performing their functions in relation to protecting the health and safety of members of the public, with specific reference to and emphasis on protecting the health and safety of Māori</w:t>
      </w:r>
    </w:p>
    <w:p w14:paraId="025CEC0B" w14:textId="63FC4F57" w:rsidR="00470547" w:rsidRPr="00D92F48" w:rsidRDefault="00470547" w:rsidP="00157D1C">
      <w:pPr>
        <w:pStyle w:val="Bullet"/>
        <w:rPr>
          <w:rFonts w:eastAsia="Calibri"/>
        </w:rPr>
      </w:pPr>
      <w:r w:rsidRPr="00D92F48">
        <w:rPr>
          <w:rFonts w:eastAsia="Calibri"/>
        </w:rPr>
        <w:t xml:space="preserve">consider how well the </w:t>
      </w:r>
      <w:r w:rsidR="00741AC2" w:rsidRPr="00D92F48">
        <w:rPr>
          <w:rFonts w:eastAsia="Calibri"/>
        </w:rPr>
        <w:t xml:space="preserve">responsible authorities’ </w:t>
      </w:r>
      <w:r w:rsidRPr="00D92F48">
        <w:rPr>
          <w:rFonts w:eastAsia="Calibri"/>
        </w:rPr>
        <w:t>approach reflects the six principles of Right Touch regulation: Proportionate, Consistent, Targeted, Transparent, Accountable, and Agile</w:t>
      </w:r>
      <w:r>
        <w:rPr>
          <w:rStyle w:val="FootnoteReference"/>
          <w:rFonts w:eastAsia="Calibri"/>
        </w:rPr>
        <w:footnoteReference w:id="4"/>
      </w:r>
    </w:p>
    <w:p w14:paraId="41D810FA" w14:textId="319E3FE7" w:rsidR="00470547" w:rsidRPr="00D92F48" w:rsidRDefault="00470547" w:rsidP="00157D1C">
      <w:pPr>
        <w:pStyle w:val="Bullet"/>
        <w:rPr>
          <w:rFonts w:eastAsia="Calibri"/>
        </w:rPr>
      </w:pPr>
      <w:r w:rsidRPr="00D92F48">
        <w:rPr>
          <w:rFonts w:eastAsia="Calibri"/>
        </w:rPr>
        <w:t xml:space="preserve">focus on a </w:t>
      </w:r>
      <w:r w:rsidR="00741AC2" w:rsidRPr="00D92F48">
        <w:rPr>
          <w:rFonts w:eastAsia="Calibri"/>
        </w:rPr>
        <w:t>responsible authority’s</w:t>
      </w:r>
      <w:r w:rsidRPr="00D92F48">
        <w:rPr>
          <w:rFonts w:eastAsia="Calibri"/>
        </w:rPr>
        <w:t xml:space="preserve"> ability to be forward looking, proactive, and responsive</w:t>
      </w:r>
    </w:p>
    <w:p w14:paraId="4FF731E3" w14:textId="3EAE5EDB" w:rsidR="00470547" w:rsidRPr="00D92F48" w:rsidRDefault="00470547" w:rsidP="00157D1C">
      <w:pPr>
        <w:pStyle w:val="Bullet"/>
        <w:rPr>
          <w:rFonts w:eastAsia="Calibri"/>
        </w:rPr>
      </w:pPr>
      <w:r w:rsidRPr="00D92F48">
        <w:rPr>
          <w:rFonts w:eastAsia="Calibri"/>
        </w:rPr>
        <w:lastRenderedPageBreak/>
        <w:t xml:space="preserve">be useful to </w:t>
      </w:r>
      <w:r w:rsidR="00741AC2" w:rsidRPr="00D92F48">
        <w:rPr>
          <w:rFonts w:eastAsia="Calibri"/>
        </w:rPr>
        <w:t>responsible authorities</w:t>
      </w:r>
      <w:r w:rsidRPr="00D92F48">
        <w:rPr>
          <w:rFonts w:eastAsia="Calibri"/>
        </w:rPr>
        <w:t xml:space="preserve"> and should facilitate their continued competence and improvement</w:t>
      </w:r>
    </w:p>
    <w:p w14:paraId="5941AE13" w14:textId="57A315FC" w:rsidR="00470547" w:rsidRPr="00D92F48" w:rsidRDefault="00470547" w:rsidP="00157D1C">
      <w:pPr>
        <w:pStyle w:val="Bullet"/>
        <w:rPr>
          <w:rFonts w:eastAsia="Calibri"/>
        </w:rPr>
      </w:pPr>
      <w:r w:rsidRPr="00D92F48">
        <w:rPr>
          <w:rFonts w:eastAsia="Calibri"/>
        </w:rPr>
        <w:t xml:space="preserve">be cost-effective and must be affordable, manageable, and sustainable for every </w:t>
      </w:r>
      <w:r w:rsidR="00741AC2" w:rsidRPr="00D92F48">
        <w:rPr>
          <w:rFonts w:eastAsia="Calibri"/>
        </w:rPr>
        <w:t>responsible authority</w:t>
      </w:r>
    </w:p>
    <w:p w14:paraId="47BFFC39" w14:textId="6553D12F" w:rsidR="00470547" w:rsidRPr="00D92F48" w:rsidRDefault="00470547" w:rsidP="00157D1C">
      <w:pPr>
        <w:pStyle w:val="Bullet"/>
        <w:rPr>
          <w:rFonts w:eastAsia="Calibri"/>
        </w:rPr>
      </w:pPr>
      <w:r w:rsidRPr="00D92F48">
        <w:rPr>
          <w:rFonts w:eastAsia="Calibri"/>
        </w:rPr>
        <w:t>be cognisant of stakeholder interests, including:</w:t>
      </w:r>
    </w:p>
    <w:p w14:paraId="2B3BF112" w14:textId="77777777" w:rsidR="00470547" w:rsidRDefault="00470547" w:rsidP="00157D1C">
      <w:pPr>
        <w:pStyle w:val="Bullet"/>
        <w:numPr>
          <w:ilvl w:val="0"/>
          <w:numId w:val="19"/>
        </w:numPr>
        <w:ind w:left="709" w:hanging="425"/>
        <w:rPr>
          <w:rFonts w:eastAsia="Calibri"/>
        </w:rPr>
      </w:pPr>
      <w:r w:rsidRPr="00475509">
        <w:rPr>
          <w:rFonts w:eastAsia="Calibri"/>
        </w:rPr>
        <w:t>the public</w:t>
      </w:r>
    </w:p>
    <w:p w14:paraId="359C1BA0" w14:textId="77777777" w:rsidR="00470547" w:rsidRDefault="00470547" w:rsidP="00157D1C">
      <w:pPr>
        <w:pStyle w:val="Bullet"/>
        <w:numPr>
          <w:ilvl w:val="0"/>
          <w:numId w:val="19"/>
        </w:numPr>
        <w:ind w:left="709" w:hanging="425"/>
        <w:rPr>
          <w:rFonts w:eastAsia="Calibri"/>
        </w:rPr>
      </w:pPr>
      <w:r w:rsidRPr="00475509">
        <w:rPr>
          <w:rFonts w:eastAsia="Calibri"/>
        </w:rPr>
        <w:t>Māori</w:t>
      </w:r>
    </w:p>
    <w:p w14:paraId="40DCAC08" w14:textId="77777777" w:rsidR="00470547" w:rsidRDefault="00470547" w:rsidP="00157D1C">
      <w:pPr>
        <w:pStyle w:val="Bullet"/>
        <w:numPr>
          <w:ilvl w:val="0"/>
          <w:numId w:val="19"/>
        </w:numPr>
        <w:ind w:left="709" w:hanging="425"/>
        <w:rPr>
          <w:rFonts w:eastAsia="Calibri"/>
        </w:rPr>
      </w:pPr>
      <w:r w:rsidRPr="00475509">
        <w:rPr>
          <w:rFonts w:eastAsia="Calibri"/>
        </w:rPr>
        <w:t>health</w:t>
      </w:r>
      <w:r>
        <w:rPr>
          <w:rFonts w:eastAsia="Calibri"/>
        </w:rPr>
        <w:t xml:space="preserve"> </w:t>
      </w:r>
      <w:r w:rsidRPr="00475509">
        <w:rPr>
          <w:rFonts w:eastAsia="Calibri"/>
        </w:rPr>
        <w:t>practitioners</w:t>
      </w:r>
    </w:p>
    <w:p w14:paraId="6CC07FC0" w14:textId="77777777" w:rsidR="00470547" w:rsidRDefault="00470547" w:rsidP="00157D1C">
      <w:pPr>
        <w:pStyle w:val="Bullet"/>
        <w:numPr>
          <w:ilvl w:val="0"/>
          <w:numId w:val="19"/>
        </w:numPr>
        <w:ind w:left="709" w:hanging="425"/>
        <w:rPr>
          <w:rFonts w:eastAsia="Calibri"/>
        </w:rPr>
      </w:pPr>
      <w:r w:rsidRPr="00475509">
        <w:rPr>
          <w:rFonts w:eastAsia="Calibri"/>
        </w:rPr>
        <w:t>educators</w:t>
      </w:r>
    </w:p>
    <w:p w14:paraId="2FF1E894" w14:textId="4E6936C8" w:rsidR="00470547" w:rsidRDefault="00470547" w:rsidP="00157D1C">
      <w:pPr>
        <w:pStyle w:val="Bullet"/>
        <w:numPr>
          <w:ilvl w:val="0"/>
          <w:numId w:val="19"/>
        </w:numPr>
        <w:ind w:left="709" w:hanging="425"/>
        <w:rPr>
          <w:rFonts w:eastAsia="Calibri"/>
        </w:rPr>
      </w:pPr>
      <w:r w:rsidRPr="00475509">
        <w:rPr>
          <w:rFonts w:eastAsia="Calibri"/>
        </w:rPr>
        <w:t>institutions (including employers).</w:t>
      </w:r>
    </w:p>
    <w:p w14:paraId="6547F4AA" w14:textId="77777777" w:rsidR="00157D1C" w:rsidRDefault="00157D1C" w:rsidP="00D92F48">
      <w:pPr>
        <w:rPr>
          <w:rFonts w:eastAsia="Calibri"/>
        </w:rPr>
      </w:pPr>
    </w:p>
    <w:p w14:paraId="5CE34357" w14:textId="63C3B01B" w:rsidR="00741AC2" w:rsidRDefault="00741AC2" w:rsidP="00D92F48">
      <w:pPr>
        <w:rPr>
          <w:rFonts w:eastAsia="Calibri"/>
        </w:rPr>
      </w:pPr>
      <w:r>
        <w:rPr>
          <w:rFonts w:eastAsia="Calibri"/>
        </w:rPr>
        <w:t>Prescribed performance s</w:t>
      </w:r>
      <w:r w:rsidRPr="00253BBA">
        <w:rPr>
          <w:rFonts w:eastAsia="Calibri"/>
        </w:rPr>
        <w:t xml:space="preserve">tandards </w:t>
      </w:r>
      <w:r>
        <w:rPr>
          <w:rFonts w:eastAsia="Calibri"/>
        </w:rPr>
        <w:t>will be:</w:t>
      </w:r>
    </w:p>
    <w:p w14:paraId="159B5220" w14:textId="2D18E3AC" w:rsidR="00741AC2" w:rsidRPr="00157D1C" w:rsidRDefault="00741AC2" w:rsidP="00157D1C">
      <w:pPr>
        <w:pStyle w:val="Bullet"/>
        <w:rPr>
          <w:rFonts w:eastAsia="Calibri"/>
        </w:rPr>
      </w:pPr>
      <w:r w:rsidRPr="00157D1C">
        <w:rPr>
          <w:rFonts w:eastAsia="Calibri"/>
        </w:rPr>
        <w:t>aligned to responsible authorities’ functions (refer s 118 of the Act)</w:t>
      </w:r>
    </w:p>
    <w:p w14:paraId="02AA5039" w14:textId="1F88BE4C" w:rsidR="00741AC2" w:rsidRPr="00157D1C" w:rsidRDefault="00741AC2" w:rsidP="00157D1C">
      <w:pPr>
        <w:pStyle w:val="Bullet"/>
        <w:rPr>
          <w:rFonts w:eastAsia="Calibri"/>
        </w:rPr>
      </w:pPr>
      <w:r w:rsidRPr="00157D1C">
        <w:rPr>
          <w:rFonts w:eastAsia="Calibri"/>
        </w:rPr>
        <w:t>outcomes and/or output based, with an emphasis on qualitative over quantitative measures</w:t>
      </w:r>
    </w:p>
    <w:p w14:paraId="5AD44FD4" w14:textId="41245274" w:rsidR="00741AC2" w:rsidRPr="00157D1C" w:rsidRDefault="00741AC2" w:rsidP="00157D1C">
      <w:pPr>
        <w:pStyle w:val="Bullet"/>
        <w:rPr>
          <w:rFonts w:eastAsia="Calibri"/>
        </w:rPr>
      </w:pPr>
      <w:r w:rsidRPr="00157D1C">
        <w:rPr>
          <w:rFonts w:eastAsia="Calibri"/>
        </w:rPr>
        <w:t>focused on outcomes and outputs that are within the responsible authority’s control.</w:t>
      </w:r>
    </w:p>
    <w:p w14:paraId="6E744B1B" w14:textId="77777777" w:rsidR="00470547" w:rsidRPr="003C3CE0" w:rsidRDefault="00470547" w:rsidP="00D92F48">
      <w:pPr>
        <w:pStyle w:val="Heading2"/>
      </w:pPr>
      <w:bookmarkStart w:id="16" w:name="_Toc38276640"/>
      <w:r w:rsidRPr="003C3CE0">
        <w:t xml:space="preserve">Nature of </w:t>
      </w:r>
      <w:r>
        <w:t>r</w:t>
      </w:r>
      <w:r w:rsidRPr="003C3CE0">
        <w:t>eview</w:t>
      </w:r>
      <w:bookmarkEnd w:id="16"/>
    </w:p>
    <w:p w14:paraId="7E7246BD" w14:textId="308342E9" w:rsidR="00470547" w:rsidRPr="00BB6902" w:rsidRDefault="00470547" w:rsidP="00D92F48">
      <w:pPr>
        <w:rPr>
          <w:rFonts w:eastAsia="Arial"/>
        </w:rPr>
      </w:pPr>
      <w:r>
        <w:rPr>
          <w:rFonts w:eastAsia="Arial"/>
        </w:rPr>
        <w:t>Periodic performance reviews are mandated under s 122A of the HPCA Act.</w:t>
      </w:r>
      <w:r w:rsidR="002235D4">
        <w:rPr>
          <w:rFonts w:eastAsia="Arial"/>
        </w:rPr>
        <w:t xml:space="preserve"> </w:t>
      </w:r>
      <w:r>
        <w:rPr>
          <w:rFonts w:eastAsia="Arial"/>
        </w:rPr>
        <w:t xml:space="preserve">They will involve an independent, systematic, objective, and </w:t>
      </w:r>
      <w:r w:rsidRPr="0029419A">
        <w:rPr>
          <w:rFonts w:eastAsia="Arial"/>
        </w:rPr>
        <w:t>documented review of</w:t>
      </w:r>
      <w:r>
        <w:rPr>
          <w:rFonts w:eastAsia="Arial"/>
        </w:rPr>
        <w:t xml:space="preserve"> </w:t>
      </w:r>
      <w:r w:rsidR="0054065E">
        <w:rPr>
          <w:rFonts w:eastAsia="Arial"/>
        </w:rPr>
        <w:t xml:space="preserve">a </w:t>
      </w:r>
      <w:r w:rsidR="00741AC2">
        <w:rPr>
          <w:rFonts w:eastAsia="Arial"/>
        </w:rPr>
        <w:t>responsible authority’s</w:t>
      </w:r>
      <w:r>
        <w:rPr>
          <w:rFonts w:eastAsia="Arial"/>
        </w:rPr>
        <w:t xml:space="preserve"> performance and the extent to which that </w:t>
      </w:r>
      <w:r w:rsidR="00741AC2">
        <w:rPr>
          <w:rFonts w:eastAsia="Calibri"/>
        </w:rPr>
        <w:t>responsible authority</w:t>
      </w:r>
      <w:r>
        <w:rPr>
          <w:rFonts w:eastAsia="Arial"/>
        </w:rPr>
        <w:t xml:space="preserve"> meets the prescribed performance standards (refer Appendix 1). </w:t>
      </w:r>
      <w:r w:rsidRPr="00BB6902">
        <w:rPr>
          <w:rFonts w:eastAsia="Arial"/>
        </w:rPr>
        <w:t>While formal and evaluative,</w:t>
      </w:r>
      <w:r>
        <w:rPr>
          <w:rFonts w:eastAsia="Arial"/>
        </w:rPr>
        <w:t xml:space="preserve"> </w:t>
      </w:r>
      <w:r w:rsidR="00741AC2">
        <w:rPr>
          <w:rFonts w:eastAsia="Arial"/>
        </w:rPr>
        <w:t xml:space="preserve">performance </w:t>
      </w:r>
      <w:r>
        <w:rPr>
          <w:rFonts w:eastAsia="Arial"/>
        </w:rPr>
        <w:t>reviews</w:t>
      </w:r>
      <w:r w:rsidRPr="00BB6902">
        <w:rPr>
          <w:rFonts w:eastAsia="Arial"/>
        </w:rPr>
        <w:t xml:space="preserve"> will be carried out in a collegial manner and allowance will be made </w:t>
      </w:r>
      <w:r w:rsidR="00741AC2">
        <w:rPr>
          <w:rFonts w:eastAsia="Arial"/>
        </w:rPr>
        <w:t>to provide</w:t>
      </w:r>
      <w:r>
        <w:rPr>
          <w:rFonts w:eastAsia="Arial"/>
        </w:rPr>
        <w:t xml:space="preserve"> </w:t>
      </w:r>
      <w:r w:rsidRPr="00BB6902">
        <w:rPr>
          <w:rFonts w:eastAsia="Arial"/>
        </w:rPr>
        <w:t xml:space="preserve">both evaluative and formative feedback. </w:t>
      </w:r>
    </w:p>
    <w:p w14:paraId="0110AB4A" w14:textId="5123A6A1" w:rsidR="00470547" w:rsidRPr="003C3CE0" w:rsidRDefault="00470547" w:rsidP="00D92F48">
      <w:pPr>
        <w:pStyle w:val="Heading2"/>
      </w:pPr>
      <w:bookmarkStart w:id="17" w:name="_Toc38276641"/>
      <w:r>
        <w:t xml:space="preserve">Scope of </w:t>
      </w:r>
      <w:r w:rsidR="005667AC">
        <w:t xml:space="preserve">performance </w:t>
      </w:r>
      <w:r>
        <w:t>review and m</w:t>
      </w:r>
      <w:r w:rsidRPr="003C3CE0">
        <w:t>ethodology</w:t>
      </w:r>
      <w:bookmarkEnd w:id="17"/>
    </w:p>
    <w:p w14:paraId="7787D546" w14:textId="03425272" w:rsidR="00470547" w:rsidRPr="00EF6E0F" w:rsidRDefault="005667AC" w:rsidP="00D92F48">
      <w:pPr>
        <w:rPr>
          <w:rFonts w:eastAsia="Arial"/>
        </w:rPr>
      </w:pPr>
      <w:r>
        <w:rPr>
          <w:rFonts w:eastAsia="Arial"/>
        </w:rPr>
        <w:t>Performance r</w:t>
      </w:r>
      <w:r w:rsidR="00470547" w:rsidRPr="00EF6E0F">
        <w:rPr>
          <w:rFonts w:eastAsia="Arial"/>
        </w:rPr>
        <w:t xml:space="preserve">eviews will </w:t>
      </w:r>
      <w:r w:rsidR="00470547">
        <w:rPr>
          <w:rFonts w:eastAsia="Arial"/>
        </w:rPr>
        <w:t xml:space="preserve">normally assess </w:t>
      </w:r>
      <w:r w:rsidR="00741AC2">
        <w:rPr>
          <w:rFonts w:eastAsia="Arial"/>
        </w:rPr>
        <w:t xml:space="preserve">a </w:t>
      </w:r>
      <w:r w:rsidR="00741AC2">
        <w:rPr>
          <w:rFonts w:eastAsia="Calibri"/>
        </w:rPr>
        <w:t>responsible authority’s</w:t>
      </w:r>
      <w:r w:rsidR="00741AC2" w:rsidRPr="00253BBA">
        <w:rPr>
          <w:rFonts w:eastAsia="Calibri"/>
        </w:rPr>
        <w:t xml:space="preserve"> </w:t>
      </w:r>
      <w:r w:rsidR="00470547">
        <w:rPr>
          <w:rFonts w:eastAsia="Arial"/>
        </w:rPr>
        <w:t xml:space="preserve">performance against the full set of </w:t>
      </w:r>
      <w:r w:rsidR="00470547" w:rsidRPr="00EF6E0F">
        <w:rPr>
          <w:rFonts w:eastAsia="Arial"/>
          <w:i/>
        </w:rPr>
        <w:t>Core Performance Standards</w:t>
      </w:r>
      <w:r w:rsidR="00470547">
        <w:rPr>
          <w:rFonts w:eastAsia="Arial"/>
        </w:rPr>
        <w:t>. More focused, tailored reviews may also be conducted where recommended</w:t>
      </w:r>
      <w:r>
        <w:rPr>
          <w:rFonts w:eastAsia="Arial"/>
        </w:rPr>
        <w:t>,</w:t>
      </w:r>
      <w:r w:rsidR="00470547">
        <w:rPr>
          <w:rFonts w:eastAsia="Arial"/>
        </w:rPr>
        <w:t xml:space="preserve"> following an earlier </w:t>
      </w:r>
      <w:r>
        <w:rPr>
          <w:rFonts w:eastAsia="Arial"/>
        </w:rPr>
        <w:t xml:space="preserve">performance </w:t>
      </w:r>
      <w:r w:rsidR="00470547">
        <w:rPr>
          <w:rFonts w:eastAsia="Arial"/>
        </w:rPr>
        <w:t xml:space="preserve">review. </w:t>
      </w:r>
      <w:r>
        <w:rPr>
          <w:rFonts w:eastAsia="Arial"/>
        </w:rPr>
        <w:t>The r</w:t>
      </w:r>
      <w:r w:rsidR="00470547">
        <w:rPr>
          <w:rFonts w:eastAsia="Arial"/>
        </w:rPr>
        <w:t>eview methodology will be determined for each review but</w:t>
      </w:r>
      <w:r>
        <w:rPr>
          <w:rFonts w:eastAsia="Arial"/>
        </w:rPr>
        <w:t>,</w:t>
      </w:r>
      <w:r w:rsidR="00470547">
        <w:rPr>
          <w:rFonts w:eastAsia="Arial"/>
        </w:rPr>
        <w:t xml:space="preserve"> in general</w:t>
      </w:r>
      <w:r>
        <w:rPr>
          <w:rFonts w:eastAsia="Arial"/>
        </w:rPr>
        <w:t>,</w:t>
      </w:r>
      <w:r w:rsidR="00470547">
        <w:rPr>
          <w:rFonts w:eastAsia="Arial"/>
        </w:rPr>
        <w:t xml:space="preserve"> will involve </w:t>
      </w:r>
      <w:r w:rsidR="00470547" w:rsidRPr="00EF6E0F">
        <w:rPr>
          <w:rFonts w:eastAsia="Arial"/>
        </w:rPr>
        <w:t xml:space="preserve">a self-assessment process by the </w:t>
      </w:r>
      <w:r>
        <w:rPr>
          <w:rFonts w:eastAsia="Calibri"/>
        </w:rPr>
        <w:t>responsible authority</w:t>
      </w:r>
      <w:r w:rsidR="00470547" w:rsidRPr="00EF6E0F">
        <w:rPr>
          <w:rFonts w:eastAsia="Arial"/>
        </w:rPr>
        <w:t>,</w:t>
      </w:r>
      <w:r w:rsidR="00470547">
        <w:rPr>
          <w:rFonts w:eastAsia="Arial"/>
        </w:rPr>
        <w:t xml:space="preserve"> followed </w:t>
      </w:r>
      <w:r w:rsidR="00470547" w:rsidRPr="00EF6E0F">
        <w:rPr>
          <w:rFonts w:eastAsia="Arial"/>
        </w:rPr>
        <w:t>by external review</w:t>
      </w:r>
      <w:r>
        <w:rPr>
          <w:rFonts w:eastAsia="Arial"/>
        </w:rPr>
        <w:t xml:space="preserve"> and </w:t>
      </w:r>
      <w:r w:rsidR="00470547" w:rsidRPr="00EF6E0F">
        <w:rPr>
          <w:rFonts w:eastAsia="Arial"/>
        </w:rPr>
        <w:t>validation</w:t>
      </w:r>
      <w:r w:rsidR="00470547">
        <w:rPr>
          <w:rFonts w:eastAsia="Arial"/>
        </w:rPr>
        <w:t>.</w:t>
      </w:r>
    </w:p>
    <w:p w14:paraId="310DE2C1" w14:textId="77777777" w:rsidR="00470547" w:rsidRDefault="00470547" w:rsidP="00D92F48">
      <w:pPr>
        <w:pStyle w:val="Heading2"/>
      </w:pPr>
      <w:bookmarkStart w:id="18" w:name="_Toc38276642"/>
      <w:r>
        <w:t>Roles and responsibilities</w:t>
      </w:r>
      <w:bookmarkEnd w:id="18"/>
    </w:p>
    <w:p w14:paraId="7CC0E2F2" w14:textId="77777777" w:rsidR="00470547" w:rsidRPr="00DC6A52" w:rsidRDefault="00470547" w:rsidP="00F472F5">
      <w:pPr>
        <w:pStyle w:val="Heading3"/>
        <w:spacing w:before="240"/>
      </w:pPr>
      <w:r w:rsidRPr="00DC6A52">
        <w:t>Reviewer(s)</w:t>
      </w:r>
    </w:p>
    <w:p w14:paraId="0ECF6025" w14:textId="22619152" w:rsidR="00470547" w:rsidRDefault="005667AC" w:rsidP="00D92F48">
      <w:r>
        <w:t>Performance r</w:t>
      </w:r>
      <w:r w:rsidR="00470547" w:rsidRPr="0076315C">
        <w:t xml:space="preserve">eviews will be conducted under the Ministry of Health’s HSII-QAS-HealthCERT framework. Reviewers will be appointed based on expertise and experience in conducting reviews, knowledge and awareness of the regulation of health </w:t>
      </w:r>
      <w:r w:rsidR="00470547" w:rsidRPr="0076315C">
        <w:lastRenderedPageBreak/>
        <w:t>practitioners in New Zealand, cost-effectiveness and affordability, and capacity to manage the work required.</w:t>
      </w:r>
    </w:p>
    <w:p w14:paraId="44A8133A" w14:textId="1410A939" w:rsidR="00470547" w:rsidRPr="0054065E" w:rsidRDefault="005667AC" w:rsidP="00DC6A52">
      <w:pPr>
        <w:pStyle w:val="Heading3"/>
      </w:pPr>
      <w:r w:rsidRPr="0054065E">
        <w:t>R</w:t>
      </w:r>
      <w:r w:rsidR="00741AC2" w:rsidRPr="0054065E">
        <w:t>esponsible authorities</w:t>
      </w:r>
    </w:p>
    <w:p w14:paraId="7EF68337" w14:textId="18A9134D" w:rsidR="00470547" w:rsidRDefault="00470547" w:rsidP="00D92F48">
      <w:r w:rsidRPr="00CD616B">
        <w:t xml:space="preserve">The </w:t>
      </w:r>
      <w:r w:rsidR="005667AC">
        <w:rPr>
          <w:rFonts w:eastAsia="Calibri"/>
        </w:rPr>
        <w:t>responsible authority</w:t>
      </w:r>
      <w:r w:rsidRPr="00CD616B">
        <w:t xml:space="preserve"> being reviewed will</w:t>
      </w:r>
      <w:r>
        <w:t xml:space="preserve"> submit a self-assessment prior to the scheduled site visit</w:t>
      </w:r>
      <w:r w:rsidRPr="001D5438">
        <w:t xml:space="preserve"> </w:t>
      </w:r>
      <w:r>
        <w:t xml:space="preserve">and will designate someone to serve as liaison between the </w:t>
      </w:r>
      <w:r w:rsidR="005667AC">
        <w:rPr>
          <w:rFonts w:eastAsia="Calibri"/>
        </w:rPr>
        <w:t>responsible authority</w:t>
      </w:r>
      <w:r w:rsidR="005667AC" w:rsidRPr="00CD616B">
        <w:t xml:space="preserve"> </w:t>
      </w:r>
      <w:r>
        <w:t xml:space="preserve">and the reviewer. The </w:t>
      </w:r>
      <w:r w:rsidR="005667AC">
        <w:rPr>
          <w:rFonts w:eastAsia="Calibri"/>
        </w:rPr>
        <w:t>responsible authority</w:t>
      </w:r>
      <w:r w:rsidR="005667AC" w:rsidRPr="00CD616B">
        <w:t xml:space="preserve"> </w:t>
      </w:r>
      <w:r>
        <w:t xml:space="preserve">will provide meeting space for the reviewer while on site. </w:t>
      </w:r>
    </w:p>
    <w:p w14:paraId="5214CB71" w14:textId="41245162" w:rsidR="00470547" w:rsidRPr="0054065E" w:rsidRDefault="00470547" w:rsidP="00DC6A52">
      <w:pPr>
        <w:pStyle w:val="Heading3"/>
      </w:pPr>
      <w:r w:rsidRPr="0054065E">
        <w:t xml:space="preserve">Schedule for first round of </w:t>
      </w:r>
      <w:r w:rsidR="005667AC">
        <w:t xml:space="preserve">performance </w:t>
      </w:r>
      <w:r w:rsidRPr="0054065E">
        <w:t>reviews</w:t>
      </w:r>
    </w:p>
    <w:p w14:paraId="02CD8EA3" w14:textId="01A005A0" w:rsidR="00470547" w:rsidRPr="0043250B" w:rsidRDefault="00470547" w:rsidP="00D92F48">
      <w:r>
        <w:t>T</w:t>
      </w:r>
      <w:r w:rsidRPr="0043250B">
        <w:t xml:space="preserve">he proposed schedule for the first round of reviews will be determined by the Ministry, in consultation with the </w:t>
      </w:r>
      <w:r w:rsidR="00741AC2">
        <w:t>responsible authorities</w:t>
      </w:r>
      <w:r w:rsidRPr="0043250B">
        <w:t>. The schedule may subsequently be altered by the Ministry where necessary (</w:t>
      </w:r>
      <w:r w:rsidR="005667AC">
        <w:t xml:space="preserve">eg, </w:t>
      </w:r>
      <w:r w:rsidRPr="0043250B">
        <w:t xml:space="preserve">to accommodate </w:t>
      </w:r>
      <w:r w:rsidR="005667AC">
        <w:t xml:space="preserve">a </w:t>
      </w:r>
      <w:r w:rsidRPr="0043250B">
        <w:t>reviewer</w:t>
      </w:r>
      <w:r w:rsidR="005667AC">
        <w:t>’s</w:t>
      </w:r>
      <w:r w:rsidRPr="0043250B">
        <w:t xml:space="preserve"> availability or unforeseen disruptions) and following further consultation with the affected </w:t>
      </w:r>
      <w:r w:rsidR="005667AC">
        <w:t>responsible authorities</w:t>
      </w:r>
      <w:r w:rsidRPr="00821F70">
        <w:t xml:space="preserve">. A minimum of </w:t>
      </w:r>
      <w:r w:rsidR="005667AC">
        <w:t>12 months’</w:t>
      </w:r>
      <w:r w:rsidRPr="00821F70">
        <w:t xml:space="preserve"> prior notice of a review will be provided whenever practicable.</w:t>
      </w:r>
    </w:p>
    <w:p w14:paraId="22E5BBDD" w14:textId="77777777" w:rsidR="00470547" w:rsidRPr="00EA03F8" w:rsidRDefault="00470547" w:rsidP="00DC6A52">
      <w:pPr>
        <w:pStyle w:val="Heading3"/>
      </w:pPr>
      <w:r w:rsidRPr="00EA03F8">
        <w:t>Reporting</w:t>
      </w:r>
    </w:p>
    <w:p w14:paraId="6264CD0D" w14:textId="7241AF3E" w:rsidR="00470547" w:rsidRPr="00CD616B" w:rsidRDefault="00470547" w:rsidP="00D92F48">
      <w:r>
        <w:t xml:space="preserve">The reviewer </w:t>
      </w:r>
      <w:r w:rsidRPr="00CD616B">
        <w:t xml:space="preserve">must, as soon as practicable after conducting a </w:t>
      </w:r>
      <w:r w:rsidR="005667AC">
        <w:t xml:space="preserve">performance </w:t>
      </w:r>
      <w:r w:rsidRPr="00CD616B">
        <w:t>review</w:t>
      </w:r>
      <w:r>
        <w:t xml:space="preserve">, </w:t>
      </w:r>
      <w:r w:rsidR="005667AC">
        <w:t>write a</w:t>
      </w:r>
      <w:r>
        <w:t xml:space="preserve"> report on the</w:t>
      </w:r>
      <w:r w:rsidR="005667AC">
        <w:t>ir</w:t>
      </w:r>
      <w:r>
        <w:t xml:space="preserve"> conclusions and any recommendations. A draft report will be provided to the </w:t>
      </w:r>
      <w:r w:rsidR="005667AC">
        <w:t>responsible authority</w:t>
      </w:r>
      <w:r>
        <w:t xml:space="preserve"> for comment on any factual errors, prior to completion. The completed report will then be submitted to the Minister (via Health Workforce) and the </w:t>
      </w:r>
      <w:r w:rsidR="005667AC">
        <w:t>responsible authority</w:t>
      </w:r>
      <w:r>
        <w:t>. The report will clearly state, in relation to each standard, whether that standard has been met, partially met, or not met.</w:t>
      </w:r>
    </w:p>
    <w:p w14:paraId="501B4C4E" w14:textId="3DAD2E47" w:rsidR="00470547" w:rsidRPr="00CD616B" w:rsidRDefault="00470547" w:rsidP="00D92F48">
      <w:r>
        <w:t>The report should also highlight any a</w:t>
      </w:r>
      <w:r w:rsidRPr="00CD616B">
        <w:t>reas of learning</w:t>
      </w:r>
      <w:r>
        <w:t xml:space="preserve"> that may benefit all</w:t>
      </w:r>
      <w:r w:rsidRPr="00CD616B">
        <w:t xml:space="preserve"> </w:t>
      </w:r>
      <w:r w:rsidR="00741AC2">
        <w:t>responsible authorities</w:t>
      </w:r>
      <w:r>
        <w:t xml:space="preserve"> and may make recommendations to other agencies.</w:t>
      </w:r>
    </w:p>
    <w:p w14:paraId="424B2B58" w14:textId="77777777" w:rsidR="00470547" w:rsidRPr="00EA03F8" w:rsidRDefault="00470547" w:rsidP="00DC6A52">
      <w:pPr>
        <w:pStyle w:val="Heading3"/>
      </w:pPr>
      <w:r w:rsidRPr="00EA03F8">
        <w:t>Costs</w:t>
      </w:r>
    </w:p>
    <w:p w14:paraId="58CAB518" w14:textId="05BB071A" w:rsidR="00470547" w:rsidRDefault="00470547" w:rsidP="00D92F48">
      <w:r w:rsidRPr="00745D83">
        <w:rPr>
          <w:rFonts w:eastAsia="Arial"/>
        </w:rPr>
        <w:t xml:space="preserve">The costs of </w:t>
      </w:r>
      <w:r>
        <w:rPr>
          <w:rFonts w:eastAsia="Arial"/>
        </w:rPr>
        <w:t>review</w:t>
      </w:r>
      <w:r w:rsidRPr="00745D83">
        <w:rPr>
          <w:rFonts w:eastAsia="Arial"/>
        </w:rPr>
        <w:t xml:space="preserve"> shall be </w:t>
      </w:r>
      <w:r w:rsidR="00DE3976">
        <w:rPr>
          <w:rFonts w:eastAsia="Arial"/>
        </w:rPr>
        <w:t>met</w:t>
      </w:r>
      <w:r w:rsidR="00DE3976" w:rsidRPr="00745D83">
        <w:rPr>
          <w:rFonts w:eastAsia="Arial"/>
        </w:rPr>
        <w:t xml:space="preserve"> </w:t>
      </w:r>
      <w:r w:rsidRPr="00745D83">
        <w:rPr>
          <w:rFonts w:eastAsia="Arial"/>
        </w:rPr>
        <w:t xml:space="preserve">by the </w:t>
      </w:r>
      <w:r w:rsidR="00DE3976">
        <w:t>responsible authority</w:t>
      </w:r>
      <w:r>
        <w:rPr>
          <w:rFonts w:eastAsia="Arial"/>
        </w:rPr>
        <w:t xml:space="preserve"> being reviewed</w:t>
      </w:r>
      <w:r w:rsidRPr="00745D83">
        <w:rPr>
          <w:rFonts w:eastAsia="Arial"/>
        </w:rPr>
        <w:t>.</w:t>
      </w:r>
    </w:p>
    <w:p w14:paraId="286C7E51" w14:textId="049B8718" w:rsidR="00F91370" w:rsidRDefault="00F91370" w:rsidP="00D92F48">
      <w:pPr>
        <w:sectPr w:rsidR="00F91370" w:rsidSect="00D92F48">
          <w:headerReference w:type="even" r:id="rId24"/>
          <w:headerReference w:type="default" r:id="rId25"/>
          <w:footerReference w:type="even" r:id="rId26"/>
          <w:footerReference w:type="default" r:id="rId27"/>
          <w:headerReference w:type="first" r:id="rId28"/>
          <w:pgSz w:w="11907" w:h="16834" w:code="9"/>
          <w:pgMar w:top="1418" w:right="1701" w:bottom="1134" w:left="1843" w:header="284" w:footer="283" w:gutter="284"/>
          <w:pgNumType w:start="1"/>
          <w:cols w:space="720"/>
          <w:docGrid w:linePitch="286"/>
        </w:sectPr>
      </w:pPr>
    </w:p>
    <w:p w14:paraId="023E198C" w14:textId="01AFFF04" w:rsidR="009006CE" w:rsidRDefault="009006CE" w:rsidP="00D92F48">
      <w:pPr>
        <w:pStyle w:val="Heading1"/>
      </w:pPr>
      <w:bookmarkStart w:id="19" w:name="_Toc38276643"/>
      <w:r w:rsidRPr="00D30B87">
        <w:lastRenderedPageBreak/>
        <w:t>Appendix 1</w:t>
      </w:r>
      <w:r w:rsidR="000E5A2F">
        <w:t>:</w:t>
      </w:r>
      <w:r w:rsidR="000E5A2F" w:rsidRPr="000E5A2F">
        <w:t xml:space="preserve"> </w:t>
      </w:r>
      <w:r w:rsidR="00F91370">
        <w:t xml:space="preserve">Performance </w:t>
      </w:r>
      <w:r w:rsidR="00E750B8">
        <w:t>r</w:t>
      </w:r>
      <w:r w:rsidR="00F91370">
        <w:t xml:space="preserve">eview </w:t>
      </w:r>
      <w:r w:rsidR="00E750B8">
        <w:t>s</w:t>
      </w:r>
      <w:r w:rsidR="000E5A2F" w:rsidRPr="00D30B87">
        <w:t>tandards</w:t>
      </w:r>
      <w:bookmarkEnd w:id="19"/>
    </w:p>
    <w:tbl>
      <w:tblPr>
        <w:tblW w:w="14884" w:type="dxa"/>
        <w:tblInd w:w="-14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42" w:type="dxa"/>
          <w:bottom w:w="57" w:type="dxa"/>
          <w:right w:w="142" w:type="dxa"/>
        </w:tblCellMar>
        <w:tblLook w:val="04A0" w:firstRow="1" w:lastRow="0" w:firstColumn="1" w:lastColumn="0" w:noHBand="0" w:noVBand="1"/>
      </w:tblPr>
      <w:tblGrid>
        <w:gridCol w:w="618"/>
        <w:gridCol w:w="5760"/>
        <w:gridCol w:w="8506"/>
      </w:tblGrid>
      <w:tr w:rsidR="00DC6A52" w:rsidRPr="0025363E" w14:paraId="30BCD5E0" w14:textId="77777777" w:rsidTr="00DC6A52">
        <w:trPr>
          <w:trHeight w:val="330"/>
          <w:tblHeader/>
        </w:trPr>
        <w:tc>
          <w:tcPr>
            <w:tcW w:w="618" w:type="dxa"/>
            <w:tcBorders>
              <w:top w:val="nil"/>
              <w:bottom w:val="nil"/>
              <w:right w:val="nil"/>
            </w:tcBorders>
            <w:shd w:val="clear" w:color="auto" w:fill="D9D9D9" w:themeFill="background1" w:themeFillShade="D9"/>
            <w:noWrap/>
          </w:tcPr>
          <w:p w14:paraId="487C39C5" w14:textId="77777777" w:rsidR="00DC6A52" w:rsidRPr="00DC6A52" w:rsidRDefault="00DC6A52" w:rsidP="00DC6A52">
            <w:pPr>
              <w:rPr>
                <w:b/>
              </w:rPr>
            </w:pPr>
            <w:bookmarkStart w:id="20" w:name="_Hlk34891780"/>
          </w:p>
        </w:tc>
        <w:tc>
          <w:tcPr>
            <w:tcW w:w="5760" w:type="dxa"/>
            <w:tcBorders>
              <w:top w:val="nil"/>
              <w:left w:val="nil"/>
              <w:bottom w:val="nil"/>
              <w:right w:val="nil"/>
            </w:tcBorders>
            <w:shd w:val="clear" w:color="auto" w:fill="D9D9D9" w:themeFill="background1" w:themeFillShade="D9"/>
            <w:vAlign w:val="center"/>
          </w:tcPr>
          <w:p w14:paraId="60C114DA" w14:textId="7A6AB00B" w:rsidR="00DC6A52" w:rsidRPr="00DC6A52" w:rsidRDefault="00DC6A52" w:rsidP="00DC6A52">
            <w:pPr>
              <w:rPr>
                <w:b/>
              </w:rPr>
            </w:pPr>
            <w:r w:rsidRPr="00DC6A52">
              <w:rPr>
                <w:b/>
              </w:rPr>
              <w:t>Functions under section 118 of the HPCA Act</w:t>
            </w:r>
          </w:p>
        </w:tc>
        <w:tc>
          <w:tcPr>
            <w:tcW w:w="8506" w:type="dxa"/>
            <w:tcBorders>
              <w:top w:val="nil"/>
              <w:left w:val="nil"/>
              <w:bottom w:val="nil"/>
            </w:tcBorders>
            <w:shd w:val="clear" w:color="auto" w:fill="D9D9D9" w:themeFill="background1" w:themeFillShade="D9"/>
            <w:vAlign w:val="center"/>
          </w:tcPr>
          <w:p w14:paraId="6A49EAAD" w14:textId="69F09632" w:rsidR="00DC6A52" w:rsidRPr="00DC6A52" w:rsidRDefault="00DC6A52" w:rsidP="00DC6A52">
            <w:pPr>
              <w:rPr>
                <w:b/>
              </w:rPr>
            </w:pPr>
            <w:r w:rsidRPr="00DC6A52">
              <w:rPr>
                <w:b/>
              </w:rPr>
              <w:t>Related standards</w:t>
            </w:r>
          </w:p>
        </w:tc>
      </w:tr>
      <w:tr w:rsidR="007C1565" w:rsidRPr="0025363E" w14:paraId="42979887" w14:textId="77777777" w:rsidTr="00DC6A52">
        <w:trPr>
          <w:trHeight w:val="1812"/>
        </w:trPr>
        <w:tc>
          <w:tcPr>
            <w:tcW w:w="618" w:type="dxa"/>
            <w:tcBorders>
              <w:top w:val="nil"/>
              <w:bottom w:val="single" w:sz="4" w:space="0" w:color="BFBFBF" w:themeColor="background1" w:themeShade="BF"/>
              <w:right w:val="single" w:sz="4" w:space="0" w:color="BFBFBF" w:themeColor="background1" w:themeShade="BF"/>
            </w:tcBorders>
            <w:shd w:val="clear" w:color="auto" w:fill="auto"/>
            <w:noWrap/>
            <w:hideMark/>
          </w:tcPr>
          <w:p w14:paraId="3D34A23B" w14:textId="77777777" w:rsidR="007C1565" w:rsidRPr="00880F0D" w:rsidRDefault="007C1565" w:rsidP="00D92F48">
            <w:r w:rsidRPr="00880F0D">
              <w:t>a</w:t>
            </w:r>
          </w:p>
        </w:tc>
        <w:tc>
          <w:tcPr>
            <w:tcW w:w="57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740964A" w14:textId="739C6FF4" w:rsidR="007C1565" w:rsidRPr="0025363E" w:rsidRDefault="000E45EA" w:rsidP="00F472F5">
            <w:pPr>
              <w:spacing w:before="60" w:after="60"/>
            </w:pPr>
            <w:r>
              <w:t>T</w:t>
            </w:r>
            <w:r w:rsidR="007C1565" w:rsidRPr="0025363E">
              <w:t>o prescribe the qualifications required for scopes of practice within the profession, and, for that purpose, to accredit and monitor educational institutions and degrees, courses of studies, or programmes</w:t>
            </w:r>
            <w:r>
              <w:t>.</w:t>
            </w:r>
          </w:p>
        </w:tc>
        <w:tc>
          <w:tcPr>
            <w:tcW w:w="8506" w:type="dxa"/>
            <w:tcBorders>
              <w:top w:val="nil"/>
              <w:left w:val="single" w:sz="4" w:space="0" w:color="BFBFBF" w:themeColor="background1" w:themeShade="BF"/>
              <w:bottom w:val="single" w:sz="4" w:space="0" w:color="BFBFBF" w:themeColor="background1" w:themeShade="BF"/>
            </w:tcBorders>
          </w:tcPr>
          <w:p w14:paraId="73D25B16" w14:textId="77777777" w:rsidR="007C1565" w:rsidRPr="001056A8" w:rsidRDefault="007C1565" w:rsidP="00F472F5">
            <w:pPr>
              <w:spacing w:before="60" w:after="60"/>
            </w:pPr>
            <w:r w:rsidRPr="001056A8">
              <w:t xml:space="preserve">The </w:t>
            </w:r>
            <w:r>
              <w:t>responsible authority</w:t>
            </w:r>
            <w:r w:rsidRPr="001056A8">
              <w:t xml:space="preserve">: </w:t>
            </w:r>
          </w:p>
          <w:p w14:paraId="67FD62C3" w14:textId="77777777" w:rsidR="007C1565" w:rsidRPr="001056A8" w:rsidRDefault="007C1565" w:rsidP="00F472F5">
            <w:pPr>
              <w:pStyle w:val="ListParagraph"/>
              <w:numPr>
                <w:ilvl w:val="0"/>
                <w:numId w:val="8"/>
              </w:numPr>
              <w:spacing w:before="60" w:after="60"/>
            </w:pPr>
            <w:r w:rsidRPr="001056A8">
              <w:t xml:space="preserve">has defined clear and coherent competencies for each scope of practice </w:t>
            </w:r>
          </w:p>
          <w:p w14:paraId="7EC2B1C5" w14:textId="77777777" w:rsidR="007C1565" w:rsidRPr="001056A8" w:rsidRDefault="007C1565" w:rsidP="00F472F5">
            <w:pPr>
              <w:pStyle w:val="ListParagraph"/>
              <w:numPr>
                <w:ilvl w:val="0"/>
                <w:numId w:val="8"/>
              </w:numPr>
              <w:spacing w:before="60" w:after="60"/>
            </w:pPr>
            <w:r w:rsidRPr="001056A8">
              <w:t>has prescribed qualifications aligned to those competencies for each scope of practice</w:t>
            </w:r>
          </w:p>
          <w:p w14:paraId="0E2AD818" w14:textId="77777777" w:rsidR="007C1565" w:rsidRPr="001056A8" w:rsidRDefault="007C1565" w:rsidP="00F472F5">
            <w:pPr>
              <w:pStyle w:val="ListParagraph"/>
              <w:numPr>
                <w:ilvl w:val="0"/>
                <w:numId w:val="8"/>
              </w:numPr>
              <w:spacing w:before="60" w:after="60"/>
            </w:pPr>
            <w:r w:rsidRPr="001056A8">
              <w:t xml:space="preserve">has </w:t>
            </w:r>
            <w:r>
              <w:t xml:space="preserve">timely, </w:t>
            </w:r>
            <w:r w:rsidRPr="001056A8">
              <w:t>proportionate</w:t>
            </w:r>
            <w:r>
              <w:t>,</w:t>
            </w:r>
            <w:r w:rsidRPr="001056A8">
              <w:t xml:space="preserve"> and transparent accreditation and monitoring mechanisms to assure itself that the education providers and programmes it accredits deliver </w:t>
            </w:r>
            <w:r>
              <w:t>graduates who are competent to practise the relevant profession</w:t>
            </w:r>
          </w:p>
          <w:p w14:paraId="1CB0B835" w14:textId="77777777" w:rsidR="007C1565" w:rsidRPr="001056A8" w:rsidRDefault="007C1565" w:rsidP="00F472F5">
            <w:pPr>
              <w:pStyle w:val="ListParagraph"/>
              <w:numPr>
                <w:ilvl w:val="0"/>
                <w:numId w:val="8"/>
              </w:numPr>
              <w:spacing w:before="60" w:after="60"/>
            </w:pPr>
            <w:r w:rsidRPr="001056A8">
              <w:t>takes appropriate actions where concerns are identified.</w:t>
            </w:r>
          </w:p>
        </w:tc>
      </w:tr>
      <w:tr w:rsidR="007C1565" w:rsidRPr="0025363E" w14:paraId="77D5BC43" w14:textId="77777777" w:rsidTr="00DC6A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4CC353A0" w14:textId="77777777" w:rsidR="007C1565" w:rsidRPr="00880F0D" w:rsidRDefault="007C1565" w:rsidP="00D92F48">
            <w:r w:rsidRPr="00880F0D">
              <w:t>b</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6C0021" w14:textId="537FD18F" w:rsidR="007C1565" w:rsidRPr="0025363E" w:rsidRDefault="000E45EA" w:rsidP="00F472F5">
            <w:pPr>
              <w:spacing w:before="60" w:after="60"/>
            </w:pPr>
            <w:r>
              <w:t>T</w:t>
            </w:r>
            <w:r w:rsidR="007C1565" w:rsidRPr="0025363E">
              <w:t>o authorise the registration of health practitioners under this Act, and to maintain registers</w:t>
            </w:r>
            <w:r>
              <w:t>.</w:t>
            </w:r>
          </w:p>
        </w:tc>
        <w:tc>
          <w:tcPr>
            <w:tcW w:w="85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4DFE7A" w14:textId="77777777" w:rsidR="007C1565" w:rsidRDefault="007C1565" w:rsidP="00F472F5">
            <w:pPr>
              <w:spacing w:before="60" w:after="60"/>
            </w:pPr>
            <w:r w:rsidRPr="0025363E">
              <w:t xml:space="preserve">The </w:t>
            </w:r>
            <w:r>
              <w:t>responsible authority</w:t>
            </w:r>
            <w:r w:rsidRPr="0025363E">
              <w:t xml:space="preserve"> maintains and publishes an accessible, accurate register of registrants </w:t>
            </w:r>
            <w:r w:rsidRPr="007C4BA0">
              <w:t>(including, where permitted, any conditions on their practice).</w:t>
            </w:r>
          </w:p>
          <w:p w14:paraId="09287E57" w14:textId="77777777" w:rsidR="007C1565" w:rsidRPr="0025363E" w:rsidRDefault="007C1565" w:rsidP="00F472F5">
            <w:pPr>
              <w:spacing w:before="60" w:after="60"/>
            </w:pPr>
            <w:r w:rsidRPr="0025363E">
              <w:t xml:space="preserve">The </w:t>
            </w:r>
            <w:r>
              <w:t>responsible authority</w:t>
            </w:r>
            <w:r w:rsidRPr="0025363E">
              <w:t xml:space="preserve"> has clear</w:t>
            </w:r>
            <w:r>
              <w:t>,</w:t>
            </w:r>
            <w:r w:rsidRPr="0025363E">
              <w:t xml:space="preserve"> transparent</w:t>
            </w:r>
            <w:r>
              <w:t>, and</w:t>
            </w:r>
            <w:r w:rsidRPr="0025363E">
              <w:t xml:space="preserve"> </w:t>
            </w:r>
            <w:r>
              <w:t>timely</w:t>
            </w:r>
            <w:r w:rsidRPr="0025363E">
              <w:t xml:space="preserve"> mechanisms to consider applications and to:</w:t>
            </w:r>
          </w:p>
          <w:p w14:paraId="71839849" w14:textId="77777777" w:rsidR="007C1565" w:rsidRPr="0025363E" w:rsidRDefault="007C1565" w:rsidP="00F472F5">
            <w:pPr>
              <w:pStyle w:val="ListParagraph"/>
              <w:numPr>
                <w:ilvl w:val="0"/>
                <w:numId w:val="9"/>
              </w:numPr>
              <w:spacing w:before="60" w:after="60"/>
            </w:pPr>
            <w:r w:rsidRPr="0025363E">
              <w:t>register applicants who meet all statutory requirements for registration</w:t>
            </w:r>
          </w:p>
          <w:p w14:paraId="607609B3" w14:textId="77777777" w:rsidR="007C1565" w:rsidRPr="0025363E" w:rsidRDefault="007C1565" w:rsidP="00F472F5">
            <w:pPr>
              <w:pStyle w:val="ListParagraph"/>
              <w:numPr>
                <w:ilvl w:val="0"/>
                <w:numId w:val="9"/>
              </w:numPr>
              <w:spacing w:before="60" w:after="60"/>
            </w:pPr>
            <w:r w:rsidRPr="0025363E">
              <w:t>issue practising certificates to APC applicants in a timely manner</w:t>
            </w:r>
          </w:p>
          <w:p w14:paraId="2B5F087F" w14:textId="77777777" w:rsidR="007C1565" w:rsidRPr="006C2B66" w:rsidRDefault="007C1565" w:rsidP="00F472F5">
            <w:pPr>
              <w:pStyle w:val="ListParagraph"/>
              <w:numPr>
                <w:ilvl w:val="0"/>
                <w:numId w:val="9"/>
              </w:numPr>
              <w:spacing w:before="60" w:after="60"/>
            </w:pPr>
            <w:r w:rsidRPr="007C4BA0">
              <w:t>manage any requests for reviews</w:t>
            </w:r>
            <w:r>
              <w:t xml:space="preserve"> of decisions made under delegation.</w:t>
            </w:r>
          </w:p>
        </w:tc>
      </w:tr>
      <w:tr w:rsidR="007C1565" w:rsidRPr="0025363E" w14:paraId="57AE3F2A" w14:textId="77777777" w:rsidTr="00DC6A52">
        <w:trPr>
          <w:trHeight w:val="802"/>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DA44528" w14:textId="77777777" w:rsidR="007C1565" w:rsidRPr="00880F0D" w:rsidRDefault="007C1565" w:rsidP="00D92F48">
            <w:r w:rsidRPr="00880F0D">
              <w:t>c</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FE0240" w14:textId="699746C5" w:rsidR="007C1565" w:rsidRPr="0025363E" w:rsidRDefault="0071409B" w:rsidP="00F472F5">
            <w:pPr>
              <w:spacing w:before="60" w:after="60"/>
            </w:pPr>
            <w:r>
              <w:t>T</w:t>
            </w:r>
            <w:r w:rsidR="007C1565" w:rsidRPr="0025363E">
              <w:t>o consider applications for annual practising certificates</w:t>
            </w:r>
            <w:r>
              <w:t>.</w:t>
            </w: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A90840" w14:textId="77777777" w:rsidR="007C1565" w:rsidRPr="0025363E" w:rsidRDefault="007C1565" w:rsidP="00F472F5">
            <w:pPr>
              <w:spacing w:before="60" w:after="60"/>
            </w:pPr>
          </w:p>
        </w:tc>
      </w:tr>
      <w:tr w:rsidR="007C1565" w:rsidRPr="0025363E" w14:paraId="1E8F3F90" w14:textId="77777777" w:rsidTr="00DC6A52">
        <w:trPr>
          <w:trHeight w:val="572"/>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2BA1CC4" w14:textId="77777777" w:rsidR="007C1565" w:rsidRPr="00880F0D" w:rsidRDefault="007C1565" w:rsidP="00D92F48">
            <w:r w:rsidRPr="00880F0D">
              <w:t>d</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A6A622" w14:textId="163F673D" w:rsidR="007C1565" w:rsidRPr="0025363E" w:rsidRDefault="0071409B" w:rsidP="00F472F5">
            <w:pPr>
              <w:spacing w:before="60" w:after="60"/>
            </w:pPr>
            <w:r>
              <w:t>T</w:t>
            </w:r>
            <w:r w:rsidR="007C1565" w:rsidRPr="0025363E">
              <w:t>o review and promote the competence of health practitioners</w:t>
            </w:r>
            <w:r>
              <w:t>.</w:t>
            </w:r>
          </w:p>
        </w:tc>
        <w:tc>
          <w:tcPr>
            <w:tcW w:w="85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407252" w14:textId="498EC6EE" w:rsidR="007C1565" w:rsidRPr="0025363E" w:rsidRDefault="007C1565" w:rsidP="00F472F5">
            <w:pPr>
              <w:spacing w:before="60" w:after="60"/>
            </w:pPr>
            <w:r w:rsidRPr="0025363E">
              <w:t xml:space="preserve">The </w:t>
            </w:r>
            <w:r>
              <w:t>responsible authority</w:t>
            </w:r>
            <w:r w:rsidRPr="0025363E">
              <w:t xml:space="preserve"> has proportionate, appropriate, </w:t>
            </w:r>
            <w:r>
              <w:t xml:space="preserve">transparent, and </w:t>
            </w:r>
            <w:r w:rsidRPr="0025363E">
              <w:t>standards</w:t>
            </w:r>
            <w:r>
              <w:t>-</w:t>
            </w:r>
            <w:r w:rsidRPr="0025363E">
              <w:t>based</w:t>
            </w:r>
            <w:r w:rsidR="002235D4">
              <w:t xml:space="preserve"> </w:t>
            </w:r>
            <w:r w:rsidRPr="0025363E">
              <w:t>mechanisms to:</w:t>
            </w:r>
          </w:p>
          <w:p w14:paraId="3E6E72F4" w14:textId="77777777" w:rsidR="007C1565" w:rsidRPr="0025363E" w:rsidRDefault="007C1565" w:rsidP="00F472F5">
            <w:pPr>
              <w:pStyle w:val="ListParagraph"/>
              <w:numPr>
                <w:ilvl w:val="0"/>
                <w:numId w:val="9"/>
              </w:numPr>
              <w:spacing w:before="60" w:after="60"/>
            </w:pPr>
            <w:r>
              <w:t>assure</w:t>
            </w:r>
            <w:r w:rsidRPr="0025363E">
              <w:t xml:space="preserve"> itself that applicants seeking registration or the issuing of a practising certificate meet, </w:t>
            </w:r>
            <w:r w:rsidRPr="007C4BA0">
              <w:t>and</w:t>
            </w:r>
            <w:r w:rsidRPr="0025363E">
              <w:t xml:space="preserve"> are actively maintaining</w:t>
            </w:r>
            <w:r>
              <w:t>,</w:t>
            </w:r>
            <w:r w:rsidRPr="0025363E">
              <w:t xml:space="preserve"> the required standard</w:t>
            </w:r>
          </w:p>
          <w:p w14:paraId="2E3CD934" w14:textId="77777777" w:rsidR="007C1565" w:rsidRPr="0025363E" w:rsidRDefault="007C1565" w:rsidP="00F472F5">
            <w:pPr>
              <w:pStyle w:val="ListParagraph"/>
              <w:numPr>
                <w:ilvl w:val="0"/>
                <w:numId w:val="9"/>
              </w:numPr>
              <w:spacing w:before="60" w:after="60"/>
            </w:pPr>
            <w:r w:rsidRPr="0025363E">
              <w:t>review a health practitioner’s competence and practice against the required standard of competence</w:t>
            </w:r>
          </w:p>
          <w:p w14:paraId="6F655C35" w14:textId="77777777" w:rsidR="007C1565" w:rsidRPr="0025363E" w:rsidRDefault="007C1565" w:rsidP="00F472F5">
            <w:pPr>
              <w:pStyle w:val="ListParagraph"/>
              <w:numPr>
                <w:ilvl w:val="0"/>
                <w:numId w:val="9"/>
              </w:numPr>
              <w:spacing w:before="60" w:after="60"/>
            </w:pPr>
            <w:r w:rsidRPr="0025363E">
              <w:lastRenderedPageBreak/>
              <w:t>improve and remediate the competence of practitioners found to be below the required standard.</w:t>
            </w:r>
          </w:p>
        </w:tc>
      </w:tr>
      <w:tr w:rsidR="007C1565" w:rsidRPr="0025363E" w14:paraId="4E6FC1BB" w14:textId="77777777" w:rsidTr="00DC6A52">
        <w:trPr>
          <w:trHeight w:val="693"/>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88636C6" w14:textId="77777777" w:rsidR="007C1565" w:rsidRPr="00880F0D" w:rsidRDefault="007C1565" w:rsidP="00D92F48">
            <w:r w:rsidRPr="00880F0D">
              <w:t>e</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F0445D" w14:textId="19684449" w:rsidR="007C1565" w:rsidRPr="0025363E" w:rsidRDefault="00590C11" w:rsidP="00F472F5">
            <w:pPr>
              <w:spacing w:before="60" w:after="60"/>
            </w:pPr>
            <w:r>
              <w:t>T</w:t>
            </w:r>
            <w:r w:rsidR="007C1565" w:rsidRPr="0025363E">
              <w:t>o recognise, accredit, and set programmes to ensure the ongoing competence of health practitioners</w:t>
            </w:r>
            <w:r>
              <w:t>.</w:t>
            </w: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7B7621" w14:textId="77777777" w:rsidR="007C1565" w:rsidRPr="0025363E" w:rsidRDefault="007C1565" w:rsidP="00F472F5">
            <w:pPr>
              <w:pStyle w:val="ListParagraph"/>
              <w:numPr>
                <w:ilvl w:val="0"/>
                <w:numId w:val="9"/>
              </w:numPr>
              <w:spacing w:before="60" w:after="60"/>
            </w:pPr>
          </w:p>
        </w:tc>
      </w:tr>
      <w:tr w:rsidR="007C1565" w:rsidRPr="0025363E" w14:paraId="5DBE9F7C" w14:textId="77777777" w:rsidTr="00DC6A52">
        <w:trPr>
          <w:trHeight w:val="478"/>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067F26F" w14:textId="77777777" w:rsidR="007C1565" w:rsidRPr="00880F0D" w:rsidRDefault="007C1565" w:rsidP="00D92F48">
            <w:r w:rsidRPr="00880F0D">
              <w:t>k</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C5B73" w14:textId="5010760A" w:rsidR="007C1565" w:rsidRPr="0025363E" w:rsidRDefault="00590C11" w:rsidP="00F472F5">
            <w:pPr>
              <w:spacing w:before="60" w:after="60"/>
            </w:pPr>
            <w:r>
              <w:t>T</w:t>
            </w:r>
            <w:r w:rsidR="007C1565" w:rsidRPr="0025363E">
              <w:t>o promote education and training in the profession</w:t>
            </w:r>
            <w:r>
              <w:t>.</w:t>
            </w: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DD1D6D" w14:textId="77777777" w:rsidR="007C1565" w:rsidRPr="0025363E" w:rsidRDefault="007C1565" w:rsidP="00F472F5">
            <w:pPr>
              <w:pStyle w:val="ListParagraph"/>
              <w:numPr>
                <w:ilvl w:val="0"/>
                <w:numId w:val="9"/>
              </w:numPr>
              <w:spacing w:before="60" w:after="60"/>
            </w:pPr>
          </w:p>
        </w:tc>
      </w:tr>
      <w:tr w:rsidR="007C1565" w:rsidRPr="0025363E" w14:paraId="6DA479BA" w14:textId="77777777" w:rsidTr="00DC6A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4F93D6C" w14:textId="77777777" w:rsidR="007C1565" w:rsidRPr="00880F0D" w:rsidRDefault="007C1565" w:rsidP="00D92F48">
            <w:r w:rsidRPr="00880F0D">
              <w:t>f</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0A0245" w14:textId="222DC53F" w:rsidR="007C1565" w:rsidRPr="0025363E" w:rsidRDefault="00590C11" w:rsidP="00F472F5">
            <w:pPr>
              <w:spacing w:before="60" w:after="60"/>
            </w:pPr>
            <w:r>
              <w:t>T</w:t>
            </w:r>
            <w:r w:rsidR="007C1565" w:rsidRPr="0025363E">
              <w:t>o receive information from any person about the practice, conduct, or competence of health practitioners and, if it is appropriate to do so, act on that information</w:t>
            </w:r>
            <w:r>
              <w:t>.</w:t>
            </w:r>
          </w:p>
        </w:tc>
        <w:tc>
          <w:tcPr>
            <w:tcW w:w="850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05CC43" w14:textId="77777777" w:rsidR="007C1565" w:rsidRPr="0025363E" w:rsidRDefault="007C1565" w:rsidP="00F472F5">
            <w:pPr>
              <w:spacing w:before="60" w:after="60"/>
            </w:pPr>
            <w:r w:rsidRPr="0025363E">
              <w:t xml:space="preserve">The </w:t>
            </w:r>
            <w:r>
              <w:t>responsible authority</w:t>
            </w:r>
            <w:r w:rsidRPr="0025363E">
              <w:t xml:space="preserve"> has appropriate,</w:t>
            </w:r>
            <w:r>
              <w:t xml:space="preserve"> timely,</w:t>
            </w:r>
            <w:r w:rsidRPr="0025363E">
              <w:t xml:space="preserve"> transparent, fair</w:t>
            </w:r>
            <w:r>
              <w:t>,</w:t>
            </w:r>
            <w:r w:rsidRPr="0025363E">
              <w:t xml:space="preserve"> and proportionate mechanisms for:</w:t>
            </w:r>
          </w:p>
          <w:p w14:paraId="5579ECD9" w14:textId="77777777" w:rsidR="007C1565" w:rsidRPr="0025363E" w:rsidRDefault="007C1565" w:rsidP="00F472F5">
            <w:pPr>
              <w:pStyle w:val="ListParagraph"/>
              <w:numPr>
                <w:ilvl w:val="0"/>
                <w:numId w:val="9"/>
              </w:numPr>
              <w:spacing w:before="60" w:after="60"/>
            </w:pPr>
            <w:r w:rsidRPr="0025363E">
              <w:t>providing clear, easily accessible public information about how to raise concerns or make a notification about a health practitioner</w:t>
            </w:r>
          </w:p>
          <w:p w14:paraId="418017C0" w14:textId="77777777" w:rsidR="007C1565" w:rsidRPr="0025363E" w:rsidRDefault="007C1565" w:rsidP="00F472F5">
            <w:pPr>
              <w:pStyle w:val="ListParagraph"/>
              <w:numPr>
                <w:ilvl w:val="0"/>
                <w:numId w:val="9"/>
              </w:numPr>
              <w:spacing w:before="60" w:after="60"/>
            </w:pPr>
            <w:r w:rsidRPr="0025363E">
              <w:t>identifying and responding in a timely way to any complaint or notification about a health practitioner</w:t>
            </w:r>
          </w:p>
          <w:p w14:paraId="6A1BEF33" w14:textId="77777777" w:rsidR="007C1565" w:rsidRPr="0025363E" w:rsidRDefault="007C1565" w:rsidP="00F472F5">
            <w:pPr>
              <w:pStyle w:val="ListParagraph"/>
              <w:numPr>
                <w:ilvl w:val="0"/>
                <w:numId w:val="9"/>
              </w:numPr>
              <w:spacing w:before="60" w:after="60"/>
            </w:pPr>
            <w:r w:rsidRPr="0025363E">
              <w:t>considering information related to a health practitioner’s conduct or the safety of the practitioner’s practice</w:t>
            </w:r>
          </w:p>
          <w:p w14:paraId="4CB4582F" w14:textId="77777777" w:rsidR="007C1565" w:rsidRPr="0025363E" w:rsidRDefault="007C1565" w:rsidP="00F472F5">
            <w:pPr>
              <w:pStyle w:val="ListParagraph"/>
              <w:numPr>
                <w:ilvl w:val="0"/>
                <w:numId w:val="9"/>
              </w:numPr>
              <w:spacing w:before="60" w:after="60"/>
            </w:pPr>
            <w:r w:rsidRPr="0025363E">
              <w:t xml:space="preserve">ensuring all parties to a complaint are supported to fully inform </w:t>
            </w:r>
            <w:r w:rsidRPr="00505236">
              <w:t>the Authority’s</w:t>
            </w:r>
            <w:r w:rsidRPr="0025363E">
              <w:t xml:space="preserve"> consideration </w:t>
            </w:r>
            <w:r>
              <w:t xml:space="preserve">process </w:t>
            </w:r>
            <w:r w:rsidRPr="0025363E">
              <w:t xml:space="preserve">and are able to participate effectively in </w:t>
            </w:r>
            <w:r>
              <w:t>that process</w:t>
            </w:r>
          </w:p>
          <w:p w14:paraId="3DA7E90D" w14:textId="77777777" w:rsidR="007C1565" w:rsidRPr="001056A8" w:rsidRDefault="007C1565" w:rsidP="00F472F5">
            <w:pPr>
              <w:pStyle w:val="ListParagraph"/>
              <w:numPr>
                <w:ilvl w:val="0"/>
                <w:numId w:val="9"/>
              </w:numPr>
              <w:spacing w:before="60" w:after="60"/>
            </w:pPr>
            <w:r w:rsidRPr="0025363E">
              <w:t>enabling action</w:t>
            </w:r>
            <w:r>
              <w:t>,</w:t>
            </w:r>
            <w:r w:rsidRPr="0025363E">
              <w:t xml:space="preserve"> </w:t>
            </w:r>
            <w:r>
              <w:t>such as</w:t>
            </w:r>
            <w:r w:rsidRPr="0025363E">
              <w:t xml:space="preserve"> informing appropriate parties (including those specified in section 118 (g)) that a practitioner may pose a risk of harm to the public.</w:t>
            </w:r>
          </w:p>
        </w:tc>
      </w:tr>
      <w:tr w:rsidR="007C1565" w:rsidRPr="0025363E" w14:paraId="2B6DC784" w14:textId="77777777" w:rsidTr="00DC6A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9DEC4E3" w14:textId="77777777" w:rsidR="007C1565" w:rsidRPr="00880F0D" w:rsidRDefault="007C1565" w:rsidP="00D92F48">
            <w:r w:rsidRPr="00880F0D">
              <w:t>g</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4CF963" w14:textId="739D7D8F" w:rsidR="007C1565" w:rsidRPr="0025363E" w:rsidRDefault="000C71F4" w:rsidP="00F472F5">
            <w:pPr>
              <w:spacing w:before="60" w:after="60"/>
            </w:pPr>
            <w:r>
              <w:t>T</w:t>
            </w:r>
            <w:r w:rsidR="007C1565" w:rsidRPr="0025363E">
              <w:t>o notify employers, the Accident Compensation Corporation, the Director-General of Health, and the Health and Disability Commissioner that the practice of a health practitioner may pose a risk of harm to the public</w:t>
            </w:r>
            <w:r>
              <w:t>.</w:t>
            </w:r>
          </w:p>
          <w:p w14:paraId="08081260" w14:textId="77777777" w:rsidR="007C1565" w:rsidRPr="0025363E" w:rsidRDefault="007C1565" w:rsidP="00F472F5">
            <w:pPr>
              <w:spacing w:before="60" w:after="60"/>
            </w:pPr>
          </w:p>
        </w:tc>
        <w:tc>
          <w:tcPr>
            <w:tcW w:w="8506"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B5A453" w14:textId="77777777" w:rsidR="007C1565" w:rsidRPr="0025363E" w:rsidRDefault="007C1565" w:rsidP="00F472F5">
            <w:pPr>
              <w:spacing w:before="60" w:after="60"/>
            </w:pPr>
          </w:p>
        </w:tc>
      </w:tr>
      <w:tr w:rsidR="007C1565" w:rsidRPr="0025363E" w14:paraId="08162051" w14:textId="77777777" w:rsidTr="00DC6A52">
        <w:trPr>
          <w:trHeight w:val="559"/>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D8BD1BF" w14:textId="77777777" w:rsidR="007C1565" w:rsidRPr="00880F0D" w:rsidRDefault="007C1565" w:rsidP="00D92F48">
            <w:r w:rsidRPr="00880F0D">
              <w:t>h</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AD04BC" w14:textId="607CF4A3" w:rsidR="007C1565" w:rsidRPr="0025363E" w:rsidRDefault="000C71F4" w:rsidP="00F472F5">
            <w:pPr>
              <w:spacing w:before="60" w:after="60"/>
            </w:pPr>
            <w:r>
              <w:t>T</w:t>
            </w:r>
            <w:r w:rsidR="007C1565" w:rsidRPr="0025363E">
              <w:t>o consider the cases of health practitioners who may be unable to perform the functions required for the practice of the profession</w:t>
            </w:r>
            <w:r>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9B5A5F" w14:textId="77777777" w:rsidR="007C1565" w:rsidRPr="0025363E" w:rsidRDefault="007C1565" w:rsidP="00F472F5">
            <w:pPr>
              <w:spacing w:before="60" w:after="60"/>
            </w:pPr>
            <w:r w:rsidRPr="0025363E">
              <w:t xml:space="preserve">The </w:t>
            </w:r>
            <w:r>
              <w:t>responsible authority</w:t>
            </w:r>
            <w:r w:rsidRPr="0025363E">
              <w:t xml:space="preserve"> has clear and transparent mechanisms to: </w:t>
            </w:r>
          </w:p>
          <w:p w14:paraId="49E69938" w14:textId="77777777" w:rsidR="007C1565" w:rsidRPr="0025363E" w:rsidRDefault="007C1565" w:rsidP="00F472F5">
            <w:pPr>
              <w:pStyle w:val="ListParagraph"/>
              <w:numPr>
                <w:ilvl w:val="0"/>
                <w:numId w:val="10"/>
              </w:numPr>
              <w:spacing w:before="60" w:after="60"/>
            </w:pPr>
            <w:r w:rsidRPr="0025363E">
              <w:rPr>
                <w:color w:val="000000"/>
              </w:rPr>
              <w:t>receive, review</w:t>
            </w:r>
            <w:r>
              <w:rPr>
                <w:color w:val="000000"/>
              </w:rPr>
              <w:t>,</w:t>
            </w:r>
            <w:r w:rsidRPr="0025363E">
              <w:rPr>
                <w:color w:val="000000"/>
              </w:rPr>
              <w:t xml:space="preserve"> </w:t>
            </w:r>
            <w:r w:rsidRPr="007C4BA0">
              <w:rPr>
                <w:color w:val="000000"/>
              </w:rPr>
              <w:t xml:space="preserve">and make decisions regarding </w:t>
            </w:r>
            <w:r w:rsidRPr="007C4BA0">
              <w:t>notifications about health practitioners who may be unable to perform the functions required for the practice of the profession</w:t>
            </w:r>
          </w:p>
          <w:p w14:paraId="2E90E7B7" w14:textId="77777777" w:rsidR="007C1565" w:rsidRPr="001056A8" w:rsidRDefault="007C1565" w:rsidP="00F472F5">
            <w:pPr>
              <w:pStyle w:val="ListParagraph"/>
              <w:numPr>
                <w:ilvl w:val="0"/>
                <w:numId w:val="10"/>
              </w:numPr>
              <w:spacing w:before="60" w:after="60"/>
            </w:pPr>
            <w:r w:rsidRPr="0025363E">
              <w:t>take appropriate, timely</w:t>
            </w:r>
            <w:r>
              <w:t>,</w:t>
            </w:r>
            <w:r w:rsidRPr="0025363E">
              <w:t xml:space="preserve"> and proportionate action </w:t>
            </w:r>
            <w:r w:rsidRPr="007C4BA0">
              <w:t>to minimise risk.</w:t>
            </w:r>
          </w:p>
        </w:tc>
      </w:tr>
      <w:tr w:rsidR="007C1565" w:rsidRPr="0025363E" w14:paraId="605CC9CC" w14:textId="77777777" w:rsidTr="00DC6A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3E265D1" w14:textId="77777777" w:rsidR="007C1565" w:rsidRPr="00880F0D" w:rsidRDefault="007C1565" w:rsidP="00D92F48">
            <w:r w:rsidRPr="00880F0D">
              <w:t>i</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0F242C" w14:textId="1068B27B" w:rsidR="007C1565" w:rsidRPr="0025363E" w:rsidRDefault="00117C8E" w:rsidP="00F472F5">
            <w:pPr>
              <w:spacing w:before="60" w:after="60"/>
            </w:pPr>
            <w:r>
              <w:t>T</w:t>
            </w:r>
            <w:r w:rsidR="007C1565" w:rsidRPr="0025363E">
              <w:t>o set standards of clinical competence, cultural competence (including competencies that will enable effective and respectful interaction with Māori), and ethical conduct to be observed by health practitioners of the profession</w:t>
            </w:r>
            <w:r w:rsidR="00783EAF">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EB97E1" w14:textId="77777777" w:rsidR="007C1565" w:rsidRPr="0025363E" w:rsidRDefault="007C1565" w:rsidP="00F472F5">
            <w:pPr>
              <w:spacing w:before="60" w:after="60"/>
            </w:pPr>
            <w:r w:rsidRPr="0025363E">
              <w:t xml:space="preserve">The </w:t>
            </w:r>
            <w:r>
              <w:t>responsible authority</w:t>
            </w:r>
            <w:r w:rsidRPr="0025363E">
              <w:t xml:space="preserve"> sets standards of clinical and cultural competence and ethical conduct that are:</w:t>
            </w:r>
          </w:p>
          <w:p w14:paraId="4B2E8228" w14:textId="77777777" w:rsidR="007C1565" w:rsidRPr="00BA210C" w:rsidRDefault="007C1565" w:rsidP="00F472F5">
            <w:pPr>
              <w:pStyle w:val="ListParagraph"/>
              <w:numPr>
                <w:ilvl w:val="0"/>
                <w:numId w:val="11"/>
              </w:numPr>
              <w:spacing w:before="60" w:after="60"/>
            </w:pPr>
            <w:r w:rsidRPr="00BA210C">
              <w:t xml:space="preserve">informed by relevant evidence </w:t>
            </w:r>
          </w:p>
          <w:p w14:paraId="52441631" w14:textId="77777777" w:rsidR="007C1565" w:rsidRPr="00BA210C" w:rsidRDefault="007C1565" w:rsidP="00F472F5">
            <w:pPr>
              <w:pStyle w:val="ListParagraph"/>
              <w:numPr>
                <w:ilvl w:val="0"/>
                <w:numId w:val="11"/>
              </w:numPr>
              <w:spacing w:before="60" w:after="60"/>
            </w:pPr>
            <w:r w:rsidRPr="00BA210C">
              <w:t>clearly articulated and readily accessible</w:t>
            </w:r>
          </w:p>
          <w:p w14:paraId="19143197" w14:textId="77777777" w:rsidR="007C1565" w:rsidRPr="00BA210C" w:rsidRDefault="007C1565" w:rsidP="00F472F5">
            <w:pPr>
              <w:pStyle w:val="ListParagraph"/>
              <w:numPr>
                <w:ilvl w:val="0"/>
                <w:numId w:val="11"/>
              </w:numPr>
              <w:spacing w:before="60" w:after="60"/>
            </w:pPr>
            <w:r w:rsidRPr="00BA210C">
              <w:t>developed in consultation with the profession and other stakeholders</w:t>
            </w:r>
          </w:p>
          <w:p w14:paraId="36BF34E3" w14:textId="77777777" w:rsidR="007C1565" w:rsidRPr="001056A8" w:rsidRDefault="007C1565" w:rsidP="00F472F5">
            <w:pPr>
              <w:pStyle w:val="ListParagraph"/>
              <w:numPr>
                <w:ilvl w:val="0"/>
                <w:numId w:val="11"/>
              </w:numPr>
              <w:spacing w:before="60" w:after="60"/>
              <w:rPr>
                <w:iCs/>
              </w:rPr>
            </w:pPr>
            <w:r w:rsidRPr="00BA210C">
              <w:t>inclusive of one or more competencies that enable practitioners to interact effectively and respectfully with Māori</w:t>
            </w:r>
            <w:r>
              <w:rPr>
                <w:iCs/>
              </w:rPr>
              <w:t>.</w:t>
            </w:r>
          </w:p>
        </w:tc>
      </w:tr>
      <w:tr w:rsidR="007C1565" w:rsidRPr="0025363E" w14:paraId="75D07346" w14:textId="77777777" w:rsidTr="00DC6A52">
        <w:trPr>
          <w:trHeight w:val="629"/>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62B66F13" w14:textId="77777777" w:rsidR="007C1565" w:rsidRPr="00880F0D" w:rsidRDefault="007C1565" w:rsidP="00D92F48">
            <w:r w:rsidRPr="00880F0D">
              <w:lastRenderedPageBreak/>
              <w:t>j</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00F30" w14:textId="77777777" w:rsidR="007C1565" w:rsidRPr="0025363E" w:rsidRDefault="00033831" w:rsidP="00F472F5">
            <w:pPr>
              <w:spacing w:before="60" w:after="60"/>
            </w:pPr>
            <w:r>
              <w:t>T</w:t>
            </w:r>
            <w:r w:rsidR="007C1565" w:rsidRPr="0025363E">
              <w:t>o liaise with other authorities appointed under this Act about matters of common interest.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E34B66" w14:textId="77777777" w:rsidR="007C1565" w:rsidRPr="0025363E" w:rsidRDefault="007C1565" w:rsidP="00F472F5">
            <w:pPr>
              <w:spacing w:before="60" w:after="60"/>
              <w:rPr>
                <w:b/>
                <w:bCs/>
              </w:rPr>
            </w:pPr>
            <w:r w:rsidRPr="0025363E">
              <w:t xml:space="preserve">The </w:t>
            </w:r>
            <w:r>
              <w:t>responsible authority</w:t>
            </w:r>
            <w:r w:rsidRPr="0025363E">
              <w:t xml:space="preserve"> </w:t>
            </w:r>
            <w:r>
              <w:t>understands the environment in which it works and has effective and collaborative relationships with</w:t>
            </w:r>
            <w:r w:rsidRPr="0025363E">
              <w:t xml:space="preserve"> other authorities</w:t>
            </w:r>
            <w:r w:rsidRPr="007C4BA0">
              <w:t>.</w:t>
            </w:r>
          </w:p>
        </w:tc>
      </w:tr>
      <w:tr w:rsidR="007C1565" w:rsidRPr="0025363E" w14:paraId="2C475F0B" w14:textId="77777777" w:rsidTr="00DC6A52">
        <w:trPr>
          <w:trHeight w:val="565"/>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8E341DC" w14:textId="77777777" w:rsidR="007C1565" w:rsidRPr="00880F0D" w:rsidRDefault="007C1565" w:rsidP="00D92F48">
            <w:r w:rsidRPr="00880F0D">
              <w:t>ja</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627176" w14:textId="6E620D59" w:rsidR="007C1565" w:rsidRPr="0025363E" w:rsidRDefault="007C1565" w:rsidP="00F472F5">
            <w:pPr>
              <w:spacing w:before="60" w:after="60"/>
            </w:pPr>
            <w:r w:rsidRPr="0025363E">
              <w:t>To promote and facilitate inter-disciplinary collaboration and cooperation in the delivery of health services</w:t>
            </w:r>
            <w:r w:rsidR="00D37C83">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A77BDB" w14:textId="77777777" w:rsidR="007C1565" w:rsidRPr="00DA5AEF" w:rsidRDefault="007C1565" w:rsidP="00F472F5">
            <w:pPr>
              <w:spacing w:before="60" w:after="60"/>
              <w:rPr>
                <w:b/>
                <w:bCs/>
              </w:rPr>
            </w:pPr>
            <w:r w:rsidRPr="00DA5AEF">
              <w:t xml:space="preserve">The </w:t>
            </w:r>
            <w:r>
              <w:t>responsible authority</w:t>
            </w:r>
            <w:r w:rsidRPr="00DA5AEF">
              <w:t xml:space="preserve"> uses mechanisms within the Act such as competence standards, accreditation standards, </w:t>
            </w:r>
            <w:r>
              <w:t xml:space="preserve">and </w:t>
            </w:r>
            <w:r w:rsidRPr="00DA5AEF">
              <w:t>communications to promote and facilitate inter-disciplinary collaboration and cooperation in the delivery of health services.</w:t>
            </w:r>
          </w:p>
        </w:tc>
      </w:tr>
      <w:tr w:rsidR="007C1565" w:rsidRPr="0025363E" w14:paraId="3E149369" w14:textId="77777777" w:rsidTr="00DC6A52">
        <w:trPr>
          <w:trHeight w:val="861"/>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491604B5" w14:textId="77777777" w:rsidR="007C1565" w:rsidRPr="00880F0D" w:rsidRDefault="007C1565" w:rsidP="00D92F48">
            <w:r w:rsidRPr="00880F0D">
              <w:t>l</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F1C2B" w14:textId="1A0F458D" w:rsidR="007C1565" w:rsidRPr="0025363E" w:rsidRDefault="008B5B79" w:rsidP="00F472F5">
            <w:pPr>
              <w:spacing w:before="60" w:after="60"/>
            </w:pPr>
            <w:r>
              <w:t>T</w:t>
            </w:r>
            <w:r w:rsidR="007C1565" w:rsidRPr="0025363E">
              <w:t>o promote public awareness of the responsibilities of the authority</w:t>
            </w:r>
            <w:r>
              <w: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A84F00" w14:textId="77777777" w:rsidR="007C1565" w:rsidRPr="0025363E" w:rsidRDefault="007C1565" w:rsidP="00F472F5">
            <w:pPr>
              <w:spacing w:before="60" w:after="60"/>
            </w:pPr>
            <w:r>
              <w:t>T</w:t>
            </w:r>
            <w:r w:rsidRPr="0025363E">
              <w:t xml:space="preserve">he </w:t>
            </w:r>
            <w:r>
              <w:t>responsible authority</w:t>
            </w:r>
            <w:r w:rsidRPr="0025363E">
              <w:t>:</w:t>
            </w:r>
          </w:p>
          <w:p w14:paraId="21EB8161" w14:textId="77777777" w:rsidR="007C1565" w:rsidRPr="00505236" w:rsidRDefault="007C1565" w:rsidP="00F472F5">
            <w:pPr>
              <w:pStyle w:val="ListParagraph"/>
              <w:numPr>
                <w:ilvl w:val="0"/>
                <w:numId w:val="11"/>
              </w:numPr>
              <w:spacing w:before="60" w:after="60"/>
            </w:pPr>
            <w:r w:rsidRPr="00505236">
              <w:t>demonstrates its understanding that the principal purpose of the Act is to protect the health and safety of members of the public</w:t>
            </w:r>
            <w:r>
              <w:t xml:space="preserve"> </w:t>
            </w:r>
            <w:r w:rsidRPr="003828F2">
              <w:t>by providing for mechanisms to ensure that health practitioners are competent and fit to practise their professions</w:t>
            </w:r>
          </w:p>
          <w:p w14:paraId="62CF1990" w14:textId="77777777" w:rsidR="007C1565" w:rsidRPr="0025363E" w:rsidRDefault="007C1565" w:rsidP="00F472F5">
            <w:pPr>
              <w:pStyle w:val="ListParagraph"/>
              <w:numPr>
                <w:ilvl w:val="0"/>
                <w:numId w:val="11"/>
              </w:numPr>
              <w:spacing w:before="60" w:after="60"/>
            </w:pPr>
            <w:r>
              <w:t>p</w:t>
            </w:r>
            <w:r w:rsidRPr="0025363E">
              <w:t>rovides clear, accurate, and publicly accessible information about its purpose</w:t>
            </w:r>
            <w:r>
              <w:t>,</w:t>
            </w:r>
            <w:r w:rsidRPr="0025363E">
              <w:t xml:space="preserve"> functions, and core regulatory processes.</w:t>
            </w:r>
          </w:p>
        </w:tc>
      </w:tr>
      <w:tr w:rsidR="007C1565" w:rsidRPr="0025363E" w14:paraId="4041B9C1" w14:textId="77777777" w:rsidTr="00DC6A52">
        <w:trPr>
          <w:trHeight w:val="1012"/>
        </w:trPr>
        <w:tc>
          <w:tcPr>
            <w:tcW w:w="6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66804C7" w14:textId="77777777" w:rsidR="007C1565" w:rsidRPr="00880F0D" w:rsidRDefault="007C1565" w:rsidP="00D92F48">
            <w:r w:rsidRPr="00880F0D">
              <w:t>m</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8C13C5" w14:textId="56EBE420" w:rsidR="007C1565" w:rsidRPr="0025363E" w:rsidRDefault="00446327" w:rsidP="00F472F5">
            <w:pPr>
              <w:spacing w:before="60" w:after="60"/>
            </w:pPr>
            <w:r>
              <w:t>T</w:t>
            </w:r>
            <w:r w:rsidR="007C1565" w:rsidRPr="0025363E">
              <w:t>o exercise and perform any other functions, powers, and duties that are conferred or imposed on it by or under this Act or any other enactment.</w:t>
            </w:r>
          </w:p>
        </w:tc>
        <w:tc>
          <w:tcPr>
            <w:tcW w:w="850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DF3F5D" w14:textId="77777777" w:rsidR="007C1565" w:rsidRPr="0025363E" w:rsidRDefault="007C1565" w:rsidP="00F472F5">
            <w:pPr>
              <w:spacing w:before="60" w:after="60"/>
            </w:pPr>
            <w:r w:rsidRPr="0025363E">
              <w:t xml:space="preserve">The </w:t>
            </w:r>
            <w:r>
              <w:t>responsible authority</w:t>
            </w:r>
            <w:r w:rsidRPr="0025363E">
              <w:t>:</w:t>
            </w:r>
          </w:p>
          <w:p w14:paraId="4E8EA19C" w14:textId="77777777" w:rsidR="007C1565" w:rsidRDefault="007C1565" w:rsidP="00F472F5">
            <w:pPr>
              <w:pStyle w:val="ListParagraph"/>
              <w:numPr>
                <w:ilvl w:val="0"/>
                <w:numId w:val="12"/>
              </w:numPr>
              <w:spacing w:before="60" w:after="60"/>
            </w:pPr>
            <w:r w:rsidRPr="00505236">
              <w:t>ensures that the principles</w:t>
            </w:r>
            <w:r>
              <w:t xml:space="preserve"> (as expressed under the New Zealand Public Health and Disability Act 2000)</w:t>
            </w:r>
            <w:r w:rsidRPr="00505236">
              <w:t xml:space="preserve"> of the Treaty of Waitangi are followed in the implementation of all its functions</w:t>
            </w:r>
          </w:p>
          <w:p w14:paraId="50DABACF" w14:textId="11675DB7" w:rsidR="007C1565" w:rsidRPr="00820C9C" w:rsidRDefault="007C1565" w:rsidP="00F472F5">
            <w:pPr>
              <w:pStyle w:val="ListParagraph"/>
              <w:numPr>
                <w:ilvl w:val="0"/>
                <w:numId w:val="12"/>
              </w:numPr>
              <w:spacing w:before="60" w:after="60"/>
              <w:rPr>
                <w:color w:val="000000"/>
              </w:rPr>
            </w:pPr>
            <w:r w:rsidRPr="00505236">
              <w:t xml:space="preserve">ensures that the </w:t>
            </w:r>
            <w:r>
              <w:t>principles</w:t>
            </w:r>
            <w:r w:rsidRPr="00505236">
              <w:t xml:space="preserve"> of Right Touch regulation</w:t>
            </w:r>
            <w:r>
              <w:rPr>
                <w:rStyle w:val="FootnoteReference"/>
                <w:rFonts w:ascii="Arial" w:hAnsi="Arial" w:cs="Arial"/>
                <w:sz w:val="20"/>
              </w:rPr>
              <w:footnoteReference w:id="5"/>
            </w:r>
            <w:r w:rsidRPr="00505236">
              <w:t xml:space="preserve"> are followed in the implementation of all its functions</w:t>
            </w:r>
          </w:p>
          <w:p w14:paraId="723D6892" w14:textId="77777777" w:rsidR="007C1565" w:rsidRPr="00505236" w:rsidRDefault="007C1565" w:rsidP="00F472F5">
            <w:pPr>
              <w:pStyle w:val="ListParagraph"/>
              <w:numPr>
                <w:ilvl w:val="0"/>
                <w:numId w:val="12"/>
              </w:numPr>
              <w:spacing w:before="60" w:after="60"/>
            </w:pPr>
            <w:r w:rsidRPr="00505236">
              <w:t>identifies and addresses emerging areas of risk and prioritises any areas of public safety concern</w:t>
            </w:r>
          </w:p>
          <w:p w14:paraId="38E18CEB" w14:textId="77777777" w:rsidR="007C1565" w:rsidRPr="00505236" w:rsidRDefault="007C1565" w:rsidP="00F472F5">
            <w:pPr>
              <w:pStyle w:val="ListParagraph"/>
              <w:numPr>
                <w:ilvl w:val="0"/>
                <w:numId w:val="12"/>
              </w:numPr>
              <w:spacing w:before="60" w:after="60"/>
            </w:pPr>
            <w:r w:rsidRPr="00505236">
              <w:t>consults and works with all relevant stakeholders across all its functions to identify and manage risk to the public in respect of its practitioners</w:t>
            </w:r>
          </w:p>
          <w:p w14:paraId="3FE7F228" w14:textId="286AED0E" w:rsidR="007C1565" w:rsidRPr="003828F2" w:rsidRDefault="007C1565" w:rsidP="00F472F5">
            <w:pPr>
              <w:pStyle w:val="ListParagraph"/>
              <w:numPr>
                <w:ilvl w:val="0"/>
                <w:numId w:val="12"/>
              </w:numPr>
              <w:spacing w:before="60" w:after="60"/>
            </w:pPr>
            <w:r w:rsidRPr="00505236">
              <w:t>consistently</w:t>
            </w:r>
            <w:r>
              <w:t xml:space="preserve"> fulfils all other duties that are imposed on it under the HPCA Act</w:t>
            </w:r>
            <w:r w:rsidR="00E1485A">
              <w:t xml:space="preserve"> or any other enactment</w:t>
            </w:r>
            <w:r>
              <w:t>.</w:t>
            </w:r>
          </w:p>
        </w:tc>
      </w:tr>
      <w:bookmarkEnd w:id="20"/>
    </w:tbl>
    <w:p w14:paraId="1B2FCBDD" w14:textId="77777777" w:rsidR="007C1565" w:rsidRPr="007C1565" w:rsidRDefault="007C1565" w:rsidP="00D92F48"/>
    <w:sectPr w:rsidR="007C1565" w:rsidRPr="007C1565" w:rsidSect="00DC6A52">
      <w:footerReference w:type="default" r:id="rId29"/>
      <w:pgSz w:w="16834" w:h="11907" w:orient="landscape" w:code="9"/>
      <w:pgMar w:top="1418" w:right="1418" w:bottom="1134" w:left="1134" w:header="284" w:footer="425" w:gutter="284"/>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B1BE" w16cex:dateUtc="2020-04-02T23:59:00Z"/>
  <w16cex:commentExtensible w16cex:durableId="2231AC9C" w16cex:dateUtc="2020-04-02T23:37:00Z"/>
  <w16cex:commentExtensible w16cex:durableId="2231AA41" w16cex:dateUtc="2020-04-02T23:27:00Z"/>
  <w16cex:commentExtensible w16cex:durableId="2231AE13" w16cex:dateUtc="2020-04-02T23:44:00Z"/>
  <w16cex:commentExtensible w16cex:durableId="2231AF64" w16cex:dateUtc="2020-04-02T23:49:00Z"/>
  <w16cex:commentExtensible w16cex:durableId="2231B125" w16cex:dateUtc="2020-04-02T23:57:00Z"/>
  <w16cex:commentExtensible w16cex:durableId="2231B7A6" w16cex:dateUtc="2020-04-03T00:24:00Z"/>
  <w16cex:commentExtensible w16cex:durableId="2231C29F" w16cex:dateUtc="2020-04-03T01:11:00Z"/>
  <w16cex:commentExtensible w16cex:durableId="2231B993" w16cex:dateUtc="2020-04-03T00:33:00Z"/>
  <w16cex:commentExtensible w16cex:durableId="2231BA88" w16cex:dateUtc="2020-04-03T00:37:00Z"/>
  <w16cex:commentExtensible w16cex:durableId="2231BB45" w16cex:dateUtc="2020-04-03T00:40:00Z"/>
  <w16cex:commentExtensible w16cex:durableId="2231BDEE" w16cex:dateUtc="2020-04-03T00:51:00Z"/>
  <w16cex:commentExtensible w16cex:durableId="2231C034" w16cex:dateUtc="2020-04-03T01:01:00Z"/>
  <w16cex:commentExtensible w16cex:durableId="2231C146" w16cex:dateUtc="2020-04-03T01:05:00Z"/>
  <w16cex:commentExtensible w16cex:durableId="2231C323" w16cex:dateUtc="2020-04-03T01:13:00Z"/>
  <w16cex:commentExtensible w16cex:durableId="2231C470" w16cex:dateUtc="2020-04-03T01:19:00Z"/>
  <w16cex:commentExtensible w16cex:durableId="2231C5A9" w16cex:dateUtc="2020-04-03T01:24:00Z"/>
  <w16cex:commentExtensible w16cex:durableId="2231C606" w16cex:dateUtc="2020-04-03T01:26:00Z"/>
  <w16cex:commentExtensible w16cex:durableId="2231C68F" w16cex:dateUtc="2020-04-03T01:28:00Z"/>
  <w16cex:commentExtensible w16cex:durableId="2231C6BD" w16cex:dateUtc="2020-04-03T01:29:00Z"/>
  <w16cex:commentExtensible w16cex:durableId="2231C6E5" w16cex:dateUtc="2020-04-03T01:29:00Z"/>
  <w16cex:commentExtensible w16cex:durableId="2231C85F" w16cex:dateUtc="2020-04-03T01:36:00Z"/>
  <w16cex:commentExtensible w16cex:durableId="2231C882" w16cex:dateUtc="2020-04-03T01:36:00Z"/>
  <w16cex:commentExtensible w16cex:durableId="2231D027" w16cex:dateUtc="2020-04-03T02:09:00Z"/>
  <w16cex:commentExtensible w16cex:durableId="2231D1D3" w16cex:dateUtc="2020-04-03T02:16:00Z"/>
  <w16cex:commentExtensible w16cex:durableId="2231D28C" w16cex:dateUtc="2020-04-03T02:19:00Z"/>
  <w16cex:commentExtensible w16cex:durableId="2231D3E3" w16cex:dateUtc="2020-04-03T0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0ACD" w14:textId="77777777" w:rsidR="0054065E" w:rsidRDefault="0054065E" w:rsidP="00D92F48">
      <w:r>
        <w:separator/>
      </w:r>
    </w:p>
  </w:endnote>
  <w:endnote w:type="continuationSeparator" w:id="0">
    <w:p w14:paraId="0B5A3C74" w14:textId="77777777" w:rsidR="0054065E" w:rsidRDefault="0054065E" w:rsidP="00D9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35EA" w14:textId="5F8DA5A6" w:rsidR="0054065E" w:rsidRPr="00581136" w:rsidRDefault="0054065E" w:rsidP="00D92F48">
    <w:pPr>
      <w:pStyle w:val="Footer"/>
    </w:pPr>
    <w:r w:rsidRPr="00581136">
      <w:t>Released</w:t>
    </w:r>
    <w:r>
      <w:t xml:space="preserve"> </w:t>
    </w:r>
    <w:r w:rsidRPr="00581136">
      <w:t>20</w:t>
    </w:r>
    <w:r>
      <w:t>20</w:t>
    </w:r>
    <w:r w:rsidRPr="00581136">
      <w:tab/>
      <w:t>health.govt.nz</w:t>
    </w:r>
  </w:p>
  <w:p w14:paraId="15714A6C" w14:textId="77777777" w:rsidR="0054065E" w:rsidRPr="005A79E5" w:rsidRDefault="0054065E" w:rsidP="00D9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A8FA" w14:textId="77777777" w:rsidR="0054065E" w:rsidRDefault="0054065E" w:rsidP="00D92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A4D4" w14:textId="77777777" w:rsidR="0054065E" w:rsidRDefault="0054065E" w:rsidP="00D92F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54065E" w14:paraId="13C8158E" w14:textId="77777777" w:rsidTr="00B5208C">
      <w:trPr>
        <w:cantSplit/>
      </w:trPr>
      <w:tc>
        <w:tcPr>
          <w:tcW w:w="675" w:type="dxa"/>
          <w:vAlign w:val="center"/>
        </w:tcPr>
        <w:p w14:paraId="182BAB14" w14:textId="77777777" w:rsidR="0054065E" w:rsidRPr="00931466" w:rsidRDefault="0054065E" w:rsidP="00D92F4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9072" w:type="dxa"/>
          <w:vAlign w:val="center"/>
        </w:tcPr>
        <w:sdt>
          <w:sdtPr>
            <w:alias w:val="Title"/>
            <w:tag w:val=""/>
            <w:id w:val="-1832672901"/>
            <w:placeholder>
              <w:docPart w:val="D326E982DFB445D08736032B631F182D"/>
            </w:placeholder>
            <w:dataBinding w:prefixMappings="xmlns:ns0='http://purl.org/dc/elements/1.1/' xmlns:ns1='http://schemas.openxmlformats.org/package/2006/metadata/core-properties' " w:xpath="/ns1:coreProperties[1]/ns0:title[1]" w:storeItemID="{6C3C8BC8-F283-45AE-878A-BAB7291924A1}"/>
            <w:text/>
          </w:sdtPr>
          <w:sdtEndPr/>
          <w:sdtContent>
            <w:p w14:paraId="5E4EE585" w14:textId="68C758A9" w:rsidR="0054065E" w:rsidRDefault="00B57CA8" w:rsidP="00D92F48">
              <w:pPr>
                <w:pStyle w:val="RectoFooter"/>
              </w:pPr>
              <w:r>
                <w:t>Core Performance Standards for Responsible Authorities: Consultation document</w:t>
              </w:r>
            </w:p>
          </w:sdtContent>
        </w:sdt>
      </w:tc>
    </w:tr>
  </w:tbl>
  <w:p w14:paraId="7DEFB42F" w14:textId="77777777" w:rsidR="0054065E" w:rsidRPr="00571223" w:rsidRDefault="0054065E" w:rsidP="00D92F48">
    <w:pPr>
      <w:pStyle w:val="Verso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709"/>
    </w:tblGrid>
    <w:tr w:rsidR="00D92F48" w14:paraId="512BBC6F" w14:textId="77777777" w:rsidTr="00D92F48">
      <w:trPr>
        <w:cantSplit/>
      </w:trPr>
      <w:tc>
        <w:tcPr>
          <w:tcW w:w="8364" w:type="dxa"/>
          <w:vAlign w:val="center"/>
        </w:tcPr>
        <w:p w14:paraId="2CBCC9DF" w14:textId="77777777" w:rsidR="00D92F48" w:rsidRDefault="00D92F48" w:rsidP="00D92F48">
          <w:pPr>
            <w:pStyle w:val="RectoFooter"/>
            <w:ind w:right="290"/>
          </w:pPr>
          <w:r w:rsidRPr="00D92F48">
            <w:t>Core Performance Standards for Responsible Authorities</w:t>
          </w:r>
        </w:p>
      </w:tc>
      <w:tc>
        <w:tcPr>
          <w:tcW w:w="709" w:type="dxa"/>
          <w:vAlign w:val="center"/>
        </w:tcPr>
        <w:p w14:paraId="61994CFF" w14:textId="77777777" w:rsidR="00D92F48" w:rsidRPr="00931466" w:rsidRDefault="00D92F48" w:rsidP="00D92F4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C91C196" w14:textId="77777777" w:rsidR="0054065E" w:rsidRPr="00581EB8" w:rsidRDefault="0054065E" w:rsidP="00D92F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92F48" w14:paraId="59DAB792" w14:textId="77777777" w:rsidTr="00DC6A52">
      <w:trPr>
        <w:cantSplit/>
      </w:trPr>
      <w:tc>
        <w:tcPr>
          <w:tcW w:w="709" w:type="dxa"/>
          <w:vAlign w:val="center"/>
        </w:tcPr>
        <w:p w14:paraId="1DBC46B0" w14:textId="77777777" w:rsidR="00D92F48" w:rsidRPr="00931466" w:rsidRDefault="00D92F48" w:rsidP="00D92F4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5AF0903F" w14:textId="2A790BE8" w:rsidR="00D92F48" w:rsidRDefault="00D92F48" w:rsidP="00D92F48">
          <w:pPr>
            <w:pStyle w:val="RectoFooter"/>
            <w:jc w:val="left"/>
          </w:pPr>
          <w:r w:rsidRPr="00D92F48">
            <w:t>Core Performance Standards for Responsible Authorities</w:t>
          </w:r>
        </w:p>
      </w:tc>
    </w:tr>
  </w:tbl>
  <w:p w14:paraId="13BC3F73" w14:textId="77777777" w:rsidR="0054065E" w:rsidRPr="00571223" w:rsidRDefault="0054065E" w:rsidP="00D92F48">
    <w:pPr>
      <w:pStyle w:val="Verso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92F48" w14:paraId="1EE6CD62" w14:textId="77777777" w:rsidTr="00657579">
      <w:trPr>
        <w:cantSplit/>
      </w:trPr>
      <w:tc>
        <w:tcPr>
          <w:tcW w:w="8080" w:type="dxa"/>
          <w:vAlign w:val="center"/>
        </w:tcPr>
        <w:p w14:paraId="1005781D" w14:textId="02DB97A5" w:rsidR="00D92F48" w:rsidRDefault="00D92F48" w:rsidP="00D92F48">
          <w:pPr>
            <w:pStyle w:val="RectoFooter"/>
            <w:ind w:right="288"/>
          </w:pPr>
          <w:r w:rsidRPr="00D92F48">
            <w:t>Core Performance Standards for Responsible Authorities</w:t>
          </w:r>
        </w:p>
      </w:tc>
      <w:tc>
        <w:tcPr>
          <w:tcW w:w="709" w:type="dxa"/>
          <w:vAlign w:val="center"/>
        </w:tcPr>
        <w:p w14:paraId="3CDDAA9B" w14:textId="77777777" w:rsidR="00D92F48" w:rsidRPr="00931466" w:rsidRDefault="00D92F48" w:rsidP="00D92F4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623649A1" w14:textId="1B7C70F0" w:rsidR="0054065E" w:rsidRPr="00D92F48" w:rsidRDefault="0054065E" w:rsidP="00D92F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3887"/>
      <w:gridCol w:w="709"/>
    </w:tblGrid>
    <w:tr w:rsidR="00DC6A52" w14:paraId="4842A3DA" w14:textId="77777777" w:rsidTr="00DC6A52">
      <w:trPr>
        <w:cantSplit/>
      </w:trPr>
      <w:tc>
        <w:tcPr>
          <w:tcW w:w="13887" w:type="dxa"/>
          <w:vAlign w:val="center"/>
        </w:tcPr>
        <w:p w14:paraId="15E1B652" w14:textId="77777777" w:rsidR="00DC6A52" w:rsidRDefault="00DC6A52" w:rsidP="00DC6A52">
          <w:pPr>
            <w:pStyle w:val="RectoFooter"/>
            <w:ind w:right="293"/>
          </w:pPr>
          <w:r w:rsidRPr="00D92F48">
            <w:t>Core Performance Standards for Responsible Authorities</w:t>
          </w:r>
        </w:p>
      </w:tc>
      <w:tc>
        <w:tcPr>
          <w:tcW w:w="709" w:type="dxa"/>
          <w:vAlign w:val="center"/>
        </w:tcPr>
        <w:p w14:paraId="0F1C35A5" w14:textId="77777777" w:rsidR="00DC6A52" w:rsidRPr="00931466" w:rsidRDefault="00DC6A52" w:rsidP="00DC6A52">
          <w:pPr>
            <w:pStyle w:val="Footer"/>
            <w:ind w:left="280" w:firstLine="147"/>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3F94C2C7" w14:textId="77777777" w:rsidR="00DC6A52" w:rsidRPr="00D92F48" w:rsidRDefault="00DC6A52" w:rsidP="00D9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3C6D" w14:textId="77777777" w:rsidR="0054065E" w:rsidRDefault="0054065E" w:rsidP="00D92F48">
      <w:r>
        <w:separator/>
      </w:r>
    </w:p>
  </w:footnote>
  <w:footnote w:type="continuationSeparator" w:id="0">
    <w:p w14:paraId="46B2AE59" w14:textId="77777777" w:rsidR="0054065E" w:rsidRDefault="0054065E" w:rsidP="00D92F48">
      <w:r>
        <w:continuationSeparator/>
      </w:r>
    </w:p>
  </w:footnote>
  <w:footnote w:id="1">
    <w:p w14:paraId="08BC2867" w14:textId="6C289783" w:rsidR="0054065E" w:rsidRPr="00D92F48" w:rsidRDefault="0054065E" w:rsidP="00D92F48">
      <w:pPr>
        <w:pStyle w:val="FootnoteText"/>
        <w:rPr>
          <w:rStyle w:val="Hyperlink"/>
        </w:rPr>
      </w:pPr>
      <w:r w:rsidRPr="00655573">
        <w:rPr>
          <w:rStyle w:val="FootnoteReference"/>
        </w:rPr>
        <w:footnoteRef/>
      </w:r>
      <w:r w:rsidRPr="00655573">
        <w:t xml:space="preserve"> See  </w:t>
      </w:r>
      <w:r w:rsidRPr="00D92F48">
        <w:rPr>
          <w:rStyle w:val="Hyperlink"/>
        </w:rPr>
        <w:t xml:space="preserve">https://www.health.govt.nz/our-work/regulation-health-and-disability-system/health-practitioners-competence-assurance-act/review-health-practitioners-competence-assurance-act/case-change </w:t>
      </w:r>
    </w:p>
  </w:footnote>
  <w:footnote w:id="2">
    <w:p w14:paraId="05603AFE" w14:textId="34C9237C" w:rsidR="0054065E" w:rsidRDefault="0054065E" w:rsidP="00D92F48">
      <w:pPr>
        <w:pStyle w:val="FootnoteText"/>
      </w:pPr>
      <w:r>
        <w:rPr>
          <w:rStyle w:val="FootnoteReference"/>
          <w:rFonts w:eastAsia="MS Gothic"/>
        </w:rPr>
        <w:footnoteRef/>
      </w:r>
      <w:r>
        <w:t xml:space="preserve"> Professor Ron Paterson. 2012. </w:t>
      </w:r>
      <w:r w:rsidRPr="003F7CFE">
        <w:rPr>
          <w:i/>
        </w:rPr>
        <w:t>The Good Doctor: What Patients Want</w:t>
      </w:r>
      <w:r>
        <w:rPr>
          <w:i/>
        </w:rPr>
        <w:t xml:space="preserve">. </w:t>
      </w:r>
      <w:r>
        <w:rPr>
          <w:iCs/>
        </w:rPr>
        <w:t xml:space="preserve">Auckland: </w:t>
      </w:r>
      <w:r>
        <w:t xml:space="preserve">Auckland University Press. </w:t>
      </w:r>
    </w:p>
  </w:footnote>
  <w:footnote w:id="3">
    <w:p w14:paraId="0D9307F2" w14:textId="05E065E3" w:rsidR="0054065E" w:rsidRDefault="0054065E" w:rsidP="00D92F48">
      <w:pPr>
        <w:pStyle w:val="FootnoteText"/>
      </w:pPr>
      <w:r>
        <w:rPr>
          <w:rStyle w:val="FootnoteReference"/>
        </w:rPr>
        <w:footnoteRef/>
      </w:r>
      <w:r>
        <w:t xml:space="preserve"> Refer s 118 of the Health Practitioners Competence Assurance Act 2003 (as amended in 2019).</w:t>
      </w:r>
    </w:p>
  </w:footnote>
  <w:footnote w:id="4">
    <w:p w14:paraId="739249A9" w14:textId="77777777" w:rsidR="0054065E" w:rsidRPr="00D43E33" w:rsidRDefault="0054065E" w:rsidP="00D92F48">
      <w:pPr>
        <w:pStyle w:val="FootnoteText"/>
      </w:pPr>
      <w:r w:rsidRPr="00D43E33">
        <w:rPr>
          <w:rStyle w:val="FootnoteReference"/>
          <w:sz w:val="18"/>
          <w:szCs w:val="18"/>
        </w:rPr>
        <w:footnoteRef/>
      </w:r>
      <w:r w:rsidRPr="00D43E33">
        <w:t xml:space="preserve"> For details about Right Touch regulation see: </w:t>
      </w:r>
      <w:hyperlink r:id="rId1" w:history="1">
        <w:r w:rsidRPr="00D43E33">
          <w:rPr>
            <w:rStyle w:val="Hyperlink"/>
            <w:sz w:val="18"/>
            <w:szCs w:val="18"/>
          </w:rPr>
          <w:t>https://www.professionalstandards.org.uk/what-we-do/improving-regulation/right-touch-regulation</w:t>
        </w:r>
      </w:hyperlink>
    </w:p>
  </w:footnote>
  <w:footnote w:id="5">
    <w:p w14:paraId="347FF70F" w14:textId="77777777" w:rsidR="0054065E" w:rsidRDefault="0054065E" w:rsidP="00D92F48">
      <w:pPr>
        <w:pStyle w:val="FootnoteText"/>
      </w:pPr>
      <w:r>
        <w:rPr>
          <w:rStyle w:val="FootnoteReference"/>
        </w:rPr>
        <w:footnoteRef/>
      </w:r>
      <w:r>
        <w:t xml:space="preserve"> For details about Right Touch regulation see: </w:t>
      </w:r>
      <w:hyperlink r:id="rId2" w:history="1">
        <w:r w:rsidRPr="00EA7E56">
          <w:rPr>
            <w:rStyle w:val="Hyperlink"/>
          </w:rPr>
          <w:t>https://www.professionalstandards.org.uk/what-we-do/improving-regulation/right-touch-regulation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54065E" w14:paraId="4E090779" w14:textId="77777777" w:rsidTr="00B5208C">
      <w:trPr>
        <w:cantSplit/>
      </w:trPr>
      <w:tc>
        <w:tcPr>
          <w:tcW w:w="5210" w:type="dxa"/>
        </w:tcPr>
        <w:p w14:paraId="2D15C12D" w14:textId="77777777" w:rsidR="0054065E" w:rsidRDefault="0054065E" w:rsidP="00D92F48">
          <w:pPr>
            <w:pStyle w:val="Header"/>
          </w:pPr>
          <w:r>
            <w:rPr>
              <w:noProof/>
            </w:rPr>
            <w:drawing>
              <wp:inline distT="0" distB="0" distL="0" distR="0" wp14:anchorId="5E2F2DC2" wp14:editId="341D89CF">
                <wp:extent cx="1395076" cy="573578"/>
                <wp:effectExtent l="0" t="0" r="0" b="0"/>
                <wp:docPr id="11" name="Picture 1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6A0B33D" w14:textId="77777777" w:rsidR="0054065E" w:rsidRDefault="0054065E" w:rsidP="00D92F48">
          <w:pPr>
            <w:pStyle w:val="Header"/>
          </w:pPr>
          <w:r>
            <w:rPr>
              <w:noProof/>
            </w:rPr>
            <w:drawing>
              <wp:inline distT="0" distB="0" distL="0" distR="0" wp14:anchorId="10FA53EC" wp14:editId="5FFDC408">
                <wp:extent cx="1720735" cy="177135"/>
                <wp:effectExtent l="0" t="0" r="0" b="0"/>
                <wp:docPr id="12" name="Picture 1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B707E67" w14:textId="2BEC38FF" w:rsidR="0054065E" w:rsidRDefault="0054065E" w:rsidP="00D92F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A73D" w14:textId="2FF97B43" w:rsidR="0054065E" w:rsidRDefault="0054065E" w:rsidP="00D9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8C41" w14:textId="38779D8A" w:rsidR="0054065E" w:rsidRDefault="0054065E" w:rsidP="00D92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31B5" w14:textId="5FE38BF3" w:rsidR="0054065E" w:rsidRDefault="0054065E" w:rsidP="00D92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32BC" w14:textId="20535885" w:rsidR="0054065E" w:rsidRDefault="0054065E" w:rsidP="00D92F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7713" w14:textId="4BE27EB4" w:rsidR="0054065E" w:rsidRDefault="0054065E" w:rsidP="00D92F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D2A0" w14:textId="4B239AE1" w:rsidR="0054065E" w:rsidRDefault="0054065E" w:rsidP="00D92F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4354" w14:textId="377CDACB" w:rsidR="0054065E" w:rsidRDefault="0054065E" w:rsidP="00D92F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F9B9" w14:textId="10FA84CC" w:rsidR="0054065E" w:rsidRDefault="0054065E" w:rsidP="00D92F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1F7E" w14:textId="75C53636" w:rsidR="0054065E" w:rsidRDefault="0054065E" w:rsidP="00D92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BCA"/>
    <w:multiLevelType w:val="hybridMultilevel"/>
    <w:tmpl w:val="57165776"/>
    <w:lvl w:ilvl="0" w:tplc="F74239F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4F5FC9"/>
    <w:multiLevelType w:val="hybridMultilevel"/>
    <w:tmpl w:val="655A897E"/>
    <w:lvl w:ilvl="0" w:tplc="21F86D2A">
      <w:start w:val="1"/>
      <w:numFmt w:val="decimal"/>
      <w:lvlText w:val="(%1)"/>
      <w:lvlJc w:val="left"/>
      <w:pPr>
        <w:ind w:left="78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B502A"/>
    <w:multiLevelType w:val="hybridMultilevel"/>
    <w:tmpl w:val="5564681E"/>
    <w:lvl w:ilvl="0" w:tplc="F74239F2">
      <w:start w:val="1"/>
      <w:numFmt w:val="lowerLetter"/>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 w15:restartNumberingAfterBreak="0">
    <w:nsid w:val="27465F0D"/>
    <w:multiLevelType w:val="hybridMultilevel"/>
    <w:tmpl w:val="A0A2E438"/>
    <w:lvl w:ilvl="0" w:tplc="F74239F2">
      <w:start w:val="1"/>
      <w:numFmt w:val="lowerLetter"/>
      <w:lvlText w:val="(%1)"/>
      <w:lvlJc w:val="left"/>
      <w:pPr>
        <w:ind w:left="1287" w:hanging="360"/>
      </w:pPr>
      <w:rPr>
        <w:rFonts w:hint="default"/>
      </w:rPr>
    </w:lvl>
    <w:lvl w:ilvl="1" w:tplc="F74239F2">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2D850DD4"/>
    <w:multiLevelType w:val="hybridMultilevel"/>
    <w:tmpl w:val="6AFE0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0510CC"/>
    <w:multiLevelType w:val="hybridMultilevel"/>
    <w:tmpl w:val="D24AD8C8"/>
    <w:lvl w:ilvl="0" w:tplc="21F86D2A">
      <w:start w:val="1"/>
      <w:numFmt w:val="decimal"/>
      <w:lvlText w:val="(%1)"/>
      <w:lvlJc w:val="left"/>
      <w:pPr>
        <w:ind w:left="785" w:hanging="425"/>
      </w:pPr>
      <w:rPr>
        <w:rFonts w:hint="default"/>
      </w:rPr>
    </w:lvl>
    <w:lvl w:ilvl="1" w:tplc="14A09F1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0A30A5"/>
    <w:multiLevelType w:val="hybridMultilevel"/>
    <w:tmpl w:val="0BF86828"/>
    <w:lvl w:ilvl="0" w:tplc="133EB040">
      <w:start w:val="1"/>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FB4E25"/>
    <w:multiLevelType w:val="hybridMultilevel"/>
    <w:tmpl w:val="5564681E"/>
    <w:lvl w:ilvl="0" w:tplc="F74239F2">
      <w:start w:val="1"/>
      <w:numFmt w:val="lowerLetter"/>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8" w15:restartNumberingAfterBreak="0">
    <w:nsid w:val="4F984ED5"/>
    <w:multiLevelType w:val="hybridMultilevel"/>
    <w:tmpl w:val="A06237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CC11D1"/>
    <w:multiLevelType w:val="hybridMultilevel"/>
    <w:tmpl w:val="63A41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AE71CF9"/>
    <w:multiLevelType w:val="hybridMultilevel"/>
    <w:tmpl w:val="792C2A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EEF41E0"/>
    <w:multiLevelType w:val="hybridMultilevel"/>
    <w:tmpl w:val="F6CA3640"/>
    <w:lvl w:ilvl="0" w:tplc="5F6AF2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976E61"/>
    <w:multiLevelType w:val="hybridMultilevel"/>
    <w:tmpl w:val="9738A53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612A4F6F"/>
    <w:multiLevelType w:val="hybridMultilevel"/>
    <w:tmpl w:val="249247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3795A20"/>
    <w:multiLevelType w:val="hybridMultilevel"/>
    <w:tmpl w:val="9C68C9C0"/>
    <w:lvl w:ilvl="0" w:tplc="F74239F2">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647F166D"/>
    <w:multiLevelType w:val="hybridMultilevel"/>
    <w:tmpl w:val="1870DC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15:restartNumberingAfterBreak="0">
    <w:nsid w:val="7D503581"/>
    <w:multiLevelType w:val="hybridMultilevel"/>
    <w:tmpl w:val="8508EB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E2F3607"/>
    <w:multiLevelType w:val="hybridMultilevel"/>
    <w:tmpl w:val="DB26F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4"/>
  </w:num>
  <w:num w:numId="5">
    <w:abstractNumId w:val="8"/>
  </w:num>
  <w:num w:numId="6">
    <w:abstractNumId w:val="18"/>
  </w:num>
  <w:num w:numId="7">
    <w:abstractNumId w:val="6"/>
  </w:num>
  <w:num w:numId="8">
    <w:abstractNumId w:val="10"/>
  </w:num>
  <w:num w:numId="9">
    <w:abstractNumId w:val="17"/>
  </w:num>
  <w:num w:numId="10">
    <w:abstractNumId w:val="9"/>
  </w:num>
  <w:num w:numId="11">
    <w:abstractNumId w:val="13"/>
  </w:num>
  <w:num w:numId="12">
    <w:abstractNumId w:val="15"/>
  </w:num>
  <w:num w:numId="13">
    <w:abstractNumId w:val="5"/>
  </w:num>
  <w:num w:numId="14">
    <w:abstractNumId w:val="1"/>
  </w:num>
  <w:num w:numId="15">
    <w:abstractNumId w:val="14"/>
  </w:num>
  <w:num w:numId="16">
    <w:abstractNumId w:val="3"/>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23"/>
    <w:rsid w:val="00002034"/>
    <w:rsid w:val="000101C9"/>
    <w:rsid w:val="00022650"/>
    <w:rsid w:val="00025BED"/>
    <w:rsid w:val="00031E47"/>
    <w:rsid w:val="00033831"/>
    <w:rsid w:val="000374FA"/>
    <w:rsid w:val="000532E0"/>
    <w:rsid w:val="0005348F"/>
    <w:rsid w:val="00055928"/>
    <w:rsid w:val="000713A4"/>
    <w:rsid w:val="000B68D2"/>
    <w:rsid w:val="000C05A4"/>
    <w:rsid w:val="000C71F4"/>
    <w:rsid w:val="000D4C8F"/>
    <w:rsid w:val="000D5EA6"/>
    <w:rsid w:val="000E3F2F"/>
    <w:rsid w:val="000E45EA"/>
    <w:rsid w:val="000E5A2F"/>
    <w:rsid w:val="000F0545"/>
    <w:rsid w:val="000F69F2"/>
    <w:rsid w:val="00100BEE"/>
    <w:rsid w:val="00103E09"/>
    <w:rsid w:val="001051DB"/>
    <w:rsid w:val="00112E77"/>
    <w:rsid w:val="00117C8E"/>
    <w:rsid w:val="00123D26"/>
    <w:rsid w:val="00123E67"/>
    <w:rsid w:val="00145331"/>
    <w:rsid w:val="0014543C"/>
    <w:rsid w:val="0014742B"/>
    <w:rsid w:val="00147801"/>
    <w:rsid w:val="001565C5"/>
    <w:rsid w:val="00157D1C"/>
    <w:rsid w:val="00162AB2"/>
    <w:rsid w:val="00170632"/>
    <w:rsid w:val="00184699"/>
    <w:rsid w:val="001A7BC2"/>
    <w:rsid w:val="001D37A8"/>
    <w:rsid w:val="001D43F0"/>
    <w:rsid w:val="001D5438"/>
    <w:rsid w:val="001D6E52"/>
    <w:rsid w:val="001D74CF"/>
    <w:rsid w:val="001F14BA"/>
    <w:rsid w:val="00214937"/>
    <w:rsid w:val="002230C5"/>
    <w:rsid w:val="002235D4"/>
    <w:rsid w:val="00225477"/>
    <w:rsid w:val="0023452D"/>
    <w:rsid w:val="00240F2A"/>
    <w:rsid w:val="00253BBA"/>
    <w:rsid w:val="00257ECB"/>
    <w:rsid w:val="00260228"/>
    <w:rsid w:val="00260D94"/>
    <w:rsid w:val="00267582"/>
    <w:rsid w:val="00267CCF"/>
    <w:rsid w:val="00275FAF"/>
    <w:rsid w:val="00281B47"/>
    <w:rsid w:val="00290593"/>
    <w:rsid w:val="002955C6"/>
    <w:rsid w:val="002A1B28"/>
    <w:rsid w:val="002B0595"/>
    <w:rsid w:val="002B26ED"/>
    <w:rsid w:val="002B47A5"/>
    <w:rsid w:val="002C7ABB"/>
    <w:rsid w:val="002D5983"/>
    <w:rsid w:val="002D7ABF"/>
    <w:rsid w:val="002E06DA"/>
    <w:rsid w:val="002E14EA"/>
    <w:rsid w:val="00303DDF"/>
    <w:rsid w:val="00304723"/>
    <w:rsid w:val="00316D3B"/>
    <w:rsid w:val="00321192"/>
    <w:rsid w:val="00331A9F"/>
    <w:rsid w:val="00343B6C"/>
    <w:rsid w:val="003471D5"/>
    <w:rsid w:val="00392F75"/>
    <w:rsid w:val="003A0DB8"/>
    <w:rsid w:val="003A2744"/>
    <w:rsid w:val="003A49F0"/>
    <w:rsid w:val="003A4A85"/>
    <w:rsid w:val="003A76E2"/>
    <w:rsid w:val="003B67CF"/>
    <w:rsid w:val="003B79E1"/>
    <w:rsid w:val="003B79F6"/>
    <w:rsid w:val="003C3CE0"/>
    <w:rsid w:val="003C5CFE"/>
    <w:rsid w:val="003E0269"/>
    <w:rsid w:val="003E447B"/>
    <w:rsid w:val="003E52DC"/>
    <w:rsid w:val="003E7516"/>
    <w:rsid w:val="00403EC0"/>
    <w:rsid w:val="00405E3D"/>
    <w:rsid w:val="00405F4D"/>
    <w:rsid w:val="0041216E"/>
    <w:rsid w:val="00413D32"/>
    <w:rsid w:val="00414519"/>
    <w:rsid w:val="00415E8B"/>
    <w:rsid w:val="00426609"/>
    <w:rsid w:val="0043250B"/>
    <w:rsid w:val="0044534A"/>
    <w:rsid w:val="00446327"/>
    <w:rsid w:val="00446F77"/>
    <w:rsid w:val="00470547"/>
    <w:rsid w:val="00471CA4"/>
    <w:rsid w:val="00486553"/>
    <w:rsid w:val="0048728E"/>
    <w:rsid w:val="004A51C0"/>
    <w:rsid w:val="004A5600"/>
    <w:rsid w:val="004A5FC7"/>
    <w:rsid w:val="004A76DE"/>
    <w:rsid w:val="004D0BEB"/>
    <w:rsid w:val="004D6AAC"/>
    <w:rsid w:val="004F45FB"/>
    <w:rsid w:val="004F7305"/>
    <w:rsid w:val="0051010B"/>
    <w:rsid w:val="00523366"/>
    <w:rsid w:val="005278D2"/>
    <w:rsid w:val="005311FA"/>
    <w:rsid w:val="005325DB"/>
    <w:rsid w:val="00535755"/>
    <w:rsid w:val="005367A6"/>
    <w:rsid w:val="00537D49"/>
    <w:rsid w:val="0054065E"/>
    <w:rsid w:val="00546650"/>
    <w:rsid w:val="0055011D"/>
    <w:rsid w:val="00550A26"/>
    <w:rsid w:val="005552E3"/>
    <w:rsid w:val="0055534B"/>
    <w:rsid w:val="00560483"/>
    <w:rsid w:val="005667AC"/>
    <w:rsid w:val="005715B4"/>
    <w:rsid w:val="00572882"/>
    <w:rsid w:val="00582D19"/>
    <w:rsid w:val="00584C88"/>
    <w:rsid w:val="00590C11"/>
    <w:rsid w:val="00591899"/>
    <w:rsid w:val="005C276C"/>
    <w:rsid w:val="005E235C"/>
    <w:rsid w:val="005E5FF7"/>
    <w:rsid w:val="005E65DF"/>
    <w:rsid w:val="005F3F6A"/>
    <w:rsid w:val="005F6D18"/>
    <w:rsid w:val="00605EBC"/>
    <w:rsid w:val="00611643"/>
    <w:rsid w:val="00612230"/>
    <w:rsid w:val="006249AE"/>
    <w:rsid w:val="00630BCE"/>
    <w:rsid w:val="00635917"/>
    <w:rsid w:val="00646BA6"/>
    <w:rsid w:val="00655573"/>
    <w:rsid w:val="00671B86"/>
    <w:rsid w:val="00680524"/>
    <w:rsid w:val="00687BDA"/>
    <w:rsid w:val="006A1930"/>
    <w:rsid w:val="006C5D76"/>
    <w:rsid w:val="006D46CF"/>
    <w:rsid w:val="006E0C4A"/>
    <w:rsid w:val="006E183B"/>
    <w:rsid w:val="006E467D"/>
    <w:rsid w:val="006E6A12"/>
    <w:rsid w:val="006F0F69"/>
    <w:rsid w:val="0071409B"/>
    <w:rsid w:val="00717BBD"/>
    <w:rsid w:val="00724E61"/>
    <w:rsid w:val="00741AC2"/>
    <w:rsid w:val="00745D83"/>
    <w:rsid w:val="00747802"/>
    <w:rsid w:val="007614E9"/>
    <w:rsid w:val="00783EAF"/>
    <w:rsid w:val="00784233"/>
    <w:rsid w:val="00795906"/>
    <w:rsid w:val="007A1D9B"/>
    <w:rsid w:val="007C1565"/>
    <w:rsid w:val="007C5FB5"/>
    <w:rsid w:val="007D4FB7"/>
    <w:rsid w:val="007E41D6"/>
    <w:rsid w:val="008116DE"/>
    <w:rsid w:val="00823045"/>
    <w:rsid w:val="00825E8A"/>
    <w:rsid w:val="00832B84"/>
    <w:rsid w:val="00835A90"/>
    <w:rsid w:val="008568FD"/>
    <w:rsid w:val="00857758"/>
    <w:rsid w:val="00874887"/>
    <w:rsid w:val="00880574"/>
    <w:rsid w:val="00882A4A"/>
    <w:rsid w:val="0089583A"/>
    <w:rsid w:val="0089655D"/>
    <w:rsid w:val="008A1778"/>
    <w:rsid w:val="008B5B79"/>
    <w:rsid w:val="008C6CFE"/>
    <w:rsid w:val="008D3BEB"/>
    <w:rsid w:val="008D7D48"/>
    <w:rsid w:val="008F1BFF"/>
    <w:rsid w:val="009006CE"/>
    <w:rsid w:val="00900B66"/>
    <w:rsid w:val="0091536F"/>
    <w:rsid w:val="0096409C"/>
    <w:rsid w:val="00965A9E"/>
    <w:rsid w:val="00967D3F"/>
    <w:rsid w:val="00970AF9"/>
    <w:rsid w:val="009820F3"/>
    <w:rsid w:val="0098437B"/>
    <w:rsid w:val="009A7D46"/>
    <w:rsid w:val="009B43A0"/>
    <w:rsid w:val="009C5351"/>
    <w:rsid w:val="009E5D54"/>
    <w:rsid w:val="009F2D1D"/>
    <w:rsid w:val="009F5572"/>
    <w:rsid w:val="009F7531"/>
    <w:rsid w:val="00A102BE"/>
    <w:rsid w:val="00A11638"/>
    <w:rsid w:val="00A14D61"/>
    <w:rsid w:val="00A20D5F"/>
    <w:rsid w:val="00A317AB"/>
    <w:rsid w:val="00A36893"/>
    <w:rsid w:val="00A379E5"/>
    <w:rsid w:val="00A5122A"/>
    <w:rsid w:val="00A6446E"/>
    <w:rsid w:val="00A65321"/>
    <w:rsid w:val="00A82898"/>
    <w:rsid w:val="00A865A6"/>
    <w:rsid w:val="00A967E3"/>
    <w:rsid w:val="00AB1C64"/>
    <w:rsid w:val="00AE7E13"/>
    <w:rsid w:val="00B0235F"/>
    <w:rsid w:val="00B264A3"/>
    <w:rsid w:val="00B30B28"/>
    <w:rsid w:val="00B30E5E"/>
    <w:rsid w:val="00B31261"/>
    <w:rsid w:val="00B36A41"/>
    <w:rsid w:val="00B41768"/>
    <w:rsid w:val="00B4179E"/>
    <w:rsid w:val="00B42EA3"/>
    <w:rsid w:val="00B5208C"/>
    <w:rsid w:val="00B52CB0"/>
    <w:rsid w:val="00B57CA8"/>
    <w:rsid w:val="00B94641"/>
    <w:rsid w:val="00BA4EE9"/>
    <w:rsid w:val="00BB1036"/>
    <w:rsid w:val="00BB596C"/>
    <w:rsid w:val="00BB6902"/>
    <w:rsid w:val="00BC07EE"/>
    <w:rsid w:val="00BC690B"/>
    <w:rsid w:val="00BD1C02"/>
    <w:rsid w:val="00BE384A"/>
    <w:rsid w:val="00BE5FBB"/>
    <w:rsid w:val="00BF650C"/>
    <w:rsid w:val="00C04D25"/>
    <w:rsid w:val="00C12D78"/>
    <w:rsid w:val="00C256EE"/>
    <w:rsid w:val="00C25C75"/>
    <w:rsid w:val="00C51A75"/>
    <w:rsid w:val="00C67FF6"/>
    <w:rsid w:val="00C71D54"/>
    <w:rsid w:val="00CD53DA"/>
    <w:rsid w:val="00CD616B"/>
    <w:rsid w:val="00D01B5B"/>
    <w:rsid w:val="00D0470E"/>
    <w:rsid w:val="00D2087B"/>
    <w:rsid w:val="00D30B87"/>
    <w:rsid w:val="00D33482"/>
    <w:rsid w:val="00D37C83"/>
    <w:rsid w:val="00D515BE"/>
    <w:rsid w:val="00D6267E"/>
    <w:rsid w:val="00D705DD"/>
    <w:rsid w:val="00D71EEB"/>
    <w:rsid w:val="00D83A6A"/>
    <w:rsid w:val="00D92F48"/>
    <w:rsid w:val="00DA4217"/>
    <w:rsid w:val="00DB187A"/>
    <w:rsid w:val="00DB55CC"/>
    <w:rsid w:val="00DC6A52"/>
    <w:rsid w:val="00DC79F0"/>
    <w:rsid w:val="00DD2877"/>
    <w:rsid w:val="00DE2EF2"/>
    <w:rsid w:val="00DE3976"/>
    <w:rsid w:val="00DE7825"/>
    <w:rsid w:val="00DF0351"/>
    <w:rsid w:val="00E002A3"/>
    <w:rsid w:val="00E043B1"/>
    <w:rsid w:val="00E10208"/>
    <w:rsid w:val="00E1485A"/>
    <w:rsid w:val="00E15CB4"/>
    <w:rsid w:val="00E2029A"/>
    <w:rsid w:val="00E21518"/>
    <w:rsid w:val="00E411C9"/>
    <w:rsid w:val="00E44E1E"/>
    <w:rsid w:val="00E6090F"/>
    <w:rsid w:val="00E64749"/>
    <w:rsid w:val="00E67C26"/>
    <w:rsid w:val="00E741EB"/>
    <w:rsid w:val="00E750B8"/>
    <w:rsid w:val="00E8169F"/>
    <w:rsid w:val="00E833BB"/>
    <w:rsid w:val="00E84501"/>
    <w:rsid w:val="00E957FD"/>
    <w:rsid w:val="00EA03F8"/>
    <w:rsid w:val="00EA30F1"/>
    <w:rsid w:val="00EA5DA7"/>
    <w:rsid w:val="00EA5E5A"/>
    <w:rsid w:val="00EC05A3"/>
    <w:rsid w:val="00EC2762"/>
    <w:rsid w:val="00ED1BB3"/>
    <w:rsid w:val="00ED7834"/>
    <w:rsid w:val="00EE7C2B"/>
    <w:rsid w:val="00EF27C5"/>
    <w:rsid w:val="00EF6E0F"/>
    <w:rsid w:val="00F02FA0"/>
    <w:rsid w:val="00F05C8D"/>
    <w:rsid w:val="00F24A9F"/>
    <w:rsid w:val="00F278A8"/>
    <w:rsid w:val="00F307F9"/>
    <w:rsid w:val="00F3214D"/>
    <w:rsid w:val="00F472F5"/>
    <w:rsid w:val="00F47AA7"/>
    <w:rsid w:val="00F54503"/>
    <w:rsid w:val="00F70639"/>
    <w:rsid w:val="00F91370"/>
    <w:rsid w:val="00F9501D"/>
    <w:rsid w:val="00F976F3"/>
    <w:rsid w:val="00FC1990"/>
    <w:rsid w:val="00FE5D4D"/>
    <w:rsid w:val="00FF24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4D576"/>
  <w15:chartTrackingRefBased/>
  <w15:docId w15:val="{0B418110-340F-4EA7-A700-02882B5B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F48"/>
    <w:pPr>
      <w:spacing w:after="0" w:line="240" w:lineRule="auto"/>
    </w:pPr>
    <w:rPr>
      <w:rFonts w:ascii="Segoe UI" w:eastAsia="Times New Roman" w:hAnsi="Segoe UI" w:cs="Times New Roman"/>
      <w:sz w:val="21"/>
      <w:szCs w:val="20"/>
      <w:lang w:eastAsia="en-NZ"/>
    </w:rPr>
  </w:style>
  <w:style w:type="paragraph" w:styleId="Heading1">
    <w:name w:val="heading 1"/>
    <w:basedOn w:val="Normal"/>
    <w:next w:val="Normal"/>
    <w:link w:val="Heading1Char"/>
    <w:uiPriority w:val="9"/>
    <w:qFormat/>
    <w:rsid w:val="00304723"/>
    <w:pPr>
      <w:pageBreakBefore/>
      <w:spacing w:after="360"/>
      <w:outlineLvl w:val="0"/>
    </w:pPr>
    <w:rPr>
      <w:b/>
      <w:color w:val="23305D"/>
      <w:spacing w:val="-10"/>
      <w:sz w:val="72"/>
    </w:rPr>
  </w:style>
  <w:style w:type="paragraph" w:styleId="Heading2">
    <w:name w:val="heading 2"/>
    <w:basedOn w:val="Normal"/>
    <w:next w:val="Normal"/>
    <w:link w:val="Heading2Char"/>
    <w:qFormat/>
    <w:rsid w:val="00D92F48"/>
    <w:pPr>
      <w:keepNext/>
      <w:spacing w:before="240" w:after="120"/>
      <w:outlineLvl w:val="1"/>
    </w:pPr>
    <w:rPr>
      <w:rFonts w:eastAsia="Calibri"/>
      <w:b/>
      <w:color w:val="0A6AB4"/>
      <w:spacing w:val="-5"/>
      <w:sz w:val="48"/>
    </w:rPr>
  </w:style>
  <w:style w:type="paragraph" w:styleId="Heading3">
    <w:name w:val="heading 3"/>
    <w:basedOn w:val="Normal"/>
    <w:next w:val="Normal"/>
    <w:link w:val="Heading3Char"/>
    <w:uiPriority w:val="1"/>
    <w:unhideWhenUsed/>
    <w:qFormat/>
    <w:rsid w:val="00DC6A52"/>
    <w:pPr>
      <w:keepNext/>
      <w:spacing w:before="360" w:after="180"/>
      <w:outlineLvl w:val="2"/>
    </w:pPr>
    <w:rPr>
      <w:color w:val="0A6AB4"/>
      <w:spacing w:val="-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23"/>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rsid w:val="00D92F48"/>
    <w:rPr>
      <w:rFonts w:ascii="Segoe UI" w:eastAsia="Calibri" w:hAnsi="Segoe UI" w:cs="Times New Roman"/>
      <w:b/>
      <w:color w:val="0A6AB4"/>
      <w:spacing w:val="-5"/>
      <w:sz w:val="48"/>
      <w:szCs w:val="20"/>
      <w:lang w:eastAsia="en-NZ"/>
    </w:rPr>
  </w:style>
  <w:style w:type="paragraph" w:styleId="TOC1">
    <w:name w:val="toc 1"/>
    <w:basedOn w:val="Normal"/>
    <w:next w:val="Normal"/>
    <w:uiPriority w:val="39"/>
    <w:qFormat/>
    <w:rsid w:val="00304723"/>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304723"/>
    <w:pPr>
      <w:tabs>
        <w:tab w:val="right" w:pos="8080"/>
      </w:tabs>
      <w:spacing w:before="60"/>
      <w:ind w:left="284" w:right="567"/>
    </w:pPr>
    <w:rPr>
      <w:sz w:val="22"/>
    </w:rPr>
  </w:style>
  <w:style w:type="paragraph" w:customStyle="1" w:styleId="Bullet">
    <w:name w:val="Bullet"/>
    <w:basedOn w:val="Normal"/>
    <w:link w:val="BulletChar"/>
    <w:qFormat/>
    <w:rsid w:val="00304723"/>
    <w:pPr>
      <w:numPr>
        <w:numId w:val="1"/>
      </w:numPr>
      <w:tabs>
        <w:tab w:val="clear" w:pos="284"/>
      </w:tabs>
      <w:spacing w:before="90"/>
    </w:pPr>
  </w:style>
  <w:style w:type="character" w:customStyle="1" w:styleId="BulletChar">
    <w:name w:val="Bullet Char"/>
    <w:link w:val="Bullet"/>
    <w:locked/>
    <w:rsid w:val="00304723"/>
    <w:rPr>
      <w:rFonts w:ascii="Segoe UI" w:eastAsia="Times New Roman" w:hAnsi="Segoe UI" w:cs="Times New Roman"/>
      <w:sz w:val="21"/>
      <w:szCs w:val="20"/>
      <w:lang w:eastAsia="en-GB"/>
    </w:rPr>
  </w:style>
  <w:style w:type="paragraph" w:styleId="FootnoteText">
    <w:name w:val="footnote text"/>
    <w:basedOn w:val="Normal"/>
    <w:link w:val="FootnoteTextChar"/>
    <w:uiPriority w:val="99"/>
    <w:rsid w:val="00304723"/>
    <w:pPr>
      <w:spacing w:before="60" w:line="228" w:lineRule="auto"/>
      <w:ind w:left="284" w:hanging="284"/>
    </w:pPr>
    <w:rPr>
      <w:sz w:val="17"/>
    </w:rPr>
  </w:style>
  <w:style w:type="character" w:customStyle="1" w:styleId="FootnoteTextChar">
    <w:name w:val="Footnote Text Char"/>
    <w:basedOn w:val="DefaultParagraphFont"/>
    <w:link w:val="FootnoteText"/>
    <w:uiPriority w:val="99"/>
    <w:rsid w:val="00304723"/>
    <w:rPr>
      <w:rFonts w:ascii="Segoe UI" w:eastAsia="Times New Roman" w:hAnsi="Segoe UI" w:cs="Times New Roman"/>
      <w:sz w:val="17"/>
      <w:szCs w:val="20"/>
      <w:lang w:eastAsia="en-GB"/>
    </w:rPr>
  </w:style>
  <w:style w:type="paragraph" w:styleId="Header">
    <w:name w:val="header"/>
    <w:basedOn w:val="Normal"/>
    <w:link w:val="HeaderChar"/>
    <w:qFormat/>
    <w:rsid w:val="00304723"/>
  </w:style>
  <w:style w:type="character" w:customStyle="1" w:styleId="HeaderChar">
    <w:name w:val="Header Char"/>
    <w:basedOn w:val="DefaultParagraphFont"/>
    <w:link w:val="Header"/>
    <w:rsid w:val="00304723"/>
    <w:rPr>
      <w:rFonts w:ascii="Segoe UI" w:eastAsia="Times New Roman" w:hAnsi="Segoe UI" w:cs="Times New Roman"/>
      <w:sz w:val="21"/>
      <w:szCs w:val="20"/>
      <w:lang w:eastAsia="en-GB"/>
    </w:rPr>
  </w:style>
  <w:style w:type="paragraph" w:styleId="Title">
    <w:name w:val="Title"/>
    <w:basedOn w:val="Normal"/>
    <w:next w:val="Normal"/>
    <w:link w:val="TitleChar"/>
    <w:qFormat/>
    <w:rsid w:val="00304723"/>
    <w:pPr>
      <w:spacing w:line="216" w:lineRule="auto"/>
      <w:ind w:right="3402"/>
    </w:pPr>
    <w:rPr>
      <w:rFonts w:ascii="Segoe UI Black" w:hAnsi="Segoe UI Black" w:cs="Lucida Sans Unicode"/>
      <w:b/>
      <w:sz w:val="72"/>
      <w:szCs w:val="72"/>
    </w:rPr>
  </w:style>
  <w:style w:type="character" w:customStyle="1" w:styleId="TitleChar">
    <w:name w:val="Title Char"/>
    <w:basedOn w:val="DefaultParagraphFont"/>
    <w:link w:val="Title"/>
    <w:rsid w:val="00304723"/>
    <w:rPr>
      <w:rFonts w:ascii="Segoe UI Black" w:eastAsia="Times New Roman" w:hAnsi="Segoe UI Black" w:cs="Lucida Sans Unicode"/>
      <w:b/>
      <w:sz w:val="72"/>
      <w:szCs w:val="72"/>
      <w:lang w:eastAsia="en-GB"/>
    </w:rPr>
  </w:style>
  <w:style w:type="paragraph" w:customStyle="1" w:styleId="Imprint">
    <w:name w:val="Imprint"/>
    <w:basedOn w:val="Normal"/>
    <w:next w:val="Normal"/>
    <w:qFormat/>
    <w:rsid w:val="00304723"/>
    <w:pPr>
      <w:spacing w:after="240"/>
    </w:pPr>
    <w:rPr>
      <w:sz w:val="20"/>
    </w:rPr>
  </w:style>
  <w:style w:type="paragraph" w:styleId="Footer">
    <w:name w:val="footer"/>
    <w:basedOn w:val="Normal"/>
    <w:link w:val="FooterChar"/>
    <w:uiPriority w:val="99"/>
    <w:qFormat/>
    <w:rsid w:val="00304723"/>
  </w:style>
  <w:style w:type="character" w:customStyle="1" w:styleId="FooterChar">
    <w:name w:val="Footer Char"/>
    <w:basedOn w:val="DefaultParagraphFont"/>
    <w:link w:val="Footer"/>
    <w:uiPriority w:val="99"/>
    <w:rsid w:val="00304723"/>
    <w:rPr>
      <w:rFonts w:ascii="Segoe UI" w:eastAsia="Times New Roman" w:hAnsi="Segoe UI" w:cs="Times New Roman"/>
      <w:sz w:val="21"/>
      <w:szCs w:val="20"/>
      <w:lang w:eastAsia="en-GB"/>
    </w:rPr>
  </w:style>
  <w:style w:type="character" w:styleId="PageNumber">
    <w:name w:val="page number"/>
    <w:uiPriority w:val="99"/>
    <w:rsid w:val="00304723"/>
    <w:rPr>
      <w:rFonts w:ascii="Segoe UI" w:hAnsi="Segoe UI"/>
      <w:b/>
      <w:sz w:val="22"/>
    </w:rPr>
  </w:style>
  <w:style w:type="paragraph" w:customStyle="1" w:styleId="VersoFooter">
    <w:name w:val="Verso Footer"/>
    <w:basedOn w:val="Footer"/>
    <w:rsid w:val="00304723"/>
    <w:rPr>
      <w:sz w:val="15"/>
    </w:rPr>
  </w:style>
  <w:style w:type="paragraph" w:customStyle="1" w:styleId="RectoFooter">
    <w:name w:val="Recto Footer"/>
    <w:basedOn w:val="Footer"/>
    <w:rsid w:val="00304723"/>
    <w:pPr>
      <w:jc w:val="right"/>
    </w:pPr>
    <w:rPr>
      <w:caps/>
      <w:sz w:val="15"/>
    </w:rPr>
  </w:style>
  <w:style w:type="character" w:styleId="FootnoteReference">
    <w:name w:val="footnote reference"/>
    <w:uiPriority w:val="99"/>
    <w:rsid w:val="00304723"/>
    <w:rPr>
      <w:vertAlign w:val="superscript"/>
    </w:rPr>
  </w:style>
  <w:style w:type="paragraph" w:customStyle="1" w:styleId="Box">
    <w:name w:val="Box"/>
    <w:basedOn w:val="Normal"/>
    <w:link w:val="BoxChar"/>
    <w:qFormat/>
    <w:rsid w:val="00304723"/>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304723"/>
    <w:rPr>
      <w:rFonts w:ascii="Segoe UI" w:eastAsia="Times New Roman" w:hAnsi="Segoe UI" w:cs="Times New Roman"/>
      <w:sz w:val="21"/>
      <w:szCs w:val="20"/>
      <w:lang w:eastAsia="en-GB"/>
    </w:rPr>
  </w:style>
  <w:style w:type="paragraph" w:customStyle="1" w:styleId="BoxHeading">
    <w:name w:val="BoxHeading"/>
    <w:basedOn w:val="Normal"/>
    <w:next w:val="Box"/>
    <w:link w:val="BoxHeadingChar"/>
    <w:qFormat/>
    <w:rsid w:val="00304723"/>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character" w:customStyle="1" w:styleId="BoxHeadingChar">
    <w:name w:val="BoxHeading Char"/>
    <w:link w:val="BoxHeading"/>
    <w:rsid w:val="00304723"/>
    <w:rPr>
      <w:rFonts w:ascii="Segoe UI" w:eastAsia="Times New Roman" w:hAnsi="Segoe UI" w:cs="Times New Roman"/>
      <w:b/>
      <w:sz w:val="24"/>
      <w:szCs w:val="24"/>
      <w:lang w:eastAsia="en-GB"/>
    </w:rPr>
  </w:style>
  <w:style w:type="paragraph" w:customStyle="1" w:styleId="IntroHead">
    <w:name w:val="IntroHead"/>
    <w:basedOn w:val="Heading1"/>
    <w:next w:val="Normal"/>
    <w:qFormat/>
    <w:rsid w:val="00304723"/>
    <w:pPr>
      <w:outlineLvl w:val="9"/>
    </w:pPr>
  </w:style>
  <w:style w:type="paragraph" w:customStyle="1" w:styleId="Year">
    <w:name w:val="Year"/>
    <w:basedOn w:val="Normal"/>
    <w:next w:val="Normal"/>
    <w:qFormat/>
    <w:rsid w:val="00304723"/>
    <w:pPr>
      <w:spacing w:before="840"/>
      <w:ind w:right="3402"/>
    </w:pPr>
    <w:rPr>
      <w:rFonts w:ascii="Segoe UI Semibold" w:hAnsi="Segoe UI Semibold" w:cs="Segoe UI Semibold"/>
      <w:sz w:val="28"/>
      <w:szCs w:val="26"/>
    </w:rPr>
  </w:style>
  <w:style w:type="character" w:styleId="Hyperlink">
    <w:name w:val="Hyperlink"/>
    <w:uiPriority w:val="99"/>
    <w:rsid w:val="00304723"/>
    <w:rPr>
      <w:b/>
      <w:color w:val="595959" w:themeColor="text1" w:themeTint="A6"/>
      <w:u w:val="none"/>
    </w:rPr>
  </w:style>
  <w:style w:type="paragraph" w:styleId="ListParagraph">
    <w:name w:val="List Paragraph"/>
    <w:basedOn w:val="Normal"/>
    <w:uiPriority w:val="34"/>
    <w:qFormat/>
    <w:rsid w:val="00304723"/>
    <w:pPr>
      <w:ind w:left="720"/>
      <w:contextualSpacing/>
    </w:pPr>
  </w:style>
  <w:style w:type="character" w:styleId="PlaceholderText">
    <w:name w:val="Placeholder Text"/>
    <w:basedOn w:val="DefaultParagraphFont"/>
    <w:uiPriority w:val="99"/>
    <w:semiHidden/>
    <w:rsid w:val="00304723"/>
    <w:rPr>
      <w:color w:val="808080"/>
    </w:rPr>
  </w:style>
  <w:style w:type="paragraph" w:styleId="BalloonText">
    <w:name w:val="Balloon Text"/>
    <w:basedOn w:val="Normal"/>
    <w:link w:val="BalloonTextChar"/>
    <w:uiPriority w:val="99"/>
    <w:semiHidden/>
    <w:unhideWhenUsed/>
    <w:rsid w:val="00304723"/>
    <w:rPr>
      <w:rFonts w:cs="Segoe UI"/>
      <w:sz w:val="18"/>
      <w:szCs w:val="18"/>
    </w:rPr>
  </w:style>
  <w:style w:type="character" w:customStyle="1" w:styleId="BalloonTextChar">
    <w:name w:val="Balloon Text Char"/>
    <w:basedOn w:val="DefaultParagraphFont"/>
    <w:link w:val="BalloonText"/>
    <w:uiPriority w:val="99"/>
    <w:semiHidden/>
    <w:rsid w:val="0030472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5208C"/>
    <w:rPr>
      <w:sz w:val="16"/>
      <w:szCs w:val="16"/>
    </w:rPr>
  </w:style>
  <w:style w:type="paragraph" w:styleId="CommentText">
    <w:name w:val="annotation text"/>
    <w:basedOn w:val="Normal"/>
    <w:link w:val="CommentTextChar"/>
    <w:uiPriority w:val="99"/>
    <w:semiHidden/>
    <w:unhideWhenUsed/>
    <w:rsid w:val="00B5208C"/>
    <w:rPr>
      <w:sz w:val="20"/>
    </w:rPr>
  </w:style>
  <w:style w:type="character" w:customStyle="1" w:styleId="CommentTextChar">
    <w:name w:val="Comment Text Char"/>
    <w:basedOn w:val="DefaultParagraphFont"/>
    <w:link w:val="CommentText"/>
    <w:uiPriority w:val="99"/>
    <w:semiHidden/>
    <w:rsid w:val="00B5208C"/>
    <w:rPr>
      <w:rFonts w:ascii="Segoe UI" w:eastAsia="Times New Roman" w:hAnsi="Segoe U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208C"/>
    <w:rPr>
      <w:b/>
      <w:bCs/>
    </w:rPr>
  </w:style>
  <w:style w:type="character" w:customStyle="1" w:styleId="CommentSubjectChar">
    <w:name w:val="Comment Subject Char"/>
    <w:basedOn w:val="CommentTextChar"/>
    <w:link w:val="CommentSubject"/>
    <w:uiPriority w:val="99"/>
    <w:semiHidden/>
    <w:rsid w:val="00B5208C"/>
    <w:rPr>
      <w:rFonts w:ascii="Segoe UI" w:eastAsia="Times New Roman" w:hAnsi="Segoe UI" w:cs="Times New Roman"/>
      <w:b/>
      <w:bCs/>
      <w:sz w:val="20"/>
      <w:szCs w:val="20"/>
      <w:lang w:eastAsia="en-GB"/>
    </w:rPr>
  </w:style>
  <w:style w:type="paragraph" w:styleId="Revision">
    <w:name w:val="Revision"/>
    <w:hidden/>
    <w:uiPriority w:val="99"/>
    <w:semiHidden/>
    <w:rsid w:val="00253BBA"/>
    <w:pPr>
      <w:spacing w:after="0" w:line="240" w:lineRule="auto"/>
    </w:pPr>
    <w:rPr>
      <w:rFonts w:ascii="Segoe UI" w:eastAsia="Times New Roman" w:hAnsi="Segoe UI" w:cs="Times New Roman"/>
      <w:sz w:val="21"/>
      <w:szCs w:val="20"/>
      <w:lang w:eastAsia="en-GB"/>
    </w:rPr>
  </w:style>
  <w:style w:type="table" w:styleId="TableGrid">
    <w:name w:val="Table Grid"/>
    <w:basedOn w:val="TableNormal"/>
    <w:rsid w:val="00D92F48"/>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C6A52"/>
    <w:rPr>
      <w:rFonts w:ascii="Segoe UI" w:eastAsia="Times New Roman" w:hAnsi="Segoe UI" w:cs="Times New Roman"/>
      <w:color w:val="0A6AB4"/>
      <w:spacing w:val="-5"/>
      <w:sz w:val="3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08263">
      <w:bodyDiv w:val="1"/>
      <w:marLeft w:val="0"/>
      <w:marRight w:val="0"/>
      <w:marTop w:val="0"/>
      <w:marBottom w:val="0"/>
      <w:divBdr>
        <w:top w:val="none" w:sz="0" w:space="0" w:color="auto"/>
        <w:left w:val="none" w:sz="0" w:space="0" w:color="auto"/>
        <w:bottom w:val="none" w:sz="0" w:space="0" w:color="auto"/>
        <w:right w:val="none" w:sz="0" w:space="0" w:color="auto"/>
      </w:divBdr>
      <w:divsChild>
        <w:div w:id="2068382092">
          <w:marLeft w:val="0"/>
          <w:marRight w:val="0"/>
          <w:marTop w:val="0"/>
          <w:marBottom w:val="0"/>
          <w:divBdr>
            <w:top w:val="none" w:sz="0" w:space="0" w:color="auto"/>
            <w:left w:val="none" w:sz="0" w:space="0" w:color="auto"/>
            <w:bottom w:val="none" w:sz="0" w:space="0" w:color="auto"/>
            <w:right w:val="none" w:sz="0" w:space="0" w:color="auto"/>
          </w:divBdr>
          <w:divsChild>
            <w:div w:id="1549804389">
              <w:marLeft w:val="0"/>
              <w:marRight w:val="0"/>
              <w:marTop w:val="0"/>
              <w:marBottom w:val="0"/>
              <w:divBdr>
                <w:top w:val="none" w:sz="0" w:space="0" w:color="auto"/>
                <w:left w:val="none" w:sz="0" w:space="0" w:color="auto"/>
                <w:bottom w:val="none" w:sz="0" w:space="0" w:color="auto"/>
                <w:right w:val="none" w:sz="0" w:space="0" w:color="auto"/>
              </w:divBdr>
              <w:divsChild>
                <w:div w:id="1254237756">
                  <w:marLeft w:val="0"/>
                  <w:marRight w:val="0"/>
                  <w:marTop w:val="105"/>
                  <w:marBottom w:val="0"/>
                  <w:divBdr>
                    <w:top w:val="none" w:sz="0" w:space="0" w:color="auto"/>
                    <w:left w:val="none" w:sz="0" w:space="0" w:color="auto"/>
                    <w:bottom w:val="none" w:sz="0" w:space="0" w:color="auto"/>
                    <w:right w:val="none" w:sz="0" w:space="0" w:color="auto"/>
                  </w:divBdr>
                  <w:divsChild>
                    <w:div w:id="1855148483">
                      <w:marLeft w:val="450"/>
                      <w:marRight w:val="225"/>
                      <w:marTop w:val="0"/>
                      <w:marBottom w:val="0"/>
                      <w:divBdr>
                        <w:top w:val="none" w:sz="0" w:space="0" w:color="auto"/>
                        <w:left w:val="none" w:sz="0" w:space="0" w:color="auto"/>
                        <w:bottom w:val="none" w:sz="0" w:space="0" w:color="auto"/>
                        <w:right w:val="none" w:sz="0" w:space="0" w:color="auto"/>
                      </w:divBdr>
                      <w:divsChild>
                        <w:div w:id="967206835">
                          <w:marLeft w:val="0"/>
                          <w:marRight w:val="0"/>
                          <w:marTop w:val="0"/>
                          <w:marBottom w:val="600"/>
                          <w:divBdr>
                            <w:top w:val="single" w:sz="6" w:space="0" w:color="314664"/>
                            <w:left w:val="single" w:sz="6" w:space="0" w:color="314664"/>
                            <w:bottom w:val="single" w:sz="6" w:space="0" w:color="314664"/>
                            <w:right w:val="single" w:sz="6" w:space="0" w:color="314664"/>
                          </w:divBdr>
                          <w:divsChild>
                            <w:div w:id="856653294">
                              <w:marLeft w:val="0"/>
                              <w:marRight w:val="0"/>
                              <w:marTop w:val="0"/>
                              <w:marBottom w:val="0"/>
                              <w:divBdr>
                                <w:top w:val="none" w:sz="0" w:space="0" w:color="auto"/>
                                <w:left w:val="none" w:sz="0" w:space="0" w:color="auto"/>
                                <w:bottom w:val="none" w:sz="0" w:space="0" w:color="auto"/>
                                <w:right w:val="none" w:sz="0" w:space="0" w:color="auto"/>
                              </w:divBdr>
                              <w:divsChild>
                                <w:div w:id="2000961095">
                                  <w:marLeft w:val="0"/>
                                  <w:marRight w:val="0"/>
                                  <w:marTop w:val="0"/>
                                  <w:marBottom w:val="0"/>
                                  <w:divBdr>
                                    <w:top w:val="none" w:sz="0" w:space="0" w:color="auto"/>
                                    <w:left w:val="none" w:sz="0" w:space="0" w:color="auto"/>
                                    <w:bottom w:val="none" w:sz="0" w:space="0" w:color="auto"/>
                                    <w:right w:val="none" w:sz="0" w:space="0" w:color="auto"/>
                                  </w:divBdr>
                                  <w:divsChild>
                                    <w:div w:id="401947045">
                                      <w:marLeft w:val="0"/>
                                      <w:marRight w:val="0"/>
                                      <w:marTop w:val="0"/>
                                      <w:marBottom w:val="0"/>
                                      <w:divBdr>
                                        <w:top w:val="none" w:sz="0" w:space="0" w:color="auto"/>
                                        <w:left w:val="none" w:sz="0" w:space="0" w:color="auto"/>
                                        <w:bottom w:val="none" w:sz="0" w:space="0" w:color="auto"/>
                                        <w:right w:val="none" w:sz="0" w:space="0" w:color="auto"/>
                                      </w:divBdr>
                                      <w:divsChild>
                                        <w:div w:id="802890308">
                                          <w:marLeft w:val="0"/>
                                          <w:marRight w:val="0"/>
                                          <w:marTop w:val="0"/>
                                          <w:marBottom w:val="0"/>
                                          <w:divBdr>
                                            <w:top w:val="none" w:sz="0" w:space="0" w:color="auto"/>
                                            <w:left w:val="none" w:sz="0" w:space="0" w:color="auto"/>
                                            <w:bottom w:val="none" w:sz="0" w:space="0" w:color="auto"/>
                                            <w:right w:val="none" w:sz="0" w:space="0" w:color="auto"/>
                                          </w:divBdr>
                                          <w:divsChild>
                                            <w:div w:id="2104111102">
                                              <w:marLeft w:val="0"/>
                                              <w:marRight w:val="0"/>
                                              <w:marTop w:val="0"/>
                                              <w:marBottom w:val="0"/>
                                              <w:divBdr>
                                                <w:top w:val="none" w:sz="0" w:space="0" w:color="auto"/>
                                                <w:left w:val="none" w:sz="0" w:space="0" w:color="auto"/>
                                                <w:bottom w:val="none" w:sz="0" w:space="0" w:color="auto"/>
                                                <w:right w:val="none" w:sz="0" w:space="0" w:color="auto"/>
                                              </w:divBdr>
                                              <w:divsChild>
                                                <w:div w:id="1981567639">
                                                  <w:marLeft w:val="0"/>
                                                  <w:marRight w:val="0"/>
                                                  <w:marTop w:val="0"/>
                                                  <w:marBottom w:val="0"/>
                                                  <w:divBdr>
                                                    <w:top w:val="none" w:sz="0" w:space="0" w:color="auto"/>
                                                    <w:left w:val="none" w:sz="0" w:space="0" w:color="auto"/>
                                                    <w:bottom w:val="none" w:sz="0" w:space="0" w:color="auto"/>
                                                    <w:right w:val="none" w:sz="0" w:space="0" w:color="auto"/>
                                                  </w:divBdr>
                                                  <w:divsChild>
                                                    <w:div w:id="1573158313">
                                                      <w:marLeft w:val="0"/>
                                                      <w:marRight w:val="0"/>
                                                      <w:marTop w:val="0"/>
                                                      <w:marBottom w:val="0"/>
                                                      <w:divBdr>
                                                        <w:top w:val="none" w:sz="0" w:space="0" w:color="auto"/>
                                                        <w:left w:val="none" w:sz="0" w:space="0" w:color="auto"/>
                                                        <w:bottom w:val="none" w:sz="0" w:space="0" w:color="auto"/>
                                                        <w:right w:val="none" w:sz="0" w:space="0" w:color="auto"/>
                                                      </w:divBdr>
                                                      <w:divsChild>
                                                        <w:div w:id="1601916662">
                                                          <w:marLeft w:val="0"/>
                                                          <w:marRight w:val="0"/>
                                                          <w:marTop w:val="0"/>
                                                          <w:marBottom w:val="0"/>
                                                          <w:divBdr>
                                                            <w:top w:val="none" w:sz="0" w:space="0" w:color="auto"/>
                                                            <w:left w:val="none" w:sz="0" w:space="0" w:color="auto"/>
                                                            <w:bottom w:val="none" w:sz="0" w:space="0" w:color="auto"/>
                                                            <w:right w:val="none" w:sz="0" w:space="0" w:color="auto"/>
                                                          </w:divBdr>
                                                          <w:divsChild>
                                                            <w:div w:id="2120836406">
                                                              <w:marLeft w:val="0"/>
                                                              <w:marRight w:val="0"/>
                                                              <w:marTop w:val="0"/>
                                                              <w:marBottom w:val="0"/>
                                                              <w:divBdr>
                                                                <w:top w:val="none" w:sz="0" w:space="0" w:color="auto"/>
                                                                <w:left w:val="none" w:sz="0" w:space="0" w:color="auto"/>
                                                                <w:bottom w:val="none" w:sz="0" w:space="0" w:color="auto"/>
                                                                <w:right w:val="none" w:sz="0" w:space="0" w:color="auto"/>
                                                              </w:divBdr>
                                                              <w:divsChild>
                                                                <w:div w:id="48772340">
                                                                  <w:marLeft w:val="0"/>
                                                                  <w:marRight w:val="0"/>
                                                                  <w:marTop w:val="83"/>
                                                                  <w:marBottom w:val="0"/>
                                                                  <w:divBdr>
                                                                    <w:top w:val="none" w:sz="0" w:space="0" w:color="auto"/>
                                                                    <w:left w:val="none" w:sz="0" w:space="0" w:color="auto"/>
                                                                    <w:bottom w:val="none" w:sz="0" w:space="0" w:color="auto"/>
                                                                    <w:right w:val="none" w:sz="0" w:space="0" w:color="auto"/>
                                                                  </w:divBdr>
                                                                  <w:divsChild>
                                                                    <w:div w:id="1562785757">
                                                                      <w:marLeft w:val="0"/>
                                                                      <w:marRight w:val="0"/>
                                                                      <w:marTop w:val="0"/>
                                                                      <w:marBottom w:val="0"/>
                                                                      <w:divBdr>
                                                                        <w:top w:val="none" w:sz="0" w:space="0" w:color="auto"/>
                                                                        <w:left w:val="none" w:sz="0" w:space="0" w:color="auto"/>
                                                                        <w:bottom w:val="none" w:sz="0" w:space="0" w:color="auto"/>
                                                                        <w:right w:val="none" w:sz="0" w:space="0" w:color="auto"/>
                                                                      </w:divBdr>
                                                                      <w:divsChild>
                                                                        <w:div w:id="1158302854">
                                                                          <w:marLeft w:val="0"/>
                                                                          <w:marRight w:val="0"/>
                                                                          <w:marTop w:val="83"/>
                                                                          <w:marBottom w:val="0"/>
                                                                          <w:divBdr>
                                                                            <w:top w:val="none" w:sz="0" w:space="0" w:color="auto"/>
                                                                            <w:left w:val="none" w:sz="0" w:space="0" w:color="auto"/>
                                                                            <w:bottom w:val="none" w:sz="0" w:space="0" w:color="auto"/>
                                                                            <w:right w:val="none" w:sz="0" w:space="0" w:color="auto"/>
                                                                          </w:divBdr>
                                                                        </w:div>
                                                                      </w:divsChild>
                                                                    </w:div>
                                                                    <w:div w:id="853954042">
                                                                      <w:marLeft w:val="0"/>
                                                                      <w:marRight w:val="0"/>
                                                                      <w:marTop w:val="0"/>
                                                                      <w:marBottom w:val="0"/>
                                                                      <w:divBdr>
                                                                        <w:top w:val="none" w:sz="0" w:space="0" w:color="auto"/>
                                                                        <w:left w:val="none" w:sz="0" w:space="0" w:color="auto"/>
                                                                        <w:bottom w:val="none" w:sz="0" w:space="0" w:color="auto"/>
                                                                        <w:right w:val="none" w:sz="0" w:space="0" w:color="auto"/>
                                                                      </w:divBdr>
                                                                      <w:divsChild>
                                                                        <w:div w:id="960264031">
                                                                          <w:marLeft w:val="0"/>
                                                                          <w:marRight w:val="0"/>
                                                                          <w:marTop w:val="83"/>
                                                                          <w:marBottom w:val="0"/>
                                                                          <w:divBdr>
                                                                            <w:top w:val="none" w:sz="0" w:space="0" w:color="auto"/>
                                                                            <w:left w:val="none" w:sz="0" w:space="0" w:color="auto"/>
                                                                            <w:bottom w:val="none" w:sz="0" w:space="0" w:color="auto"/>
                                                                            <w:right w:val="none" w:sz="0" w:space="0" w:color="auto"/>
                                                                          </w:divBdr>
                                                                          <w:divsChild>
                                                                            <w:div w:id="1878618940">
                                                                              <w:marLeft w:val="0"/>
                                                                              <w:marRight w:val="0"/>
                                                                              <w:marTop w:val="0"/>
                                                                              <w:marBottom w:val="0"/>
                                                                              <w:divBdr>
                                                                                <w:top w:val="none" w:sz="0" w:space="0" w:color="auto"/>
                                                                                <w:left w:val="none" w:sz="0" w:space="0" w:color="auto"/>
                                                                                <w:bottom w:val="none" w:sz="0" w:space="0" w:color="auto"/>
                                                                                <w:right w:val="none" w:sz="0" w:space="0" w:color="auto"/>
                                                                              </w:divBdr>
                                                                              <w:divsChild>
                                                                                <w:div w:id="874587415">
                                                                                  <w:marLeft w:val="0"/>
                                                                                  <w:marRight w:val="0"/>
                                                                                  <w:marTop w:val="83"/>
                                                                                  <w:marBottom w:val="0"/>
                                                                                  <w:divBdr>
                                                                                    <w:top w:val="none" w:sz="0" w:space="0" w:color="auto"/>
                                                                                    <w:left w:val="none" w:sz="0" w:space="0" w:color="auto"/>
                                                                                    <w:bottom w:val="none" w:sz="0" w:space="0" w:color="auto"/>
                                                                                    <w:right w:val="none" w:sz="0" w:space="0" w:color="auto"/>
                                                                                  </w:divBdr>
                                                                                </w:div>
                                                                              </w:divsChild>
                                                                            </w:div>
                                                                            <w:div w:id="2120836448">
                                                                              <w:marLeft w:val="0"/>
                                                                              <w:marRight w:val="0"/>
                                                                              <w:marTop w:val="0"/>
                                                                              <w:marBottom w:val="0"/>
                                                                              <w:divBdr>
                                                                                <w:top w:val="none" w:sz="0" w:space="0" w:color="auto"/>
                                                                                <w:left w:val="none" w:sz="0" w:space="0" w:color="auto"/>
                                                                                <w:bottom w:val="none" w:sz="0" w:space="0" w:color="auto"/>
                                                                                <w:right w:val="none" w:sz="0" w:space="0" w:color="auto"/>
                                                                              </w:divBdr>
                                                                              <w:divsChild>
                                                                                <w:div w:id="18772309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egislation.govt.nz/act/public/2003/0048/latest/link.aspx?search=sw_096be8ed818de835_review_25_se&amp;p=1&amp;id=DLM204358" TargetMode="External"/><Relationship Id="rId28" Type="http://schemas.openxmlformats.org/officeDocument/2006/relationships/header" Target="header10.xml"/><Relationship Id="rId36"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legislation.govt.nz/act/public/2003/0048/latest/link.aspx?search=sw_096be8ed818de835_review_25_se&amp;p=1&amp;id=LMS193149" TargetMode="Externa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ofessionalstandards.org.uk/what-we-do/improving-regulation/right-touch-regulation" TargetMode="External"/><Relationship Id="rId1" Type="http://schemas.openxmlformats.org/officeDocument/2006/relationships/hyperlink" Target="https://www.professionalstandards.org.uk/what-we-do/improving-regulation/right-touch-regul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6E982DFB445D08736032B631F182D"/>
        <w:category>
          <w:name w:val="General"/>
          <w:gallery w:val="placeholder"/>
        </w:category>
        <w:types>
          <w:type w:val="bbPlcHdr"/>
        </w:types>
        <w:behaviors>
          <w:behavior w:val="content"/>
        </w:behaviors>
        <w:guid w:val="{4490ACD5-06B0-42DA-8773-97B878122868}"/>
      </w:docPartPr>
      <w:docPartBody>
        <w:p w:rsidR="00CB01C9" w:rsidRDefault="00CF6923" w:rsidP="00CF6923">
          <w:pPr>
            <w:pStyle w:val="D326E982DFB445D08736032B631F182D"/>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23"/>
    <w:rsid w:val="000160A9"/>
    <w:rsid w:val="000870D0"/>
    <w:rsid w:val="001111A9"/>
    <w:rsid w:val="00126B8C"/>
    <w:rsid w:val="00162669"/>
    <w:rsid w:val="002326C0"/>
    <w:rsid w:val="002353D1"/>
    <w:rsid w:val="00274F84"/>
    <w:rsid w:val="002770F2"/>
    <w:rsid w:val="002E7801"/>
    <w:rsid w:val="00343253"/>
    <w:rsid w:val="00422A19"/>
    <w:rsid w:val="00466D5D"/>
    <w:rsid w:val="00785BBF"/>
    <w:rsid w:val="00A55AD9"/>
    <w:rsid w:val="00AF7A22"/>
    <w:rsid w:val="00CB01C9"/>
    <w:rsid w:val="00CF6923"/>
    <w:rsid w:val="00DD63C9"/>
    <w:rsid w:val="00EB012F"/>
    <w:rsid w:val="00EB6E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3C9"/>
    <w:rPr>
      <w:color w:val="808080"/>
    </w:rPr>
  </w:style>
  <w:style w:type="paragraph" w:customStyle="1" w:styleId="D326E982DFB445D08736032B631F182D">
    <w:name w:val="D326E982DFB445D08736032B631F182D"/>
    <w:rsid w:val="00CF6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23E8-7157-414B-9CFD-C1490BA4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531F0A40.dotm</Template>
  <TotalTime>2</TotalTime>
  <Pages>18</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Core Performance Standards for Responsible Authorities: Consultation document</vt:lpstr>
    </vt:vector>
  </TitlesOfParts>
  <Company>Ministry of Health</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Performance Standards for Responsible Authorities: Consultation document</dc:title>
  <dc:subject/>
  <dc:creator>Ministry of Health</dc:creator>
  <cp:keywords/>
  <dc:description/>
  <cp:lastModifiedBy>Ministry of Health</cp:lastModifiedBy>
  <cp:revision>2</cp:revision>
  <cp:lastPrinted>2019-11-05T02:04:00Z</cp:lastPrinted>
  <dcterms:created xsi:type="dcterms:W3CDTF">2020-05-04T00:32:00Z</dcterms:created>
  <dcterms:modified xsi:type="dcterms:W3CDTF">2020-05-04T00:32:00Z</dcterms:modified>
</cp:coreProperties>
</file>